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4949 HEDGCOXE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DIODES INC /DEL/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DIOD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81"/>
        <w:gridCol w:w="905"/>
        <w:gridCol w:w="774"/>
        <w:gridCol w:w="601"/>
        <w:gridCol w:w="348"/>
        <w:gridCol w:w="845"/>
        <w:gridCol w:w="453"/>
        <w:gridCol w:w="616"/>
        <w:gridCol w:w="1161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Diodes Incorporated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vest in four equal installments beginning 05/26/2027.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Rule 16b-3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Brett R. Whitmire as Power of Attorney for Yu-Shu Evan 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188" TargetMode="External"/><Relationship Id="rId5" Type="http://schemas.openxmlformats.org/officeDocument/2006/relationships/hyperlink" Target="http://www.sec.gov/cgi-bin/browse-edgar?action=getcompany&amp;CIK=0000029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3172</Characters>
  <CharactersWithSpaces>3690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