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89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93175"/>
                    </a:xfrm>
                    <a:prstGeom prst="rect">
                      <a:avLst/>
                    </a:prstGeom>
                    <a:noFill/>
                  </pic:spPr>
                </pic:pic>
              </a:graphicData>
            </a:graphic>
          </wp:anchor>
        </w:drawing>
      </w:r>
    </w:p>
    <w:p>
      <w:pPr>
        <w:spacing w:after="0" w:line="113" w:lineRule="exact"/>
        <w:rPr>
          <w:sz w:val="24"/>
          <w:szCs w:val="24"/>
          <w:color w:val="auto"/>
        </w:rPr>
      </w:pPr>
    </w:p>
    <w:p>
      <w:pPr>
        <w:sectPr>
          <w:pgSz w:w="11900" w:h="1685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LU KEH SHEW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4949 HEDGCOXE ROAD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PLANO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75024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DIODES INC /DEL/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DIOD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6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2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1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6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57"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60"/>
              <w:spacing w:after="0"/>
              <w:rPr>
                <w:sz w:val="20"/>
                <w:szCs w:val="20"/>
                <w:color w:val="auto"/>
              </w:rPr>
            </w:pPr>
            <w:r>
              <w:rPr>
                <w:rFonts w:ascii="Arial" w:cs="Arial" w:eastAsia="Arial" w:hAnsi="Arial"/>
                <w:sz w:val="12"/>
                <w:szCs w:val="12"/>
                <w:b w:val="1"/>
                <w:bCs w:val="1"/>
                <w:color w:val="auto"/>
              </w:rPr>
              <w:t>6.</w:t>
            </w:r>
          </w:p>
        </w:tc>
        <w:tc>
          <w:tcPr>
            <w:tcW w:w="1500" w:type="dxa"/>
            <w:vAlign w:val="bottom"/>
            <w:gridSpan w:val="4"/>
          </w:tcPr>
          <w:p>
            <w:pPr>
              <w:ind w:left="2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Ownership</w:t>
            </w:r>
          </w:p>
        </w:tc>
        <w:tc>
          <w:tcPr>
            <w:tcW w:w="15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40" w:type="dxa"/>
            <w:vAlign w:val="bottom"/>
            <w:gridSpan w:val="5"/>
          </w:tcPr>
          <w:p>
            <w:pPr>
              <w:ind w:left="26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05/16/2024</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520" w:type="dxa"/>
            <w:vAlign w:val="bottom"/>
            <w:vMerge w:val="restart"/>
          </w:tcPr>
          <w:p>
            <w:pPr>
              <w:jc w:val="center"/>
              <w:ind w:left="45"/>
              <w:spacing w:after="0"/>
              <w:rPr>
                <w:sz w:val="20"/>
                <w:szCs w:val="20"/>
                <w:color w:val="auto"/>
              </w:rPr>
            </w:pPr>
            <w:r>
              <w:rPr>
                <w:rFonts w:ascii="Times New Roman" w:cs="Times New Roman" w:eastAsia="Times New Roman" w:hAnsi="Times New Roman"/>
                <w:sz w:val="17"/>
                <w:szCs w:val="17"/>
                <w:color w:val="0000FF"/>
              </w:rPr>
              <w:t>9,000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72.7</w:t>
            </w:r>
            <w:r>
              <w:rPr>
                <w:rFonts w:ascii="Times New Roman" w:cs="Times New Roman" w:eastAsia="Times New Roman" w:hAnsi="Times New Roman"/>
                <w:sz w:val="22"/>
                <w:szCs w:val="22"/>
                <w:color w:val="008000"/>
                <w:w w:val="92"/>
                <w:vertAlign w:val="superscript"/>
              </w:rPr>
              <w:t>(1)</w:t>
            </w:r>
          </w:p>
        </w:tc>
        <w:tc>
          <w:tcPr>
            <w:tcW w:w="60" w:type="dxa"/>
            <w:vAlign w:val="bottom"/>
          </w:tcPr>
          <w:p>
            <w:pPr>
              <w:spacing w:after="0"/>
              <w:rPr>
                <w:sz w:val="21"/>
                <w:szCs w:val="21"/>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rPr>
              <w:t>110,496</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05/17/2024</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520" w:type="dxa"/>
            <w:vAlign w:val="bottom"/>
            <w:vMerge w:val="restart"/>
          </w:tcPr>
          <w:p>
            <w:pPr>
              <w:jc w:val="center"/>
              <w:ind w:left="45"/>
              <w:spacing w:after="0"/>
              <w:rPr>
                <w:sz w:val="20"/>
                <w:szCs w:val="20"/>
                <w:color w:val="auto"/>
              </w:rPr>
            </w:pPr>
            <w:r>
              <w:rPr>
                <w:rFonts w:ascii="Times New Roman" w:cs="Times New Roman" w:eastAsia="Times New Roman" w:hAnsi="Times New Roman"/>
                <w:sz w:val="17"/>
                <w:szCs w:val="17"/>
                <w:color w:val="0000FF"/>
              </w:rPr>
              <w:t>1,500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73.4</w:t>
            </w:r>
          </w:p>
        </w:tc>
        <w:tc>
          <w:tcPr>
            <w:tcW w:w="60" w:type="dxa"/>
            <w:vAlign w:val="bottom"/>
          </w:tcPr>
          <w:p>
            <w:pPr>
              <w:spacing w:after="0"/>
              <w:rPr>
                <w:sz w:val="21"/>
                <w:szCs w:val="21"/>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rPr>
              <w:t>108,996</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05/20/2024</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520" w:type="dxa"/>
            <w:vAlign w:val="bottom"/>
            <w:vMerge w:val="restart"/>
          </w:tcPr>
          <w:p>
            <w:pPr>
              <w:jc w:val="center"/>
              <w:ind w:left="45"/>
              <w:spacing w:after="0"/>
              <w:rPr>
                <w:sz w:val="20"/>
                <w:szCs w:val="20"/>
                <w:color w:val="auto"/>
              </w:rPr>
            </w:pPr>
            <w:r>
              <w:rPr>
                <w:rFonts w:ascii="Times New Roman" w:cs="Times New Roman" w:eastAsia="Times New Roman" w:hAnsi="Times New Roman"/>
                <w:sz w:val="17"/>
                <w:szCs w:val="17"/>
                <w:color w:val="0000FF"/>
              </w:rPr>
              <w:t>6,000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73.9341</w:t>
            </w:r>
            <w:r>
              <w:rPr>
                <w:rFonts w:ascii="Times New Roman" w:cs="Times New Roman" w:eastAsia="Times New Roman" w:hAnsi="Times New Roman"/>
                <w:sz w:val="22"/>
                <w:szCs w:val="22"/>
                <w:color w:val="008000"/>
                <w:w w:val="97"/>
                <w:vertAlign w:val="superscript"/>
              </w:rPr>
              <w:t>(2)</w:t>
            </w:r>
          </w:p>
        </w:tc>
        <w:tc>
          <w:tcPr>
            <w:tcW w:w="60" w:type="dxa"/>
            <w:vAlign w:val="bottom"/>
          </w:tcPr>
          <w:p>
            <w:pPr>
              <w:spacing w:after="0"/>
              <w:rPr>
                <w:sz w:val="21"/>
                <w:szCs w:val="21"/>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rPr>
              <w:t>102,996</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05/20/2024</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jc w:val="center"/>
              <w:ind w:right="18"/>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360" w:type="dxa"/>
            <w:vAlign w:val="bottom"/>
          </w:tcPr>
          <w:p>
            <w:pPr>
              <w:spacing w:after="0"/>
              <w:rPr>
                <w:sz w:val="21"/>
                <w:szCs w:val="21"/>
                <w:color w:val="auto"/>
              </w:rPr>
            </w:pPr>
          </w:p>
        </w:tc>
        <w:tc>
          <w:tcPr>
            <w:tcW w:w="520" w:type="dxa"/>
            <w:vAlign w:val="bottom"/>
            <w:vMerge w:val="restart"/>
          </w:tcPr>
          <w:p>
            <w:pPr>
              <w:jc w:val="center"/>
              <w:ind w:left="65"/>
              <w:spacing w:after="0"/>
              <w:rPr>
                <w:sz w:val="20"/>
                <w:szCs w:val="20"/>
                <w:color w:val="auto"/>
              </w:rPr>
            </w:pPr>
            <w:r>
              <w:rPr>
                <w:rFonts w:ascii="Times New Roman" w:cs="Times New Roman" w:eastAsia="Times New Roman" w:hAnsi="Times New Roman"/>
                <w:sz w:val="17"/>
                <w:szCs w:val="17"/>
                <w:color w:val="0000FF"/>
              </w:rPr>
              <w:t>665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73.82</w:t>
            </w:r>
          </w:p>
        </w:tc>
        <w:tc>
          <w:tcPr>
            <w:tcW w:w="60" w:type="dxa"/>
            <w:vAlign w:val="bottom"/>
          </w:tcPr>
          <w:p>
            <w:pPr>
              <w:spacing w:after="0"/>
              <w:rPr>
                <w:sz w:val="21"/>
                <w:szCs w:val="21"/>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rPr>
              <w:t>102,331</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w w:val="93"/>
              </w:rPr>
              <w:t>46,150</w:t>
            </w:r>
            <w:r>
              <w:rPr>
                <w:rFonts w:ascii="Times New Roman" w:cs="Times New Roman" w:eastAsia="Times New Roman" w:hAnsi="Times New Roman"/>
                <w:sz w:val="22"/>
                <w:szCs w:val="22"/>
                <w:color w:val="008000"/>
                <w:w w:val="93"/>
                <w:vertAlign w:val="superscript"/>
              </w:rPr>
              <w:t>(4)</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Lu</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rPr>
              <w:t>285,801</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Grandchildren's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Trust</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7"/>
                <w:szCs w:val="17"/>
                <w:color w:val="0000FF"/>
                <w:w w:val="99"/>
              </w:rPr>
              <w:t>6,000</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The Lu 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The Lu 2017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7"/>
                <w:szCs w:val="17"/>
                <w:color w:val="0000FF"/>
                <w:w w:val="99"/>
              </w:rPr>
              <w:t>4,700</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Trust</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Texastac</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rPr>
              <w:t>256,492</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6"/>
                <w:szCs w:val="16"/>
                <w:color w:val="0000FF"/>
                <w:w w:val="74"/>
              </w:rPr>
              <w:t>I</w:t>
            </w: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LP</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Diodes Incorporated Common</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rPr>
              <w:t>131,000</w:t>
            </w: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Stock - Performance Stock Units</w:t>
            </w: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20" w:type="dxa"/>
            <w:vAlign w:val="bottom"/>
            <w:gridSpan w:val="13"/>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5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gridSpan w:val="2"/>
          </w:tcPr>
          <w:p>
            <w:pPr>
              <w:ind w:left="5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52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9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$72.20 to $73.20, inclusive. The reporting person undertakes to provide to Diodes Incorporated, any security holder of Diodes Incorporated, or the staff of the Securities and Exchange Commission, upon request, full information regarding the number of shares sold at each separate price within the range set forth in this footnote (1) to this Form 4.</w:t>
      </w:r>
    </w:p>
    <w:p>
      <w:pPr>
        <w:sectPr>
          <w:pgSz w:w="11900" w:h="16857"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$73.60 to $74.20, inclusive. The reporting person undertakes to provide to Diodes Incorporated, any security holder of Diodes Incorporated,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restricted stock unit shares were automatically withheld to cover income tax.</w:t>
      </w:r>
    </w:p>
    <w:p>
      <w:pPr>
        <w:spacing w:after="0" w:line="50" w:lineRule="exact"/>
        <w:rPr>
          <w:rFonts w:ascii="Times New Roman" w:cs="Times New Roman" w:eastAsia="Times New Roman" w:hAnsi="Times New Roman"/>
          <w:sz w:val="13"/>
          <w:szCs w:val="13"/>
          <w:color w:val="008000"/>
        </w:rPr>
      </w:pPr>
    </w:p>
    <w:p>
      <w:pPr>
        <w:ind w:right="40" w:firstLine="7"/>
        <w:spacing w:after="0" w:line="256"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accounts for the reporting persons minor grandchildren and the reporting person is the custodian of those accounts. The reporting person disclaims ownership of the shares held in those custodial accounts, and this report is not an admission that the reporting person is the beneficial owner of these shares for purposes of Section 16 or for any other purposes.</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Brett R. Whitmire as Power of </w:t>
      </w:r>
      <w:r>
        <w:rPr>
          <w:rFonts w:ascii="Times New Roman" w:cs="Times New Roman" w:eastAsia="Times New Roman" w:hAnsi="Times New Roman"/>
          <w:sz w:val="33"/>
          <w:szCs w:val="33"/>
          <w:color w:val="0000FF"/>
          <w:vertAlign w:val="subscript"/>
        </w:rPr>
        <w:t>05/20/2024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 for Keh-Shew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88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80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6531" TargetMode="External"/><Relationship Id="rId13" Type="http://schemas.openxmlformats.org/officeDocument/2006/relationships/hyperlink" Target="http://www.sec.gov/cgi-bin/browse-edgar?action=getcompany&amp;CIK=0000029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2024-05-20T17:25:49Z</dcterms:created>
  <dcterms:modified xsi:type="dcterms:W3CDTF">2024-05-20T17:25:49Z</dcterms:modified>
</cp:coreProperties>
</file>