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505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5057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LU KEH SHEW</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DIODES INC /DEL/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DIOD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11/12/2025</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4949 HEDGCOXE ROAD</w:t>
            </w:r>
          </w:p>
        </w:tc>
        <w:tc>
          <w:tcPr>
            <w:tcW w:w="148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200</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PLANO</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75024</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60"/>
              <w:spacing w:after="0"/>
              <w:rPr>
                <w:sz w:val="20"/>
                <w:szCs w:val="20"/>
                <w:color w:val="auto"/>
              </w:rPr>
            </w:pPr>
            <w:r>
              <w:rPr>
                <w:rFonts w:ascii="Arial" w:cs="Arial" w:eastAsia="Arial" w:hAnsi="Arial"/>
                <w:sz w:val="12"/>
                <w:szCs w:val="12"/>
                <w:b w:val="1"/>
                <w:bCs w:val="1"/>
                <w:color w:val="auto"/>
              </w:rPr>
              <w:t>6.</w:t>
            </w:r>
          </w:p>
        </w:tc>
        <w:tc>
          <w:tcPr>
            <w:tcW w:w="1500" w:type="dxa"/>
            <w:vAlign w:val="bottom"/>
            <w:gridSpan w:val="4"/>
          </w:tcPr>
          <w:p>
            <w:pPr>
              <w:ind w:left="2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Ownership</w:t>
            </w:r>
          </w:p>
        </w:tc>
        <w:tc>
          <w:tcPr>
            <w:tcW w:w="15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440" w:type="dxa"/>
            <w:vAlign w:val="bottom"/>
            <w:gridSpan w:val="5"/>
          </w:tcPr>
          <w:p>
            <w:pPr>
              <w:ind w:left="260"/>
              <w:spacing w:after="0" w:line="133" w:lineRule="exact"/>
              <w:rPr>
                <w:sz w:val="20"/>
                <w:szCs w:val="20"/>
                <w:color w:val="auto"/>
              </w:rPr>
            </w:pPr>
            <w:r>
              <w:rPr>
                <w:rFonts w:ascii="Arial" w:cs="Arial" w:eastAsia="Arial" w:hAnsi="Arial"/>
                <w:sz w:val="12"/>
                <w:szCs w:val="12"/>
                <w:b w:val="1"/>
                <w:bCs w:val="1"/>
                <w:color w:val="auto"/>
              </w:rPr>
              <w:t>Form: Direct   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 or</w:t>
            </w:r>
          </w:p>
        </w:tc>
        <w:tc>
          <w:tcPr>
            <w:tcW w:w="7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vMerge w:val="restart"/>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w:t>
            </w: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V</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ind w:left="240"/>
              <w:spacing w:after="0"/>
              <w:rPr>
                <w:sz w:val="20"/>
                <w:szCs w:val="20"/>
                <w:color w:val="auto"/>
              </w:rPr>
            </w:pPr>
            <w:r>
              <w:rPr>
                <w:rFonts w:ascii="Arial" w:cs="Arial" w:eastAsia="Arial" w:hAnsi="Arial"/>
                <w:sz w:val="12"/>
                <w:szCs w:val="12"/>
                <w:b w:val="1"/>
                <w:bCs w:val="1"/>
                <w:color w:val="auto"/>
              </w:rPr>
              <w:t>(D)</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(Instr. 3 and 4)</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Lu</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11/12/2025</w:t>
            </w: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3,905</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ind w:left="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47.3972</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9"/>
                <w:szCs w:val="9"/>
                <w:color w:val="auto"/>
              </w:rPr>
            </w:pPr>
          </w:p>
        </w:tc>
        <w:tc>
          <w:tcPr>
            <w:tcW w:w="84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7"/>
                <w:szCs w:val="17"/>
                <w:color w:val="0000FF"/>
              </w:rPr>
              <w:t>271,886</w:t>
            </w:r>
          </w:p>
        </w:tc>
        <w:tc>
          <w:tcPr>
            <w:tcW w:w="940" w:type="dxa"/>
            <w:vAlign w:val="bottom"/>
            <w:vMerge w:val="restart"/>
          </w:tcPr>
          <w:p>
            <w:pPr>
              <w:jc w:val="center"/>
              <w:ind w:left="273"/>
              <w:spacing w:after="0"/>
              <w:rPr>
                <w:sz w:val="20"/>
                <w:szCs w:val="20"/>
                <w:color w:val="auto"/>
              </w:rPr>
            </w:pPr>
            <w:r>
              <w:rPr>
                <w:rFonts w:ascii="Times New Roman" w:cs="Times New Roman" w:eastAsia="Times New Roman" w:hAnsi="Times New Roman"/>
                <w:sz w:val="16"/>
                <w:szCs w:val="16"/>
                <w:color w:val="0000FF"/>
                <w:w w:val="74"/>
              </w:rPr>
              <w:t>I</w:t>
            </w:r>
          </w:p>
        </w:tc>
        <w:tc>
          <w:tcPr>
            <w:tcW w:w="1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Grandchildren's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Trust</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Texastac</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11/12/2025</w:t>
            </w: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2,095</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ind w:left="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47.4552</w:t>
            </w:r>
            <w:r>
              <w:rPr>
                <w:rFonts w:ascii="Times New Roman" w:cs="Times New Roman" w:eastAsia="Times New Roman" w:hAnsi="Times New Roman"/>
                <w:sz w:val="22"/>
                <w:szCs w:val="22"/>
                <w:color w:val="008000"/>
                <w:vertAlign w:val="superscript"/>
              </w:rPr>
              <w:t>(2)</w:t>
            </w:r>
          </w:p>
        </w:tc>
        <w:tc>
          <w:tcPr>
            <w:tcW w:w="60" w:type="dxa"/>
            <w:vAlign w:val="bottom"/>
          </w:tcPr>
          <w:p>
            <w:pPr>
              <w:spacing w:after="0"/>
              <w:rPr>
                <w:sz w:val="9"/>
                <w:szCs w:val="9"/>
                <w:color w:val="auto"/>
              </w:rPr>
            </w:pPr>
          </w:p>
        </w:tc>
        <w:tc>
          <w:tcPr>
            <w:tcW w:w="84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7"/>
                <w:szCs w:val="17"/>
                <w:color w:val="0000FF"/>
              </w:rPr>
              <w:t>244,397</w:t>
            </w:r>
          </w:p>
        </w:tc>
        <w:tc>
          <w:tcPr>
            <w:tcW w:w="940" w:type="dxa"/>
            <w:vAlign w:val="bottom"/>
            <w:vMerge w:val="restart"/>
          </w:tcPr>
          <w:p>
            <w:pPr>
              <w:jc w:val="center"/>
              <w:ind w:left="273"/>
              <w:spacing w:after="0"/>
              <w:rPr>
                <w:sz w:val="20"/>
                <w:szCs w:val="20"/>
                <w:color w:val="auto"/>
              </w:rPr>
            </w:pPr>
            <w:r>
              <w:rPr>
                <w:rFonts w:ascii="Times New Roman" w:cs="Times New Roman" w:eastAsia="Times New Roman" w:hAnsi="Times New Roman"/>
                <w:sz w:val="16"/>
                <w:szCs w:val="16"/>
                <w:color w:val="0000FF"/>
                <w:w w:val="74"/>
              </w:rPr>
              <w:t>I</w:t>
            </w:r>
          </w:p>
        </w:tc>
        <w:tc>
          <w:tcPr>
            <w:tcW w:w="1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LP</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7"/>
                <w:szCs w:val="17"/>
                <w:color w:val="0000FF"/>
              </w:rPr>
              <w:t>104,625</w:t>
            </w:r>
          </w:p>
        </w:tc>
        <w:tc>
          <w:tcPr>
            <w:tcW w:w="940" w:type="dxa"/>
            <w:vAlign w:val="bottom"/>
            <w:vMerge w:val="restart"/>
          </w:tcPr>
          <w:p>
            <w:pPr>
              <w:jc w:val="center"/>
              <w:ind w:left="273"/>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7"/>
                <w:szCs w:val="17"/>
                <w:color w:val="0000FF"/>
                <w:w w:val="93"/>
              </w:rPr>
              <w:t>46,150</w:t>
            </w:r>
            <w:r>
              <w:rPr>
                <w:rFonts w:ascii="Times New Roman" w:cs="Times New Roman" w:eastAsia="Times New Roman" w:hAnsi="Times New Roman"/>
                <w:sz w:val="22"/>
                <w:szCs w:val="22"/>
                <w:color w:val="008000"/>
                <w:w w:val="93"/>
                <w:vertAlign w:val="superscript"/>
              </w:rPr>
              <w:t>(3)</w:t>
            </w:r>
          </w:p>
        </w:tc>
        <w:tc>
          <w:tcPr>
            <w:tcW w:w="940" w:type="dxa"/>
            <w:vAlign w:val="bottom"/>
            <w:vMerge w:val="restart"/>
          </w:tcPr>
          <w:p>
            <w:pPr>
              <w:jc w:val="center"/>
              <w:ind w:left="273"/>
              <w:spacing w:after="0"/>
              <w:rPr>
                <w:sz w:val="20"/>
                <w:szCs w:val="20"/>
                <w:color w:val="auto"/>
              </w:rPr>
            </w:pPr>
            <w:r>
              <w:rPr>
                <w:rFonts w:ascii="Times New Roman" w:cs="Times New Roman" w:eastAsia="Times New Roman" w:hAnsi="Times New Roman"/>
                <w:sz w:val="16"/>
                <w:szCs w:val="16"/>
                <w:color w:val="0000FF"/>
                <w:w w:val="74"/>
              </w:rPr>
              <w:t>I</w:t>
            </w:r>
          </w:p>
        </w:tc>
        <w:tc>
          <w:tcPr>
            <w:tcW w:w="1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Custodial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7"/>
                <w:szCs w:val="17"/>
                <w:color w:val="0000FF"/>
                <w:w w:val="99"/>
              </w:rPr>
              <w:t>6,000</w:t>
            </w:r>
          </w:p>
        </w:tc>
        <w:tc>
          <w:tcPr>
            <w:tcW w:w="940" w:type="dxa"/>
            <w:vAlign w:val="bottom"/>
            <w:vMerge w:val="restart"/>
          </w:tcPr>
          <w:p>
            <w:pPr>
              <w:jc w:val="center"/>
              <w:ind w:left="273"/>
              <w:spacing w:after="0"/>
              <w:rPr>
                <w:sz w:val="20"/>
                <w:szCs w:val="20"/>
                <w:color w:val="auto"/>
              </w:rPr>
            </w:pPr>
            <w:r>
              <w:rPr>
                <w:rFonts w:ascii="Times New Roman" w:cs="Times New Roman" w:eastAsia="Times New Roman" w:hAnsi="Times New Roman"/>
                <w:sz w:val="16"/>
                <w:szCs w:val="16"/>
                <w:color w:val="0000FF"/>
                <w:w w:val="74"/>
              </w:rPr>
              <w:t>I</w:t>
            </w:r>
          </w:p>
        </w:tc>
        <w:tc>
          <w:tcPr>
            <w:tcW w:w="15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The Lu 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The Lu 2017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7"/>
                <w:szCs w:val="17"/>
                <w:color w:val="0000FF"/>
                <w:w w:val="99"/>
              </w:rPr>
              <w:t>4,700</w:t>
            </w:r>
          </w:p>
        </w:tc>
        <w:tc>
          <w:tcPr>
            <w:tcW w:w="940" w:type="dxa"/>
            <w:vAlign w:val="bottom"/>
            <w:vMerge w:val="restart"/>
          </w:tcPr>
          <w:p>
            <w:pPr>
              <w:jc w:val="center"/>
              <w:ind w:left="273"/>
              <w:spacing w:after="0"/>
              <w:rPr>
                <w:sz w:val="20"/>
                <w:szCs w:val="20"/>
                <w:color w:val="auto"/>
              </w:rPr>
            </w:pPr>
            <w:r>
              <w:rPr>
                <w:rFonts w:ascii="Times New Roman" w:cs="Times New Roman" w:eastAsia="Times New Roman" w:hAnsi="Times New Roman"/>
                <w:sz w:val="16"/>
                <w:szCs w:val="16"/>
                <w:color w:val="0000FF"/>
                <w:w w:val="74"/>
              </w:rPr>
              <w:t>I</w:t>
            </w:r>
          </w:p>
        </w:tc>
        <w:tc>
          <w:tcPr>
            <w:tcW w:w="1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Trust</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7"/>
                <w:szCs w:val="17"/>
                <w:color w:val="0000FF"/>
              </w:rPr>
              <w:t>92,000</w:t>
            </w:r>
          </w:p>
        </w:tc>
        <w:tc>
          <w:tcPr>
            <w:tcW w:w="940" w:type="dxa"/>
            <w:vAlign w:val="bottom"/>
            <w:vMerge w:val="restart"/>
          </w:tcPr>
          <w:p>
            <w:pPr>
              <w:jc w:val="center"/>
              <w:ind w:left="273"/>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Stock - Performance Stock Units</w:t>
            </w: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20" w:type="dxa"/>
            <w:vAlign w:val="bottom"/>
            <w:gridSpan w:val="13"/>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5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gridSpan w:val="2"/>
          </w:tcPr>
          <w:p>
            <w:pPr>
              <w:ind w:left="5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52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9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$47.14 to $47.61, inclusive. The reporting person undertakes to provide to Diodes Incorporated, any security holder of Diodes Incorporated, or the staff of the Securities and Exchange Commission, upon request, full information regarding the number of shares sold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$47.21 to $47.73, inclusive. The reporting person undertakes to provide to Diodes Incorporated, any security holder of Diodes Incorporated, or the staff of the Securities and Exchange Commission, upon request, full information regarding the number of shares sold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accounts for the reporting persons minor grandchildren and the reporting person is the custodian of those accounts. The reporting person disclaims ownership of the shares held in those custodial accounts, and this report is not an admission that the reporting person is the beneficial owner of these shares for purposes of Section 16 or for any other purposes.</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Brett R. Whitmire as Power of 11/13/2025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 for Keh-Shew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8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96531" TargetMode="External"/><Relationship Id="rId14" Type="http://schemas.openxmlformats.org/officeDocument/2006/relationships/hyperlink" Target="http://www.sec.gov/cgi-bin/browse-edgar?action=getcompany&amp;CIK=0000029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2025-11-13T17:06:53Z</dcterms:created>
  <dcterms:modified xsi:type="dcterms:W3CDTF">2025-11-13T17:06:53Z</dcterms:modified>
</cp:coreProperties>
</file>