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diod-20240416.htm"/>
      <w:bookmarkStart w:id="1" w:name="ksdiod2024041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74" w:type="dxa"/>
        <w:jc w:val="left"/>
        <w:tblInd w:w="0" w:type="dxa"/>
        <w:tblLayout w:type="fixed"/>
        <w:tblCellMar>
          <w:top w:w="28" w:type="dxa"/>
          <w:left w:w="28" w:type="dxa"/>
          <w:bottom w:w="28" w:type="dxa"/>
          <w:right w:w="28" w:type="dxa"/>
        </w:tblCellMar>
      </w:tblPr>
      <w:tblGrid>
        <w:gridCol w:w="5474"/>
      </w:tblGrid>
      <w:tr>
        <w:trPr/>
        <w:tc>
          <w:tcPr>
            <w:tcW w:w="5474" w:type="dxa"/>
            <w:tcBorders/>
            <w:vAlign w:val="center"/>
          </w:tcPr>
          <w:p>
            <w:pPr>
              <w:pStyle w:val="TableContents"/>
              <w:bidi w:val="0"/>
              <w:spacing w:before="0" w:after="283"/>
              <w:jc w:val="left"/>
              <w:rPr>
                <w:sz w:val="4"/>
                <w:szCs w:val="4"/>
              </w:rPr>
            </w:pPr>
            <w:r>
              <w:rPr>
                <w:sz w:val="4"/>
                <w:szCs w:val="4"/>
              </w:rPr>
            </w:r>
          </w:p>
        </w:tc>
      </w:tr>
      <w:tr>
        <w:trPr/>
        <w:tc>
          <w:tcPr>
            <w:tcW w:w="547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April 16,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DIODES INCORPORATED</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972" w:type="dxa"/>
        <w:jc w:val="left"/>
        <w:tblInd w:w="0" w:type="dxa"/>
        <w:tblLayout w:type="fixed"/>
        <w:tblCellMar>
          <w:top w:w="28" w:type="dxa"/>
          <w:left w:w="28" w:type="dxa"/>
          <w:bottom w:w="28" w:type="dxa"/>
          <w:right w:w="28" w:type="dxa"/>
        </w:tblCellMar>
      </w:tblPr>
      <w:tblGrid>
        <w:gridCol w:w="986"/>
        <w:gridCol w:w="900"/>
        <w:gridCol w:w="904"/>
        <w:gridCol w:w="1846"/>
        <w:gridCol w:w="1336"/>
      </w:tblGrid>
      <w:tr>
        <w:trPr/>
        <w:tc>
          <w:tcPr>
            <w:tcW w:w="98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002-25577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95-2039518</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4949 Hedgcoxe Road, 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Plano,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75024</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972</w:t>
            </w:r>
            <w:r>
              <w:rPr>
                <w:rFonts w:ascii="Times New Roman" w:hAnsi="Times New Roman"/>
                <w:color w:val="000000"/>
                <w:sz w:val="20"/>
              </w:rPr>
              <w:t xml:space="preserve"> </w:t>
            </w:r>
            <w:r>
              <w:rPr>
                <w:rFonts w:ascii="Times New Roman" w:hAnsi="Times New Roman"/>
                <w:b/>
                <w:color w:val="000000"/>
                <w:sz w:val="20"/>
              </w:rPr>
              <w:t>987-3900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140" w:type="dxa"/>
        <w:jc w:val="left"/>
        <w:tblInd w:w="0" w:type="dxa"/>
        <w:tblLayout w:type="fixed"/>
        <w:tblCellMar>
          <w:top w:w="28" w:type="dxa"/>
          <w:left w:w="28" w:type="dxa"/>
          <w:bottom w:w="28" w:type="dxa"/>
          <w:right w:w="28" w:type="dxa"/>
        </w:tblCellMar>
      </w:tblPr>
      <w:tblGrid>
        <w:gridCol w:w="3076"/>
        <w:gridCol w:w="146"/>
        <w:gridCol w:w="946"/>
        <w:gridCol w:w="146"/>
        <w:gridCol w:w="382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$0.66 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both"/>
        <w:rPr>
          <w:rFonts w:ascii="Times New Roman" w:hAnsi="Times New Roman"/>
          <w:color w:val="000000"/>
          <w:sz w:val="20"/>
        </w:rPr>
      </w:pPr>
      <w:r>
        <w:rPr>
          <w:rFonts w:ascii="Times New Roman" w:hAnsi="Times New Roman"/>
          <w:color w:val="000000"/>
          <w:sz w:val="20"/>
        </w:rPr>
        <w:t>On April 16, 2024, Diodes Incorporated issued a press release announcing that it will host a conference call on Thursday, May 9, 2024 at 4:00 p.m. Central Time (5:00 p.m. Eastern Time) to discuss its first quarter 2024 financial results. A copy of the press release is furnished as Exhibit 99.1.</w:t>
      </w:r>
    </w:p>
    <w:p>
      <w:pPr>
        <w:pStyle w:val="TextBody"/>
        <w:bidi w:val="0"/>
        <w:jc w:val="both"/>
        <w:rPr>
          <w:rFonts w:ascii="Times New Roman" w:hAnsi="Times New Roman"/>
          <w:color w:val="000000"/>
          <w:sz w:val="20"/>
        </w:rPr>
      </w:pPr>
      <w:r>
        <w:rPr>
          <w:rFonts w:ascii="Times New Roman" w:hAnsi="Times New Roman"/>
          <w:color w:val="000000"/>
          <w:sz w:val="20"/>
        </w:rPr>
        <w:t>The information in this Item 7.01, including Exhibit 99.1, will not be treated as filed for the purposes of Section 18 of the Securities Exchange Act of 1934 (the “Exchange Act”) or otherwise subject to the liabilities of that section. This information will not be incorporated by reference into a filing under the Securities Act of 1933, or into another filing under the Exchange Act, unless that filing expressly refers to specific information in this Form 8-K. The furnishing of the information in this Item 7.01 is not intended to, and does not, constitute a representation that the information in this Item 7.01 is material information that is not otherwise publicly available.</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8072" w:type="dxa"/>
        <w:jc w:val="left"/>
        <w:tblInd w:w="0" w:type="dxa"/>
        <w:tblLayout w:type="fixed"/>
        <w:tblCellMar>
          <w:top w:w="28" w:type="dxa"/>
          <w:left w:w="28" w:type="dxa"/>
          <w:bottom w:w="28" w:type="dxa"/>
          <w:right w:w="28" w:type="dxa"/>
        </w:tblCellMar>
      </w:tblPr>
      <w:tblGrid>
        <w:gridCol w:w="1426"/>
        <w:gridCol w:w="6646"/>
      </w:tblGrid>
      <w:tr>
        <w:trPr/>
        <w:tc>
          <w:tcPr>
            <w:tcW w:w="142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Number</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diod-ex99_1.htm">
              <w:r>
                <w:rPr>
                  <w:rStyle w:val="InternetLink"/>
                  <w:rFonts w:ascii="Times New Roman" w:hAnsi="Times New Roman"/>
                  <w:color w:val="0000FF"/>
                  <w:sz w:val="20"/>
                  <w:u w:val="single"/>
                </w:rPr>
                <w:t>Press release date April 16, 2024</w:t>
              </w:r>
            </w:hyperlink>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669" w:type="dxa"/>
        <w:jc w:val="left"/>
        <w:tblInd w:w="0" w:type="dxa"/>
        <w:tblLayout w:type="fixed"/>
        <w:tblCellMar>
          <w:top w:w="28" w:type="dxa"/>
          <w:left w:w="28" w:type="dxa"/>
          <w:bottom w:w="28" w:type="dxa"/>
          <w:right w:w="28" w:type="dxa"/>
        </w:tblCellMar>
      </w:tblPr>
      <w:tblGrid>
        <w:gridCol w:w="556"/>
        <w:gridCol w:w="1291"/>
        <w:gridCol w:w="451"/>
        <w:gridCol w:w="2371"/>
      </w:tblGrid>
      <w:tr>
        <w:trPr/>
        <w:tc>
          <w:tcPr>
            <w:tcW w:w="5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DIODES INCORPORATED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9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April 16, 2024</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3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/s/Brett R. Whitmire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Brett R. Whitmire</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b/>
          <w:color w:val="000000"/>
          <w:sz w:val="20"/>
        </w:rPr>
      </w:pPr>
      <w:bookmarkStart w:id="2" w:name="diod-ex99_1.htm"/>
      <w:bookmarkStart w:id="3" w:name="ksdiodex99_1"/>
      <w:bookmarkEnd w:id="2"/>
      <w:bookmarkEnd w:id="3"/>
      <w:r>
        <w:rPr>
          <w:rFonts w:ascii="Verdana;sans-serif" w:hAnsi="Verdana;sans-serif"/>
          <w:b/>
          <w:color w:val="000000"/>
          <w:sz w:val="20"/>
        </w:rPr>
        <w:t>Exhibit 99.1</w:t>
      </w:r>
      <w:r>
        <w:br w:type="page"/>
      </w:r>
    </w:p>
    <w:p>
      <w:pPr>
        <w:pStyle w:val="TextBody"/>
        <w:bidi w:val="0"/>
        <w:jc w:val="left"/>
        <w:rPr/>
      </w:pPr>
      <w:r>
        <w:rPr/>
        <w:drawing>
          <wp:inline distT="0" distB="0" distL="0" distR="0">
            <wp:extent cx="178117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81175" cy="495300"/>
                    </a:xfrm>
                    <a:prstGeom prst="rect">
                      <a:avLst/>
                    </a:prstGeom>
                  </pic:spPr>
                </pic:pic>
              </a:graphicData>
            </a:graphic>
          </wp:inline>
        </w:drawing>
      </w:r>
      <w:r>
        <w:rPr/>
        <w:t> </w:t>
      </w:r>
    </w:p>
    <w:p>
      <w:pPr>
        <w:pStyle w:val="TextBody"/>
        <w:bidi w:val="0"/>
        <w:jc w:val="left"/>
        <w:rPr/>
      </w:pPr>
      <w:r>
        <w:rPr/>
        <w:t> </w:t>
      </w:r>
    </w:p>
    <w:p>
      <w:pPr>
        <w:pStyle w:val="TextBody"/>
        <w:bidi w:val="0"/>
        <w:jc w:val="left"/>
        <w:rPr/>
      </w:pPr>
      <w:r>
        <w:rPr/>
        <w:t> </w:t>
      </w:r>
    </w:p>
    <w:p>
      <w:pPr>
        <w:pStyle w:val="TextBody"/>
        <w:bidi w:val="0"/>
        <w:jc w:val="center"/>
        <w:rPr>
          <w:rFonts w:ascii="Verdana;sans-serif" w:hAnsi="Verdana;sans-serif"/>
          <w:b/>
          <w:color w:val="000000"/>
          <w:sz w:val="24"/>
        </w:rPr>
      </w:pPr>
      <w:r>
        <w:rPr>
          <w:rFonts w:ascii="Verdana;sans-serif" w:hAnsi="Verdana;sans-serif"/>
          <w:b/>
          <w:color w:val="000000"/>
          <w:sz w:val="24"/>
        </w:rPr>
        <w:t>Diodes Incorporated to Announce First Quarter 2024 Financial Results on May 9, 2024</w:t>
      </w:r>
    </w:p>
    <w:p>
      <w:pPr>
        <w:pStyle w:val="TextBody"/>
        <w:bidi w:val="0"/>
        <w:jc w:val="center"/>
        <w:rPr/>
      </w:pPr>
      <w:r>
        <w:rPr/>
        <w:t> </w:t>
      </w:r>
    </w:p>
    <w:p>
      <w:pPr>
        <w:pStyle w:val="TextBody"/>
        <w:bidi w:val="0"/>
        <w:jc w:val="both"/>
        <w:rPr>
          <w:rFonts w:ascii="Times New Roman" w:hAnsi="Times New Roman"/>
          <w:sz w:val="20"/>
        </w:rPr>
      </w:pPr>
      <w:r>
        <w:rPr>
          <w:rFonts w:ascii="Verdana;sans-serif" w:hAnsi="Verdana;sans-serif"/>
          <w:b/>
          <w:color w:val="000000"/>
          <w:sz w:val="20"/>
        </w:rPr>
        <w:t xml:space="preserve">Plano, Texas – April 16, 2024 – </w:t>
      </w:r>
      <w:r>
        <w:rPr>
          <w:rFonts w:ascii="Verdana;sans-serif" w:hAnsi="Verdana;sans-serif"/>
          <w:color w:val="000000"/>
          <w:sz w:val="20"/>
        </w:rPr>
        <w:t>Diodes Incorporated (Nasdaq: DIOD) will host a conference call on Thursday, May 9, 2024, at 4:00 p.m. Central Time (5:00 p.m. Eastern Time) to discuss its first quarter 2024 financial results.</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Joining Gary Yu, President of Diodes Incorporated, will be Brett Whitmire, Chief Financial Officer; and Emily Yang, Senior Vice President of Worldwide Sales and Marketing. The Company intends to distribute the announcement of its first quarter 2024 financial results on that same day at 3:05 p.m. Central Time (4:05 p.m. Eastern Time).</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Analysts and investors are invited to join the conference call using the following information:</w:t>
      </w:r>
    </w:p>
    <w:p>
      <w:pPr>
        <w:pStyle w:val="TextBody"/>
        <w:bidi w:val="0"/>
        <w:jc w:val="both"/>
        <w:rPr/>
      </w:pPr>
      <w:r>
        <w:rPr/>
        <w:t> </w:t>
      </w:r>
    </w:p>
    <w:p>
      <w:pPr>
        <w:pStyle w:val="TextBody"/>
        <w:bidi w:val="0"/>
        <w:jc w:val="both"/>
        <w:rPr>
          <w:rFonts w:ascii="Times New Roman" w:hAnsi="Times New Roman"/>
          <w:sz w:val="20"/>
        </w:rPr>
      </w:pPr>
      <w:r>
        <w:rPr>
          <w:rFonts w:ascii="Verdana;sans-serif" w:hAnsi="Verdana;sans-serif"/>
          <w:color w:val="000000"/>
          <w:sz w:val="20"/>
        </w:rPr>
        <w:t xml:space="preserve">Date: </w:t>
      </w:r>
      <w:r>
        <w:rPr>
          <w:rFonts w:ascii="Verdana;sans-serif" w:hAnsi="Verdana;sans-serif"/>
          <w:b/>
          <w:color w:val="000000"/>
          <w:sz w:val="20"/>
        </w:rPr>
        <w:t>Thursday, May 9, 2024</w:t>
      </w:r>
    </w:p>
    <w:p>
      <w:pPr>
        <w:pStyle w:val="TextBody"/>
        <w:bidi w:val="0"/>
        <w:jc w:val="both"/>
        <w:rPr>
          <w:rFonts w:ascii="Times New Roman" w:hAnsi="Times New Roman"/>
          <w:sz w:val="20"/>
        </w:rPr>
      </w:pPr>
      <w:r>
        <w:rPr>
          <w:rFonts w:ascii="Verdana;sans-serif" w:hAnsi="Verdana;sans-serif"/>
          <w:color w:val="000000"/>
          <w:sz w:val="20"/>
        </w:rPr>
        <w:t xml:space="preserve">Time: </w:t>
      </w:r>
      <w:r>
        <w:rPr>
          <w:rFonts w:ascii="Verdana;sans-serif" w:hAnsi="Verdana;sans-serif"/>
          <w:b/>
          <w:color w:val="000000"/>
          <w:sz w:val="20"/>
        </w:rPr>
        <w:t>4:00 p.m. Central Time (5:00 p.m. Eastern Time)</w:t>
      </w:r>
    </w:p>
    <w:p>
      <w:pPr>
        <w:pStyle w:val="TextBody"/>
        <w:bidi w:val="0"/>
        <w:jc w:val="both"/>
        <w:rPr>
          <w:rFonts w:ascii="Times New Roman" w:hAnsi="Times New Roman"/>
          <w:sz w:val="20"/>
        </w:rPr>
      </w:pPr>
      <w:r>
        <w:rPr>
          <w:rFonts w:ascii="Verdana;sans-serif" w:hAnsi="Verdana;sans-serif"/>
          <w:color w:val="000000"/>
          <w:sz w:val="20"/>
        </w:rPr>
        <w:t xml:space="preserve">Conference Call Number: </w:t>
      </w:r>
      <w:r>
        <w:rPr>
          <w:rFonts w:ascii="Verdana;sans-serif" w:hAnsi="Verdana;sans-serif"/>
          <w:b/>
          <w:color w:val="000000"/>
          <w:sz w:val="20"/>
        </w:rPr>
        <w:t>1-833-634-2590</w:t>
      </w:r>
    </w:p>
    <w:p>
      <w:pPr>
        <w:pStyle w:val="TextBody"/>
        <w:bidi w:val="0"/>
        <w:jc w:val="both"/>
        <w:rPr>
          <w:rFonts w:ascii="Times New Roman" w:hAnsi="Times New Roman"/>
          <w:sz w:val="20"/>
        </w:rPr>
      </w:pPr>
      <w:r>
        <w:rPr>
          <w:rFonts w:ascii="Verdana;sans-serif" w:hAnsi="Verdana;sans-serif"/>
          <w:color w:val="000000"/>
          <w:sz w:val="20"/>
        </w:rPr>
        <w:t xml:space="preserve">International Call Number: </w:t>
      </w:r>
      <w:r>
        <w:rPr>
          <w:rFonts w:ascii="Verdana;sans-serif" w:hAnsi="Verdana;sans-serif"/>
          <w:b/>
          <w:color w:val="000000"/>
          <w:sz w:val="20"/>
        </w:rPr>
        <w:t>+1-412-317-6038</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A telephone replay of the conference call will be available approximately two hours after the conference call and will be available through May 16, 2024. The replay dial-in number is 1-877-344-7529, and the pass code is 6259286. International callers should dial +1-412-317-0088 and enter the same pass code at the prompt.</w:t>
      </w:r>
    </w:p>
    <w:p>
      <w:pPr>
        <w:pStyle w:val="TextBody"/>
        <w:bidi w:val="0"/>
        <w:jc w:val="both"/>
        <w:rPr/>
      </w:pPr>
      <w:r>
        <w:rPr/>
        <w:t> </w:t>
      </w:r>
    </w:p>
    <w:p>
      <w:pPr>
        <w:pStyle w:val="TextBody"/>
        <w:bidi w:val="0"/>
        <w:jc w:val="both"/>
        <w:rPr>
          <w:rFonts w:ascii="Times New Roman" w:hAnsi="Times New Roman"/>
          <w:sz w:val="20"/>
        </w:rPr>
      </w:pPr>
      <w:r>
        <w:rPr>
          <w:rFonts w:ascii="Verdana;sans-serif" w:hAnsi="Verdana;sans-serif"/>
          <w:color w:val="000000"/>
          <w:sz w:val="20"/>
        </w:rPr>
        <w:t xml:space="preserve">Additionally, this conference call will be broadcast live over the Internet and can be accessed by all interested parties on the </w:t>
      </w:r>
      <w:r>
        <w:rPr>
          <w:rFonts w:ascii="Verdana;sans-serif" w:hAnsi="Verdana;sans-serif"/>
          <w:sz w:val="20"/>
        </w:rPr>
        <w:t>Investor Relations section</w:t>
      </w:r>
      <w:r>
        <w:rPr>
          <w:rFonts w:ascii="Times New Roman" w:hAnsi="Times New Roman"/>
          <w:color w:val="000000"/>
          <w:sz w:val="20"/>
        </w:rPr>
        <w:t xml:space="preserve"> </w:t>
      </w:r>
      <w:r>
        <w:rPr>
          <w:rFonts w:ascii="Verdana;sans-serif" w:hAnsi="Verdana;sans-serif"/>
          <w:color w:val="000000"/>
          <w:sz w:val="20"/>
        </w:rPr>
        <w:t>of the Company’s website. Please click on the webcast link at least fifteen minutes prior to the start of the call to register, download and install any necessary audio software. For those unable to participate during the live broadcast of the conference call, a replay webcast will be available shortly thereafter on the Company’s website for approximately 90 days.</w:t>
      </w:r>
    </w:p>
    <w:p>
      <w:pPr>
        <w:pStyle w:val="TextBody"/>
        <w:bidi w:val="0"/>
        <w:jc w:val="both"/>
        <w:rPr/>
      </w:pPr>
      <w:r>
        <w:rPr/>
        <w:t> </w:t>
      </w:r>
    </w:p>
    <w:p>
      <w:pPr>
        <w:pStyle w:val="TextBody"/>
        <w:bidi w:val="0"/>
        <w:spacing w:before="0" w:after="240"/>
        <w:jc w:val="both"/>
        <w:rPr>
          <w:rFonts w:ascii="Verdana;sans-serif" w:hAnsi="Verdana;sans-serif"/>
          <w:b/>
          <w:color w:val="000000"/>
          <w:sz w:val="20"/>
        </w:rPr>
      </w:pPr>
      <w:r>
        <w:rPr>
          <w:rFonts w:ascii="Verdana;sans-serif" w:hAnsi="Verdana;sans-serif"/>
          <w:b/>
          <w:color w:val="000000"/>
          <w:sz w:val="20"/>
        </w:rPr>
        <w:t>About Diodes Incorporated</w:t>
      </w:r>
    </w:p>
    <w:p>
      <w:pPr>
        <w:pStyle w:val="TextBody"/>
        <w:bidi w:val="0"/>
        <w:spacing w:before="0" w:after="180"/>
        <w:jc w:val="both"/>
        <w:rPr>
          <w:rFonts w:ascii="Times New Roman" w:hAnsi="Times New Roman"/>
          <w:sz w:val="20"/>
        </w:rPr>
      </w:pPr>
      <w:r>
        <w:rPr>
          <w:rFonts w:ascii="Verdana;sans-serif" w:hAnsi="Verdana;sans-serif"/>
          <w:color w:val="000000"/>
          <w:sz w:val="20"/>
        </w:rPr>
        <w:t>Diodes Incorporated</w:t>
      </w:r>
      <w:r>
        <w:rPr>
          <w:rFonts w:ascii="Times New Roman" w:hAnsi="Times New Roman"/>
          <w:color w:val="333333"/>
          <w:sz w:val="20"/>
        </w:rPr>
        <w:t xml:space="preserve"> </w:t>
      </w:r>
      <w:r>
        <w:rPr>
          <w:rFonts w:ascii="Verdana;sans-serif" w:hAnsi="Verdana;sans-serif"/>
          <w:color w:val="333333"/>
          <w:sz w:val="20"/>
        </w:rPr>
        <w:t>(Nasdaq: DIOD), a Standard and Poor’s SmallCap 600 and Russell 3000 Index company, delivers high-quality semiconductor products to the world’s leading companies in the automotive, industrial, computing, consumer electronics, and communications markets. We leverage our expanded product portfolio of discrete, analog, and mixed-signal products and leading-edge packaging technology to meet customers’ needs. Our broad range of application-specific solutions and solutions-focused sales,</w:t>
      </w:r>
      <w:r>
        <w:rPr>
          <w:rFonts w:ascii="Times New Roman" w:hAnsi="Times New Roman"/>
          <w:color w:val="333333"/>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80"/>
        <w:jc w:val="both"/>
        <w:rPr>
          <w:rFonts w:ascii="Times New Roman" w:hAnsi="Times New Roman"/>
          <w:sz w:val="20"/>
        </w:rPr>
      </w:pPr>
      <w:r>
        <w:rPr>
          <w:rFonts w:ascii="Verdana;sans-serif" w:hAnsi="Verdana;sans-serif"/>
          <w:color w:val="333333"/>
          <w:sz w:val="20"/>
        </w:rPr>
        <w:t xml:space="preserve">coupled with worldwide operations of 32 sites, including engineering, testing, manufacturing, and customer service, enables us to be a premier provider for high-volume, high-growth markets. For more information visit </w:t>
      </w:r>
      <w:r>
        <w:rPr>
          <w:rFonts w:ascii="Verdana;sans-serif" w:hAnsi="Verdana;sans-serif"/>
          <w:sz w:val="20"/>
        </w:rPr>
        <w:t>www.diodes.com</w:t>
      </w:r>
    </w:p>
    <w:p>
      <w:pPr>
        <w:pStyle w:val="TextBody"/>
        <w:bidi w:val="0"/>
        <w:spacing w:before="0" w:after="180"/>
        <w:jc w:val="both"/>
        <w:rPr>
          <w:rFonts w:ascii="Verdana;sans-serif" w:hAnsi="Verdana;sans-serif"/>
          <w:i/>
          <w:color w:val="333333"/>
          <w:sz w:val="20"/>
        </w:rPr>
      </w:pPr>
      <w:r>
        <w:rPr>
          <w:rFonts w:ascii="Verdana;sans-serif" w:hAnsi="Verdana;sans-serif"/>
          <w:i/>
          <w:color w:val="333333"/>
          <w:sz w:val="20"/>
        </w:rPr>
        <w:t>The Diodes logo is a registered trademark of Diodes Incorporated in the United States and other countries.</w:t>
      </w:r>
    </w:p>
    <w:p>
      <w:pPr>
        <w:pStyle w:val="TextBody"/>
        <w:bidi w:val="0"/>
        <w:spacing w:before="0" w:after="180"/>
        <w:jc w:val="left"/>
        <w:rPr>
          <w:rFonts w:ascii="Verdana;sans-serif" w:hAnsi="Verdana;sans-serif"/>
          <w:i/>
          <w:color w:val="333333"/>
          <w:sz w:val="20"/>
        </w:rPr>
      </w:pPr>
      <w:r>
        <w:rPr>
          <w:rFonts w:ascii="Verdana;sans-serif" w:hAnsi="Verdana;sans-serif"/>
          <w:i/>
          <w:color w:val="333333"/>
          <w:sz w:val="20"/>
        </w:rPr>
        <w:t>© 2024 Diodes Incorporated. All Rights Reserved.</w:t>
      </w:r>
    </w:p>
    <w:p>
      <w:pPr>
        <w:pStyle w:val="TextBody"/>
        <w:bidi w:val="0"/>
        <w:jc w:val="left"/>
        <w:rPr/>
      </w:pPr>
      <w:r>
        <w:rPr/>
        <w:t> </w:t>
      </w:r>
    </w:p>
    <w:p>
      <w:pPr>
        <w:pStyle w:val="TextBody"/>
        <w:bidi w:val="0"/>
        <w:jc w:val="left"/>
        <w:rPr>
          <w:rFonts w:ascii="Times New Roman" w:hAnsi="Times New Roman"/>
          <w:sz w:val="20"/>
        </w:rPr>
      </w:pPr>
      <w:r>
        <w:rPr>
          <w:rFonts w:ascii="Verdana;sans-serif" w:hAnsi="Verdana;sans-serif"/>
          <w:b/>
          <w:color w:val="000000"/>
          <w:sz w:val="20"/>
        </w:rPr>
        <w:t>Company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Verdana;sans-serif" w:hAnsi="Verdana;sans-serif"/>
          <w:color w:val="000000"/>
          <w:sz w:val="20"/>
        </w:rPr>
        <w:t>Diodes Incorporated</w:t>
      </w:r>
      <w:r>
        <w:rPr>
          <w:rFonts w:ascii="Times New Roman" w:hAnsi="Times New Roman"/>
          <w:color w:val="000000"/>
          <w:sz w:val="20"/>
        </w:rPr>
        <w:t xml:space="preserve"> </w:t>
      </w:r>
    </w:p>
    <w:p>
      <w:pPr>
        <w:pStyle w:val="TextBody"/>
        <w:bidi w:val="0"/>
        <w:jc w:val="left"/>
        <w:rPr>
          <w:rFonts w:ascii="Verdana;sans-serif" w:hAnsi="Verdana;sans-serif"/>
          <w:color w:val="000000"/>
          <w:sz w:val="20"/>
        </w:rPr>
      </w:pPr>
      <w:r>
        <w:rPr>
          <w:rFonts w:ascii="Verdana;sans-serif" w:hAnsi="Verdana;sans-serif"/>
          <w:color w:val="000000"/>
          <w:sz w:val="20"/>
        </w:rPr>
        <w:t>Gurmeet Dhaliwal</w:t>
      </w:r>
    </w:p>
    <w:p>
      <w:pPr>
        <w:pStyle w:val="TextBody"/>
        <w:bidi w:val="0"/>
        <w:jc w:val="left"/>
        <w:rPr>
          <w:rFonts w:ascii="Verdana;sans-serif" w:hAnsi="Verdana;sans-serif"/>
          <w:color w:val="000000"/>
          <w:sz w:val="20"/>
        </w:rPr>
      </w:pPr>
      <w:r>
        <w:rPr>
          <w:rFonts w:ascii="Verdana;sans-serif" w:hAnsi="Verdana;sans-serif"/>
          <w:color w:val="000000"/>
          <w:sz w:val="20"/>
        </w:rPr>
        <w:t>Director, Investor Relations &amp; Corporate Marketing</w:t>
      </w:r>
    </w:p>
    <w:p>
      <w:pPr>
        <w:pStyle w:val="TextBody"/>
        <w:bidi w:val="0"/>
        <w:jc w:val="left"/>
        <w:rPr>
          <w:rFonts w:ascii="Verdana;sans-serif" w:hAnsi="Verdana;sans-serif"/>
          <w:color w:val="000000"/>
          <w:sz w:val="20"/>
        </w:rPr>
      </w:pPr>
      <w:r>
        <w:rPr>
          <w:rFonts w:ascii="Verdana;sans-serif" w:hAnsi="Verdana;sans-serif"/>
          <w:color w:val="000000"/>
          <w:sz w:val="20"/>
        </w:rPr>
        <w:t>P: 408-232-9003</w:t>
      </w:r>
    </w:p>
    <w:p>
      <w:pPr>
        <w:pStyle w:val="TextBody"/>
        <w:bidi w:val="0"/>
        <w:jc w:val="left"/>
        <w:rPr>
          <w:rFonts w:ascii="Times New Roman" w:hAnsi="Times New Roman"/>
          <w:sz w:val="20"/>
        </w:rPr>
      </w:pPr>
      <w:r>
        <w:rPr>
          <w:rFonts w:ascii="Verdana;sans-serif" w:hAnsi="Verdana;sans-serif"/>
          <w:color w:val="000000"/>
          <w:sz w:val="20"/>
        </w:rPr>
        <w:t xml:space="preserve">E: </w:t>
      </w:r>
      <w:r>
        <w:rPr>
          <w:rFonts w:ascii="Verdana;sans-serif" w:hAnsi="Verdana;sans-serif"/>
          <w:sz w:val="20"/>
        </w:rPr>
        <w:t>Gurmeet_Dhaliwal@diodes.com</w:t>
      </w:r>
    </w:p>
    <w:p>
      <w:pPr>
        <w:pStyle w:val="TextBody"/>
        <w:bidi w:val="0"/>
        <w:jc w:val="left"/>
        <w:rPr/>
      </w:pPr>
      <w:r>
        <w:rPr/>
        <w:t> </w:t>
      </w:r>
    </w:p>
    <w:p>
      <w:pPr>
        <w:pStyle w:val="TextBody"/>
        <w:bidi w:val="0"/>
        <w:jc w:val="left"/>
        <w:rPr>
          <w:rFonts w:ascii="Verdana;sans-serif" w:hAnsi="Verdana;sans-serif"/>
          <w:b/>
          <w:color w:val="000000"/>
          <w:sz w:val="20"/>
        </w:rPr>
      </w:pPr>
      <w:r>
        <w:rPr>
          <w:rFonts w:ascii="Verdana;sans-serif" w:hAnsi="Verdana;sans-serif"/>
          <w:b/>
          <w:color w:val="000000"/>
          <w:sz w:val="20"/>
        </w:rPr>
        <w:t>Investor Relations Contact:</w:t>
      </w:r>
    </w:p>
    <w:p>
      <w:pPr>
        <w:pStyle w:val="TextBody"/>
        <w:bidi w:val="0"/>
        <w:jc w:val="left"/>
        <w:rPr>
          <w:rFonts w:ascii="Verdana;sans-serif" w:hAnsi="Verdana;sans-serif"/>
          <w:color w:val="000000"/>
          <w:sz w:val="20"/>
        </w:rPr>
      </w:pPr>
      <w:r>
        <w:rPr>
          <w:rFonts w:ascii="Verdana;sans-serif" w:hAnsi="Verdana;sans-serif"/>
          <w:color w:val="000000"/>
          <w:sz w:val="20"/>
        </w:rPr>
        <w:t>Shelton Group</w:t>
      </w:r>
    </w:p>
    <w:p>
      <w:pPr>
        <w:pStyle w:val="TextBody"/>
        <w:bidi w:val="0"/>
        <w:jc w:val="left"/>
        <w:rPr>
          <w:rFonts w:ascii="Verdana;sans-serif" w:hAnsi="Verdana;sans-serif"/>
          <w:color w:val="000000"/>
          <w:sz w:val="20"/>
        </w:rPr>
      </w:pPr>
      <w:r>
        <w:rPr>
          <w:rFonts w:ascii="Verdana;sans-serif" w:hAnsi="Verdana;sans-serif"/>
          <w:color w:val="000000"/>
          <w:sz w:val="20"/>
        </w:rPr>
        <w:t>Leanne K. Sievers, President</w:t>
      </w:r>
    </w:p>
    <w:p>
      <w:pPr>
        <w:pStyle w:val="TextBody"/>
        <w:bidi w:val="0"/>
        <w:jc w:val="left"/>
        <w:rPr>
          <w:rFonts w:ascii="Times New Roman" w:hAnsi="Times New Roman"/>
          <w:sz w:val="20"/>
        </w:rPr>
      </w:pPr>
      <w:r>
        <w:rPr>
          <w:rFonts w:ascii="Verdana;sans-serif" w:hAnsi="Verdana;sans-serif"/>
          <w:color w:val="000000"/>
          <w:sz w:val="20"/>
        </w:rPr>
        <w:t xml:space="preserve">E: </w:t>
      </w:r>
      <w:r>
        <w:rPr>
          <w:rFonts w:ascii="Verdana;sans-serif" w:hAnsi="Verdana;sans-serif"/>
          <w:sz w:val="20"/>
        </w:rPr>
        <w:t>sheltonir@sheltongroup.com</w:t>
      </w:r>
      <w:r>
        <w:rPr>
          <w:rFonts w:ascii="Times New Roman" w:hAnsi="Times New Roman"/>
          <w:color w:val="0563C1"/>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963</Words>
  <Characters>5450</Characters>
  <CharactersWithSpaces>6397</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