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December 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DIODES INCORPORATED</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40" w:type="dxa"/>
            <w:vAlign w:val="bottom"/>
          </w:tcPr>
          <w:p>
            <w:pPr>
              <w:jc w:val="center"/>
              <w:ind w:right="2379"/>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ind w:left="220"/>
              <w:spacing w:after="0"/>
              <w:rPr>
                <w:sz w:val="20"/>
                <w:szCs w:val="20"/>
                <w:color w:val="auto"/>
              </w:rPr>
            </w:pPr>
            <w:r>
              <w:rPr>
                <w:rFonts w:ascii="Arial" w:cs="Arial" w:eastAsia="Arial" w:hAnsi="Arial"/>
                <w:sz w:val="18"/>
                <w:szCs w:val="18"/>
                <w:b w:val="1"/>
                <w:bCs w:val="1"/>
                <w:color w:val="auto"/>
              </w:rPr>
              <w:t>002-25577</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95-2039518</w:t>
            </w:r>
          </w:p>
        </w:tc>
      </w:tr>
      <w:tr>
        <w:trPr>
          <w:trHeight w:val="149"/>
        </w:trPr>
        <w:tc>
          <w:tcPr>
            <w:tcW w:w="4140" w:type="dxa"/>
            <w:vAlign w:val="bottom"/>
          </w:tcPr>
          <w:p>
            <w:pPr>
              <w:jc w:val="center"/>
              <w:ind w:right="23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40" w:type="dxa"/>
            <w:vAlign w:val="bottom"/>
          </w:tcPr>
          <w:p>
            <w:pPr>
              <w:jc w:val="center"/>
              <w:ind w:right="2359"/>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ind w:left="1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40" w:type="dxa"/>
            <w:vAlign w:val="bottom"/>
          </w:tcPr>
          <w:p>
            <w:pPr>
              <w:jc w:val="center"/>
              <w:ind w:left="1259"/>
              <w:spacing w:after="0"/>
              <w:rPr>
                <w:sz w:val="20"/>
                <w:szCs w:val="20"/>
                <w:color w:val="auto"/>
              </w:rPr>
            </w:pPr>
            <w:r>
              <w:rPr>
                <w:rFonts w:ascii="Arial" w:cs="Arial" w:eastAsia="Arial" w:hAnsi="Arial"/>
                <w:sz w:val="18"/>
                <w:szCs w:val="18"/>
                <w:b w:val="1"/>
                <w:bCs w:val="1"/>
                <w:color w:val="auto"/>
                <w:w w:val="88"/>
              </w:rPr>
              <w:t>4949 Hedgcoxe Road, Suite 200,</w:t>
            </w:r>
          </w:p>
        </w:tc>
        <w:tc>
          <w:tcPr>
            <w:tcW w:w="2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40" w:type="dxa"/>
            <w:vAlign w:val="bottom"/>
          </w:tcPr>
          <w:p>
            <w:pPr>
              <w:jc w:val="center"/>
              <w:ind w:left="1239"/>
              <w:spacing w:after="0"/>
              <w:rPr>
                <w:sz w:val="20"/>
                <w:szCs w:val="20"/>
                <w:color w:val="auto"/>
              </w:rPr>
            </w:pPr>
            <w:r>
              <w:rPr>
                <w:rFonts w:ascii="Arial" w:cs="Arial" w:eastAsia="Arial" w:hAnsi="Arial"/>
                <w:sz w:val="18"/>
                <w:szCs w:val="18"/>
                <w:b w:val="1"/>
                <w:bCs w:val="1"/>
                <w:color w:val="auto"/>
                <w:w w:val="95"/>
              </w:rPr>
              <w:t>Plano, TX</w:t>
            </w:r>
          </w:p>
        </w:tc>
        <w:tc>
          <w:tcPr>
            <w:tcW w:w="240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75024</w:t>
            </w:r>
          </w:p>
        </w:tc>
      </w:tr>
      <w:tr>
        <w:trPr>
          <w:trHeight w:val="186"/>
        </w:trPr>
        <w:tc>
          <w:tcPr>
            <w:tcW w:w="4140" w:type="dxa"/>
            <w:vAlign w:val="bottom"/>
          </w:tcPr>
          <w:p>
            <w:pPr>
              <w:jc w:val="center"/>
              <w:ind w:left="12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(972) 987-3900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0" w:lineRule="exact"/>
        <w:rPr>
          <w:sz w:val="24"/>
          <w:szCs w:val="24"/>
          <w:color w:val="auto"/>
        </w:rPr>
      </w:pPr>
    </w:p>
    <w:p>
      <w:pPr>
        <w:spacing w:after="0" w:line="239"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216" w:right="299" w:bottom="1440" w:gutter="0" w:footer="0" w:header="0"/>
        </w:sectPr>
      </w:pPr>
    </w:p>
    <w:bookmarkStart w:id="1" w:name="page2"/>
    <w:bookmarkEnd w:id="1"/>
    <w:p>
      <w:pPr>
        <w:ind w:left="1320" w:right="100" w:hanging="1103"/>
        <w:spacing w:after="0" w:line="298"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Bonuses</w:t>
      </w:r>
    </w:p>
    <w:p>
      <w:pPr>
        <w:spacing w:after="0" w:line="310" w:lineRule="exact"/>
        <w:rPr>
          <w:sz w:val="20"/>
          <w:szCs w:val="20"/>
          <w:color w:val="auto"/>
        </w:rPr>
      </w:pPr>
    </w:p>
    <w:p>
      <w:pPr>
        <w:jc w:val="both"/>
        <w:ind w:firstLine="995"/>
        <w:spacing w:after="0" w:line="277" w:lineRule="auto"/>
        <w:rPr>
          <w:sz w:val="20"/>
          <w:szCs w:val="20"/>
          <w:color w:val="auto"/>
        </w:rPr>
      </w:pPr>
      <w:r>
        <w:rPr>
          <w:rFonts w:ascii="Arial" w:cs="Arial" w:eastAsia="Arial" w:hAnsi="Arial"/>
          <w:sz w:val="18"/>
          <w:szCs w:val="18"/>
          <w:color w:val="auto"/>
        </w:rPr>
        <w:t>On December 5, 2018, the Compensation Committee of the Board of Directors (the “Committee”) of Diodes Incorporated (the “Company”) approved the distribution of a cash bonus to the executive officers of the Company for their services rendered in fiscal 2018.</w:t>
      </w:r>
    </w:p>
    <w:p>
      <w:pPr>
        <w:spacing w:after="0" w:line="170" w:lineRule="exact"/>
        <w:rPr>
          <w:sz w:val="20"/>
          <w:szCs w:val="20"/>
          <w:color w:val="auto"/>
        </w:rPr>
      </w:pPr>
    </w:p>
    <w:p>
      <w:pPr>
        <w:jc w:val="both"/>
        <w:ind w:firstLine="877"/>
        <w:spacing w:after="0" w:line="255" w:lineRule="auto"/>
        <w:rPr>
          <w:sz w:val="20"/>
          <w:szCs w:val="20"/>
          <w:color w:val="auto"/>
        </w:rPr>
      </w:pPr>
      <w:r>
        <w:rPr>
          <w:rFonts w:ascii="Arial" w:cs="Arial" w:eastAsia="Arial" w:hAnsi="Arial"/>
          <w:sz w:val="18"/>
          <w:szCs w:val="18"/>
          <w:color w:val="auto"/>
        </w:rPr>
        <w:t>For 2018, the cash bonus for each executive is based on a multiple of that executive’s salary and consists of two components: a Company-wide performance component which accounts for 80% of the bonus; and an individual performance component which accounts for 20% of the bonus. The Company-wide performance component is based on achievement of a revenue target and a non-GAAP earnings per share target, which are weighted 80% and 20%, respectively. The individual performance component is based on achievement of individual objectives. The Company-wide performance targets and the individual performance objectives were selected from a list of performance incentive objectives contained in the 2013 Equity Incentive Plan approved by the Company’s stockholders.</w:t>
      </w:r>
    </w:p>
    <w:p>
      <w:pPr>
        <w:spacing w:after="0" w:line="193" w:lineRule="exact"/>
        <w:rPr>
          <w:sz w:val="20"/>
          <w:szCs w:val="20"/>
          <w:color w:val="auto"/>
        </w:rPr>
      </w:pPr>
    </w:p>
    <w:p>
      <w:pPr>
        <w:jc w:val="both"/>
        <w:ind w:firstLine="995"/>
        <w:spacing w:after="0" w:line="255" w:lineRule="auto"/>
        <w:rPr>
          <w:sz w:val="20"/>
          <w:szCs w:val="20"/>
          <w:color w:val="auto"/>
        </w:rPr>
      </w:pPr>
      <w:r>
        <w:rPr>
          <w:rFonts w:ascii="Arial" w:cs="Arial" w:eastAsia="Arial" w:hAnsi="Arial"/>
          <w:sz w:val="18"/>
          <w:szCs w:val="18"/>
          <w:color w:val="auto"/>
        </w:rPr>
        <w:t>If the Company achieves 100% of the Company-wide performance targets and the executive achieves 100% of his or her individual performance objectives, the executive will be entitled to receive 100% of his or her target bonus. Achievement of 80% of both the Company-wide performance targets and the individual objectives (“threshold”) would result in a bonus equal to 50% of the target bonus, and achievement of 120% of the Company-wide performance targets and 100% of the individual objectives (“maximum”) would result in a bonus of 200% of the target bonus. Achievement of less than 80% of both the Company-wide performance targets and the individual objectives would result in the payment of no bonus, and achievement of more than 120% would not result in the payment of a bonus of more than 200% of the target bonus. Performance between the threshold and target, and between the target and maximum, would result in a prorated bonus.</w:t>
      </w:r>
    </w:p>
    <w:p>
      <w:pPr>
        <w:spacing w:after="0" w:line="189" w:lineRule="exact"/>
        <w:rPr>
          <w:sz w:val="20"/>
          <w:szCs w:val="20"/>
          <w:color w:val="auto"/>
        </w:rPr>
      </w:pPr>
    </w:p>
    <w:p>
      <w:pPr>
        <w:jc w:val="both"/>
        <w:ind w:firstLine="995"/>
        <w:spacing w:after="0" w:line="302" w:lineRule="auto"/>
        <w:rPr>
          <w:sz w:val="20"/>
          <w:szCs w:val="20"/>
          <w:color w:val="auto"/>
        </w:rPr>
      </w:pPr>
      <w:r>
        <w:rPr>
          <w:rFonts w:ascii="Arial" w:cs="Arial" w:eastAsia="Arial" w:hAnsi="Arial"/>
          <w:sz w:val="16"/>
          <w:szCs w:val="16"/>
          <w:color w:val="auto"/>
        </w:rPr>
        <w:t>The Committee estimated the bonus to which each executive officer will be entitled for fiscal 2018, based on the Committee’s current estimate of the performance of the Company for fiscal 2018 and the Committee’s assessment of each executive’s achievement of his or her individual objectives. The Committee approved the payment of 80% of the awards in December 2018, with the remaining 20% payable upon confirmation of the performance of the Company in fiscal 2018. The Committee approved the payment of cash bonuses to the following named executive officers of the Company:</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2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660" w:type="dxa"/>
            <w:vAlign w:val="bottom"/>
            <w:gridSpan w:val="2"/>
          </w:tcPr>
          <w:p>
            <w:pPr>
              <w:ind w:left="1860"/>
              <w:spacing w:after="0"/>
              <w:rPr>
                <w:sz w:val="20"/>
                <w:szCs w:val="20"/>
                <w:color w:val="auto"/>
              </w:rPr>
            </w:pPr>
            <w:r>
              <w:rPr>
                <w:rFonts w:ascii="Arial" w:cs="Arial" w:eastAsia="Arial" w:hAnsi="Arial"/>
                <w:sz w:val="18"/>
                <w:szCs w:val="18"/>
                <w:b w:val="1"/>
                <w:bCs w:val="1"/>
                <w:color w:val="auto"/>
              </w:rPr>
              <w:t>Position</w:t>
            </w:r>
          </w:p>
        </w:tc>
        <w:tc>
          <w:tcPr>
            <w:tcW w:w="2100" w:type="dxa"/>
            <w:vAlign w:val="bottom"/>
            <w:gridSpan w:val="3"/>
          </w:tcPr>
          <w:p>
            <w:pPr>
              <w:ind w:left="200"/>
              <w:spacing w:after="0"/>
              <w:rPr>
                <w:sz w:val="20"/>
                <w:szCs w:val="20"/>
                <w:color w:val="auto"/>
              </w:rPr>
            </w:pPr>
            <w:r>
              <w:rPr>
                <w:rFonts w:ascii="Arial" w:cs="Arial" w:eastAsia="Arial" w:hAnsi="Arial"/>
                <w:sz w:val="18"/>
                <w:szCs w:val="18"/>
                <w:b w:val="1"/>
                <w:bCs w:val="1"/>
                <w:color w:val="auto"/>
              </w:rPr>
              <w:t>Amount Awarded</w:t>
            </w:r>
          </w:p>
        </w:tc>
        <w:tc>
          <w:tcPr>
            <w:tcW w:w="320" w:type="dxa"/>
            <w:vAlign w:val="bottom"/>
          </w:tcPr>
          <w:p>
            <w:pPr>
              <w:spacing w:after="0"/>
              <w:rPr>
                <w:sz w:val="20"/>
                <w:szCs w:val="20"/>
                <w:color w:val="auto"/>
              </w:rPr>
            </w:pPr>
          </w:p>
        </w:tc>
        <w:tc>
          <w:tcPr>
            <w:tcW w:w="1660" w:type="dxa"/>
            <w:vAlign w:val="bottom"/>
          </w:tcPr>
          <w:p>
            <w:pPr>
              <w:ind w:left="100"/>
              <w:spacing w:after="0"/>
              <w:rPr>
                <w:sz w:val="20"/>
                <w:szCs w:val="20"/>
                <w:color w:val="auto"/>
              </w:rPr>
            </w:pPr>
            <w:r>
              <w:rPr>
                <w:rFonts w:ascii="Arial" w:cs="Arial" w:eastAsia="Arial" w:hAnsi="Arial"/>
                <w:sz w:val="18"/>
                <w:szCs w:val="18"/>
                <w:b w:val="1"/>
                <w:bCs w:val="1"/>
                <w:color w:val="auto"/>
              </w:rPr>
              <w:t xml:space="preserve">Amount Paid </w:t>
            </w:r>
            <w:r>
              <w:rPr>
                <w:rFonts w:ascii="Arial" w:cs="Arial" w:eastAsia="Arial" w:hAnsi="Arial"/>
                <w:sz w:val="15"/>
                <w:szCs w:val="15"/>
                <w:b w:val="1"/>
                <w:bCs w:val="1"/>
                <w:color w:val="auto"/>
              </w:rPr>
              <w:t>1</w:t>
            </w:r>
          </w:p>
        </w:tc>
      </w:tr>
      <w:tr>
        <w:trPr>
          <w:trHeight w:val="230"/>
        </w:trPr>
        <w:tc>
          <w:tcPr>
            <w:tcW w:w="184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Keh-Shew Lu</w:t>
            </w:r>
          </w:p>
        </w:tc>
        <w:tc>
          <w:tcPr>
            <w:tcW w:w="380" w:type="dxa"/>
            <w:vAlign w:val="bottom"/>
            <w:tcBorders>
              <w:top w:val="single" w:sz="8" w:color="CFF0FC"/>
              <w:bottom w:val="single" w:sz="8" w:color="CFF0FC"/>
            </w:tcBorders>
            <w:shd w:val="clear" w:color="auto" w:fill="CFF0FC"/>
          </w:tcPr>
          <w:p>
            <w:pPr>
              <w:spacing w:after="0"/>
              <w:rPr>
                <w:sz w:val="20"/>
                <w:szCs w:val="20"/>
                <w:color w:val="auto"/>
              </w:rPr>
            </w:pPr>
          </w:p>
        </w:tc>
        <w:tc>
          <w:tcPr>
            <w:tcW w:w="434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President and Chief Executive Officer</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CFF0FC"/>
            </w:tcBorders>
            <w:shd w:val="clear" w:color="auto" w:fill="CFF0FC"/>
          </w:tcPr>
          <w:p>
            <w:pPr>
              <w:jc w:val="right"/>
              <w:ind w:right="174"/>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CFF0FC"/>
            </w:tcBorders>
            <w:shd w:val="clear" w:color="auto" w:fill="CFF0FC"/>
          </w:tcPr>
          <w:p>
            <w:pPr>
              <w:jc w:val="center"/>
              <w:ind w:right="39"/>
              <w:spacing w:after="0"/>
              <w:rPr>
                <w:sz w:val="20"/>
                <w:szCs w:val="20"/>
                <w:color w:val="auto"/>
              </w:rPr>
            </w:pPr>
            <w:r>
              <w:rPr>
                <w:rFonts w:ascii="Arial" w:cs="Arial" w:eastAsia="Arial" w:hAnsi="Arial"/>
                <w:sz w:val="16"/>
                <w:szCs w:val="16"/>
                <w:color w:val="auto"/>
                <w:w w:val="89"/>
              </w:rPr>
              <w:t>1,660,022</w:t>
            </w:r>
          </w:p>
        </w:tc>
        <w:tc>
          <w:tcPr>
            <w:tcW w:w="320" w:type="dxa"/>
            <w:vAlign w:val="bottom"/>
            <w:tcBorders>
              <w:top w:val="single" w:sz="8" w:color="CFF0FC"/>
              <w:bottom w:val="single" w:sz="8" w:color="CFF0FC"/>
            </w:tcBorders>
            <w:shd w:val="clear" w:color="auto" w:fill="CFF0FC"/>
          </w:tcPr>
          <w:p>
            <w:pPr>
              <w:spacing w:after="0"/>
              <w:rPr>
                <w:sz w:val="20"/>
                <w:szCs w:val="20"/>
                <w:color w:val="auto"/>
              </w:rPr>
            </w:pPr>
          </w:p>
        </w:tc>
        <w:tc>
          <w:tcPr>
            <w:tcW w:w="320" w:type="dxa"/>
            <w:vAlign w:val="bottom"/>
            <w:tcBorders>
              <w:top w:val="single" w:sz="8" w:color="auto"/>
              <w:bottom w:val="single" w:sz="8" w:color="CFF0FC"/>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CFF0FC"/>
            </w:tcBorders>
            <w:shd w:val="clear" w:color="auto" w:fill="CFF0FC"/>
          </w:tcPr>
          <w:p>
            <w:pPr>
              <w:jc w:val="center"/>
              <w:spacing w:after="0"/>
              <w:rPr>
                <w:sz w:val="20"/>
                <w:szCs w:val="20"/>
                <w:color w:val="auto"/>
              </w:rPr>
            </w:pPr>
            <w:r>
              <w:rPr>
                <w:rFonts w:ascii="Arial" w:cs="Arial" w:eastAsia="Arial" w:hAnsi="Arial"/>
                <w:sz w:val="16"/>
                <w:szCs w:val="16"/>
                <w:color w:val="auto"/>
                <w:w w:val="89"/>
              </w:rPr>
              <w:t>1,328,018</w:t>
            </w:r>
          </w:p>
        </w:tc>
      </w:tr>
      <w:tr>
        <w:trPr>
          <w:trHeight w:val="206"/>
        </w:trPr>
        <w:tc>
          <w:tcPr>
            <w:tcW w:w="2220" w:type="dxa"/>
            <w:vAlign w:val="bottom"/>
            <w:gridSpan w:val="2"/>
          </w:tcPr>
          <w:p>
            <w:pPr>
              <w:spacing w:after="0"/>
              <w:rPr>
                <w:sz w:val="20"/>
                <w:szCs w:val="20"/>
                <w:color w:val="auto"/>
              </w:rPr>
            </w:pPr>
            <w:r>
              <w:rPr>
                <w:rFonts w:ascii="Arial" w:cs="Arial" w:eastAsia="Arial" w:hAnsi="Arial"/>
                <w:sz w:val="16"/>
                <w:szCs w:val="16"/>
                <w:color w:val="auto"/>
              </w:rPr>
              <w:t>Richard D. White</w:t>
            </w:r>
          </w:p>
        </w:tc>
        <w:tc>
          <w:tcPr>
            <w:tcW w:w="4660" w:type="dxa"/>
            <w:vAlign w:val="bottom"/>
            <w:gridSpan w:val="2"/>
          </w:tcPr>
          <w:p>
            <w:pPr>
              <w:spacing w:after="0"/>
              <w:rPr>
                <w:sz w:val="20"/>
                <w:szCs w:val="20"/>
                <w:color w:val="auto"/>
              </w:rPr>
            </w:pPr>
            <w:r>
              <w:rPr>
                <w:rFonts w:ascii="Arial" w:cs="Arial" w:eastAsia="Arial" w:hAnsi="Arial"/>
                <w:sz w:val="16"/>
                <w:szCs w:val="16"/>
                <w:color w:val="auto"/>
              </w:rPr>
              <w:t>Chief Financial Officer and Secretary</w:t>
            </w:r>
          </w:p>
        </w:tc>
        <w:tc>
          <w:tcPr>
            <w:tcW w:w="500" w:type="dxa"/>
            <w:vAlign w:val="bottom"/>
          </w:tcPr>
          <w:p>
            <w:pPr>
              <w:spacing w:after="0"/>
              <w:rPr>
                <w:sz w:val="17"/>
                <w:szCs w:val="17"/>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89"/>
              </w:rPr>
              <w:t>564,400</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451,520</w:t>
            </w:r>
          </w:p>
        </w:tc>
      </w:tr>
      <w:tr>
        <w:trPr>
          <w:trHeight w:val="64"/>
        </w:trPr>
        <w:tc>
          <w:tcPr>
            <w:tcW w:w="1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60" w:type="dxa"/>
            <w:vAlign w:val="bottom"/>
          </w:tcPr>
          <w:p>
            <w:pPr>
              <w:spacing w:after="0"/>
              <w:rPr>
                <w:sz w:val="5"/>
                <w:szCs w:val="5"/>
                <w:color w:val="auto"/>
              </w:rPr>
            </w:pPr>
          </w:p>
        </w:tc>
      </w:tr>
      <w:tr>
        <w:trPr>
          <w:trHeight w:val="206"/>
        </w:trPr>
        <w:tc>
          <w:tcPr>
            <w:tcW w:w="22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Francis Tang</w:t>
            </w:r>
          </w:p>
        </w:tc>
        <w:tc>
          <w:tcPr>
            <w:tcW w:w="4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Vice President, World Wide Discrete Products</w:t>
            </w:r>
          </w:p>
        </w:tc>
        <w:tc>
          <w:tcPr>
            <w:tcW w:w="500" w:type="dxa"/>
            <w:vAlign w:val="bottom"/>
            <w:shd w:val="clear" w:color="auto" w:fill="CFF0FC"/>
          </w:tcPr>
          <w:p>
            <w:pPr>
              <w:spacing w:after="0"/>
              <w:rPr>
                <w:sz w:val="17"/>
                <w:szCs w:val="17"/>
                <w:color w:val="auto"/>
              </w:rPr>
            </w:pPr>
          </w:p>
        </w:tc>
        <w:tc>
          <w:tcPr>
            <w:tcW w:w="1280" w:type="dxa"/>
            <w:vAlign w:val="bottom"/>
            <w:shd w:val="clear" w:color="auto" w:fill="CFF0FC"/>
          </w:tcPr>
          <w:p>
            <w:pPr>
              <w:jc w:val="center"/>
              <w:ind w:right="39"/>
              <w:spacing w:after="0"/>
              <w:rPr>
                <w:sz w:val="20"/>
                <w:szCs w:val="20"/>
                <w:color w:val="auto"/>
              </w:rPr>
            </w:pPr>
            <w:r>
              <w:rPr>
                <w:rFonts w:ascii="Arial" w:cs="Arial" w:eastAsia="Arial" w:hAnsi="Arial"/>
                <w:sz w:val="16"/>
                <w:szCs w:val="16"/>
                <w:color w:val="auto"/>
                <w:w w:val="89"/>
              </w:rPr>
              <w:t>498,473</w:t>
            </w: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398,779</w:t>
            </w:r>
          </w:p>
        </w:tc>
      </w:tr>
      <w:tr>
        <w:trPr>
          <w:trHeight w:val="64"/>
        </w:trPr>
        <w:tc>
          <w:tcPr>
            <w:tcW w:w="184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434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500" w:type="dxa"/>
            <w:vAlign w:val="bottom"/>
            <w:shd w:val="clear" w:color="auto" w:fill="CFF0FC"/>
          </w:tcPr>
          <w:p>
            <w:pPr>
              <w:spacing w:after="0"/>
              <w:rPr>
                <w:sz w:val="5"/>
                <w:szCs w:val="5"/>
                <w:color w:val="auto"/>
              </w:rPr>
            </w:pPr>
          </w:p>
        </w:tc>
        <w:tc>
          <w:tcPr>
            <w:tcW w:w="128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320" w:type="dxa"/>
            <w:vAlign w:val="bottom"/>
            <w:shd w:val="clear" w:color="auto" w:fill="CFF0FC"/>
          </w:tcPr>
          <w:p>
            <w:pPr>
              <w:spacing w:after="0"/>
              <w:rPr>
                <w:sz w:val="5"/>
                <w:szCs w:val="5"/>
                <w:color w:val="auto"/>
              </w:rPr>
            </w:pPr>
          </w:p>
        </w:tc>
        <w:tc>
          <w:tcPr>
            <w:tcW w:w="1660" w:type="dxa"/>
            <w:vAlign w:val="bottom"/>
            <w:shd w:val="clear" w:color="auto" w:fill="CFF0FC"/>
          </w:tcPr>
          <w:p>
            <w:pPr>
              <w:spacing w:after="0"/>
              <w:rPr>
                <w:sz w:val="5"/>
                <w:szCs w:val="5"/>
                <w:color w:val="auto"/>
              </w:rPr>
            </w:pPr>
          </w:p>
        </w:tc>
      </w:tr>
      <w:tr>
        <w:trPr>
          <w:trHeight w:val="206"/>
        </w:trPr>
        <w:tc>
          <w:tcPr>
            <w:tcW w:w="2220" w:type="dxa"/>
            <w:vAlign w:val="bottom"/>
            <w:gridSpan w:val="2"/>
          </w:tcPr>
          <w:p>
            <w:pPr>
              <w:spacing w:after="0"/>
              <w:rPr>
                <w:sz w:val="20"/>
                <w:szCs w:val="20"/>
                <w:color w:val="auto"/>
              </w:rPr>
            </w:pPr>
            <w:r>
              <w:rPr>
                <w:rFonts w:ascii="Arial" w:cs="Arial" w:eastAsia="Arial" w:hAnsi="Arial"/>
                <w:sz w:val="16"/>
                <w:szCs w:val="16"/>
                <w:color w:val="auto"/>
              </w:rPr>
              <w:t>Julie Holland</w:t>
            </w:r>
          </w:p>
        </w:tc>
        <w:tc>
          <w:tcPr>
            <w:tcW w:w="4660" w:type="dxa"/>
            <w:vAlign w:val="bottom"/>
            <w:gridSpan w:val="2"/>
          </w:tcPr>
          <w:p>
            <w:pPr>
              <w:spacing w:after="0"/>
              <w:rPr>
                <w:sz w:val="20"/>
                <w:szCs w:val="20"/>
                <w:color w:val="auto"/>
              </w:rPr>
            </w:pPr>
            <w:r>
              <w:rPr>
                <w:rFonts w:ascii="Arial" w:cs="Arial" w:eastAsia="Arial" w:hAnsi="Arial"/>
                <w:sz w:val="16"/>
                <w:szCs w:val="16"/>
                <w:color w:val="auto"/>
              </w:rPr>
              <w:t>Vice President, Corporate Administration</w:t>
            </w:r>
          </w:p>
        </w:tc>
        <w:tc>
          <w:tcPr>
            <w:tcW w:w="500" w:type="dxa"/>
            <w:vAlign w:val="bottom"/>
          </w:tcPr>
          <w:p>
            <w:pPr>
              <w:spacing w:after="0"/>
              <w:rPr>
                <w:sz w:val="17"/>
                <w:szCs w:val="17"/>
                <w:color w:val="auto"/>
              </w:rPr>
            </w:pPr>
          </w:p>
        </w:tc>
        <w:tc>
          <w:tcPr>
            <w:tcW w:w="1280" w:type="dxa"/>
            <w:vAlign w:val="bottom"/>
          </w:tcPr>
          <w:p>
            <w:pPr>
              <w:jc w:val="center"/>
              <w:ind w:right="39"/>
              <w:spacing w:after="0"/>
              <w:rPr>
                <w:sz w:val="20"/>
                <w:szCs w:val="20"/>
                <w:color w:val="auto"/>
              </w:rPr>
            </w:pPr>
            <w:r>
              <w:rPr>
                <w:rFonts w:ascii="Arial" w:cs="Arial" w:eastAsia="Arial" w:hAnsi="Arial"/>
                <w:sz w:val="16"/>
                <w:szCs w:val="16"/>
                <w:color w:val="auto"/>
                <w:w w:val="89"/>
              </w:rPr>
              <w:t>448,275</w:t>
            </w: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w w:val="89"/>
              </w:rPr>
              <w:t>358,620</w:t>
            </w:r>
          </w:p>
        </w:tc>
      </w:tr>
    </w:tbl>
    <w:p>
      <w:pPr>
        <w:spacing w:after="0" w:line="221" w:lineRule="exact"/>
        <w:rPr>
          <w:sz w:val="20"/>
          <w:szCs w:val="20"/>
          <w:color w:val="auto"/>
        </w:rPr>
      </w:pPr>
    </w:p>
    <w:p>
      <w:pPr>
        <w:ind w:right="500"/>
        <w:spacing w:after="0" w:line="253" w:lineRule="auto"/>
        <w:rPr>
          <w:sz w:val="20"/>
          <w:szCs w:val="20"/>
          <w:color w:val="auto"/>
        </w:rPr>
      </w:pPr>
      <w:r>
        <w:rPr>
          <w:rFonts w:ascii="Arial" w:cs="Arial" w:eastAsia="Arial" w:hAnsi="Arial"/>
          <w:sz w:val="12"/>
          <w:szCs w:val="12"/>
          <w:color w:val="auto"/>
        </w:rPr>
        <w:t>1</w:t>
      </w:r>
      <w:r>
        <w:rPr>
          <w:rFonts w:ascii="Arial" w:cs="Arial" w:eastAsia="Arial" w:hAnsi="Arial"/>
          <w:sz w:val="14"/>
          <w:szCs w:val="14"/>
          <w:color w:val="auto"/>
        </w:rPr>
        <w:t>The column “Amount Paid” lists actual amounts authorized by the Committee for payment on or before December 31, 2018, which equals 80% of the awarded amounts listed in the column</w:t>
      </w:r>
      <w:r>
        <w:rPr>
          <w:rFonts w:ascii="Arial" w:cs="Arial" w:eastAsia="Arial" w:hAnsi="Arial"/>
          <w:sz w:val="12"/>
          <w:szCs w:val="12"/>
          <w:color w:val="auto"/>
        </w:rPr>
        <w:t xml:space="preserve"> </w:t>
      </w:r>
      <w:r>
        <w:rPr>
          <w:rFonts w:ascii="Arial" w:cs="Arial" w:eastAsia="Arial" w:hAnsi="Arial"/>
          <w:sz w:val="14"/>
          <w:szCs w:val="14"/>
          <w:color w:val="auto"/>
        </w:rPr>
        <w:t>“Amount Awarded” in the table above.</w:t>
      </w:r>
    </w:p>
    <w:p>
      <w:pPr>
        <w:spacing w:after="0" w:line="178" w:lineRule="exact"/>
        <w:rPr>
          <w:sz w:val="20"/>
          <w:szCs w:val="20"/>
          <w:color w:val="auto"/>
        </w:rPr>
      </w:pPr>
    </w:p>
    <w:p>
      <w:pPr>
        <w:jc w:val="both"/>
        <w:ind w:firstLine="877"/>
        <w:spacing w:after="0" w:line="264" w:lineRule="auto"/>
        <w:rPr>
          <w:sz w:val="20"/>
          <w:szCs w:val="20"/>
          <w:color w:val="auto"/>
        </w:rPr>
      </w:pPr>
      <w:r>
        <w:rPr>
          <w:rFonts w:ascii="Arial" w:cs="Arial" w:eastAsia="Arial" w:hAnsi="Arial"/>
          <w:sz w:val="18"/>
          <w:szCs w:val="18"/>
          <w:color w:val="auto"/>
        </w:rPr>
        <w:t>Once the final performance of the Company is confirmed, the remaining unpaid amount is expected to be paid in the first quarter of fiscal 2019. The confirmation of the Company’s performance will be based on the actual performance of the Company as reported on its audited financial statements for fiscal 2018, all subject to further adjustment(s) in the discretion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2891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75" w:right="239" w:bottom="1440" w:gutter="0" w:footer="0" w:header="0"/>
        </w:sectPr>
      </w:pPr>
    </w:p>
    <w:bookmarkStart w:id="2" w:name="page3"/>
    <w:bookmarkEnd w:id="2"/>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DIODES INCORPORATED</w:t>
      </w:r>
    </w:p>
    <w:p>
      <w:pPr>
        <w:spacing w:after="0" w:line="225"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 December 10, 2018</w:t>
      </w:r>
      <w:r>
        <w:rPr>
          <w:sz w:val="20"/>
          <w:szCs w:val="20"/>
          <w:color w:val="auto"/>
        </w:rPr>
        <w:tab/>
      </w:r>
      <w:r>
        <w:rPr>
          <w:rFonts w:ascii="Arial" w:cs="Arial" w:eastAsia="Arial" w:hAnsi="Arial"/>
          <w:sz w:val="17"/>
          <w:szCs w:val="17"/>
          <w:color w:val="auto"/>
        </w:rPr>
        <w:t>By  /s/ Richard D.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RICHARD D. WHITE</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940"/>
      </w:cols>
      <w:pgMar w:left="240" w:top="12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2019-12-05T04:56:09Z</dcterms:created>
  <dcterms:modified xsi:type="dcterms:W3CDTF">2019-12-05T04:56:09Z</dcterms:modified>
</cp:coreProperties>
</file>