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11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DIODES INCORPORATED</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060" w:type="dxa"/>
            <w:vAlign w:val="bottom"/>
          </w:tcPr>
          <w:p>
            <w:pPr>
              <w:jc w:val="center"/>
              <w:ind w:right="2301"/>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jc w:val="center"/>
              <w:ind w:right="1182"/>
              <w:spacing w:after="0"/>
              <w:rPr>
                <w:sz w:val="20"/>
                <w:szCs w:val="20"/>
                <w:color w:val="auto"/>
              </w:rPr>
            </w:pPr>
            <w:r>
              <w:rPr>
                <w:rFonts w:ascii="Arial" w:cs="Arial" w:eastAsia="Arial" w:hAnsi="Arial"/>
                <w:sz w:val="18"/>
                <w:szCs w:val="18"/>
                <w:b w:val="1"/>
                <w:bCs w:val="1"/>
                <w:color w:val="auto"/>
                <w:w w:val="90"/>
              </w:rPr>
              <w:t>002-25577</w:t>
            </w:r>
          </w:p>
        </w:tc>
        <w:tc>
          <w:tcPr>
            <w:tcW w:w="2520" w:type="dxa"/>
            <w:vAlign w:val="bottom"/>
          </w:tcPr>
          <w:p>
            <w:pPr>
              <w:jc w:val="right"/>
              <w:ind w:right="61"/>
              <w:spacing w:after="0"/>
              <w:rPr>
                <w:sz w:val="20"/>
                <w:szCs w:val="20"/>
                <w:color w:val="auto"/>
              </w:rPr>
            </w:pPr>
            <w:r>
              <w:rPr>
                <w:rFonts w:ascii="Arial" w:cs="Arial" w:eastAsia="Arial" w:hAnsi="Arial"/>
                <w:sz w:val="18"/>
                <w:szCs w:val="18"/>
                <w:b w:val="1"/>
                <w:bCs w:val="1"/>
                <w:color w:val="auto"/>
              </w:rPr>
              <w:t>95-2039518</w:t>
            </w:r>
          </w:p>
        </w:tc>
      </w:tr>
      <w:tr>
        <w:trPr>
          <w:trHeight w:val="148"/>
        </w:trPr>
        <w:tc>
          <w:tcPr>
            <w:tcW w:w="4060" w:type="dxa"/>
            <w:vAlign w:val="bottom"/>
          </w:tcPr>
          <w:p>
            <w:pPr>
              <w:jc w:val="center"/>
              <w:ind w:right="22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jc w:val="center"/>
              <w:ind w:right="1222"/>
              <w:spacing w:after="0" w:line="149" w:lineRule="exact"/>
              <w:rPr>
                <w:sz w:val="20"/>
                <w:szCs w:val="20"/>
                <w:color w:val="auto"/>
              </w:rPr>
            </w:pPr>
            <w:r>
              <w:rPr>
                <w:rFonts w:ascii="Arial" w:cs="Arial" w:eastAsia="Arial" w:hAnsi="Arial"/>
                <w:sz w:val="14"/>
                <w:szCs w:val="14"/>
                <w:b w:val="1"/>
                <w:bCs w:val="1"/>
                <w:color w:val="auto"/>
                <w:w w:val="92"/>
              </w:rPr>
              <w:t>(Commission</w:t>
            </w:r>
          </w:p>
        </w:tc>
        <w:tc>
          <w:tcPr>
            <w:tcW w:w="2520" w:type="dxa"/>
            <w:vAlign w:val="bottom"/>
          </w:tcPr>
          <w:p>
            <w:pPr>
              <w:jc w:val="center"/>
              <w:ind w:left="12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60" w:type="dxa"/>
            <w:vAlign w:val="bottom"/>
          </w:tcPr>
          <w:p>
            <w:pPr>
              <w:jc w:val="center"/>
              <w:ind w:right="2281"/>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jc w:val="center"/>
              <w:ind w:right="1182"/>
              <w:spacing w:after="0"/>
              <w:rPr>
                <w:sz w:val="20"/>
                <w:szCs w:val="20"/>
                <w:color w:val="auto"/>
              </w:rPr>
            </w:pPr>
            <w:r>
              <w:rPr>
                <w:rFonts w:ascii="Arial" w:cs="Arial" w:eastAsia="Arial" w:hAnsi="Arial"/>
                <w:sz w:val="14"/>
                <w:szCs w:val="14"/>
                <w:b w:val="1"/>
                <w:bCs w:val="1"/>
                <w:color w:val="auto"/>
                <w:w w:val="95"/>
              </w:rPr>
              <w:t>File Number)</w:t>
            </w:r>
          </w:p>
        </w:tc>
        <w:tc>
          <w:tcPr>
            <w:tcW w:w="2520" w:type="dxa"/>
            <w:vAlign w:val="bottom"/>
          </w:tcPr>
          <w:p>
            <w:pPr>
              <w:jc w:val="center"/>
              <w:ind w:left="1301"/>
              <w:spacing w:after="0"/>
              <w:rPr>
                <w:sz w:val="20"/>
                <w:szCs w:val="20"/>
                <w:color w:val="auto"/>
              </w:rPr>
            </w:pPr>
            <w:r>
              <w:rPr>
                <w:rFonts w:ascii="Arial" w:cs="Arial" w:eastAsia="Arial" w:hAnsi="Arial"/>
                <w:sz w:val="14"/>
                <w:szCs w:val="14"/>
                <w:b w:val="1"/>
                <w:bCs w:val="1"/>
                <w:color w:val="auto"/>
                <w:w w:val="96"/>
              </w:rPr>
              <w:t>Identification No.)</w:t>
            </w:r>
          </w:p>
        </w:tc>
      </w:tr>
      <w:tr>
        <w:trPr>
          <w:trHeight w:val="381"/>
        </w:trPr>
        <w:tc>
          <w:tcPr>
            <w:tcW w:w="638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0"/>
              </w:rPr>
              <w:t>4949 Hedgcoxe Road, Suite 200, Plano, TX</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75024</w:t>
            </w:r>
          </w:p>
        </w:tc>
      </w:tr>
      <w:tr>
        <w:trPr>
          <w:trHeight w:val="213"/>
        </w:trPr>
        <w:tc>
          <w:tcPr>
            <w:tcW w:w="4060" w:type="dxa"/>
            <w:vAlign w:val="bottom"/>
          </w:tcPr>
          <w:p>
            <w:pPr>
              <w:jc w:val="center"/>
              <w:ind w:left="128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20" w:type="dxa"/>
            <w:vAlign w:val="bottom"/>
          </w:tcPr>
          <w:p>
            <w:pPr>
              <w:spacing w:after="0"/>
              <w:rPr>
                <w:sz w:val="18"/>
                <w:szCs w:val="18"/>
                <w:color w:val="auto"/>
              </w:rPr>
            </w:pPr>
          </w:p>
        </w:tc>
        <w:tc>
          <w:tcPr>
            <w:tcW w:w="252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(972) 987-3900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142240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tbl>
      <w:tblPr>
        <w:tblLayout w:type="fixed"/>
        <w:tblInd w:w="0" w:type="dxa"/>
        <w:tblCellMar>
          <w:top w:w="0" w:type="dxa"/>
          <w:left w:w="0" w:type="dxa"/>
          <w:bottom w:w="0" w:type="dxa"/>
          <w:right w:w="0" w:type="dxa"/>
        </w:tblCellMar>
      </w:tblPr>
      <w:tr>
        <w:trPr>
          <w:trHeight w:val="204"/>
        </w:trPr>
        <w:tc>
          <w:tcPr>
            <w:tcW w:w="3120" w:type="dxa"/>
            <w:vAlign w:val="bottom"/>
            <w:gridSpan w:val="2"/>
          </w:tcPr>
          <w:p>
            <w:pPr>
              <w:jc w:val="center"/>
              <w:ind w:right="180"/>
              <w:spacing w:after="0" w:line="204" w:lineRule="exact"/>
              <w:rPr>
                <w:sz w:val="20"/>
                <w:szCs w:val="20"/>
                <w:color w:val="auto"/>
              </w:rPr>
            </w:pPr>
            <w:r>
              <w:rPr>
                <w:rFonts w:ascii="Arial" w:cs="Arial" w:eastAsia="Arial" w:hAnsi="Arial"/>
                <w:sz w:val="18"/>
                <w:szCs w:val="18"/>
                <w:b w:val="1"/>
                <w:bCs w:val="1"/>
                <w:color w:val="auto"/>
                <w:w w:val="86"/>
              </w:rPr>
              <w:t>Title of each class</w:t>
            </w:r>
          </w:p>
        </w:tc>
        <w:tc>
          <w:tcPr>
            <w:tcW w:w="1660" w:type="dxa"/>
            <w:vAlign w:val="bottom"/>
            <w:gridSpan w:val="2"/>
          </w:tcPr>
          <w:p>
            <w:pPr>
              <w:jc w:val="center"/>
              <w:ind w:right="240"/>
              <w:spacing w:after="0" w:line="204" w:lineRule="exact"/>
              <w:rPr>
                <w:sz w:val="20"/>
                <w:szCs w:val="20"/>
                <w:color w:val="auto"/>
              </w:rPr>
            </w:pPr>
            <w:r>
              <w:rPr>
                <w:rFonts w:ascii="Arial" w:cs="Arial" w:eastAsia="Arial" w:hAnsi="Arial"/>
                <w:sz w:val="18"/>
                <w:szCs w:val="18"/>
                <w:b w:val="1"/>
                <w:bCs w:val="1"/>
                <w:color w:val="auto"/>
                <w:w w:val="93"/>
              </w:rPr>
              <w:t>Trading</w:t>
            </w:r>
          </w:p>
        </w:tc>
        <w:tc>
          <w:tcPr>
            <w:tcW w:w="378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Symbol(s)</w:t>
            </w:r>
          </w:p>
        </w:tc>
        <w:tc>
          <w:tcPr>
            <w:tcW w:w="3780" w:type="dxa"/>
            <w:vAlign w:val="bottom"/>
          </w:tcPr>
          <w:p>
            <w:pPr>
              <w:spacing w:after="0"/>
              <w:rPr>
                <w:sz w:val="20"/>
                <w:szCs w:val="20"/>
                <w:color w:val="auto"/>
              </w:rPr>
            </w:pPr>
          </w:p>
        </w:tc>
      </w:tr>
      <w:tr>
        <w:trPr>
          <w:trHeight w:val="228"/>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$0.66 2/3</w:t>
            </w:r>
          </w:p>
        </w:tc>
        <w:tc>
          <w:tcPr>
            <w:tcW w:w="20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DIOD</w:t>
            </w:r>
          </w:p>
        </w:tc>
        <w:tc>
          <w:tcPr>
            <w:tcW w:w="240" w:type="dxa"/>
            <w:vAlign w:val="bottom"/>
          </w:tcPr>
          <w:p>
            <w:pPr>
              <w:spacing w:after="0"/>
              <w:rPr>
                <w:sz w:val="19"/>
                <w:szCs w:val="19"/>
                <w:color w:val="auto"/>
              </w:rPr>
            </w:pPr>
          </w:p>
        </w:tc>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29"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481"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Results of the Annual Meeting</w:t>
      </w:r>
    </w:p>
    <w:p>
      <w:pPr>
        <w:spacing w:after="0" w:line="77" w:lineRule="exact"/>
        <w:rPr>
          <w:sz w:val="20"/>
          <w:szCs w:val="20"/>
          <w:color w:val="auto"/>
        </w:rPr>
      </w:pPr>
    </w:p>
    <w:p>
      <w:pPr>
        <w:jc w:val="both"/>
        <w:ind w:firstLine="1110"/>
        <w:spacing w:after="0" w:line="255" w:lineRule="auto"/>
        <w:rPr>
          <w:sz w:val="20"/>
          <w:szCs w:val="20"/>
          <w:color w:val="auto"/>
        </w:rPr>
      </w:pPr>
      <w:r>
        <w:rPr>
          <w:rFonts w:ascii="Arial" w:cs="Arial" w:eastAsia="Arial" w:hAnsi="Arial"/>
          <w:sz w:val="18"/>
          <w:szCs w:val="18"/>
          <w:color w:val="auto"/>
        </w:rPr>
        <w:t>Diodes Incorporated (the “Company”) submitted the following matters to a vote of its security holders at its 2020 annual meeting of stockholders on May 18, 2020, each of which is described in more detail in the Company’s proxy statement filed with the Securities and Exchange Commission on April 8, 2020: (1) the election of seven persons to the Board of Directors of the Company (the “Board”), each to serve until the next annual meeting of stockholders and until their respective successors have been elected and qualified; (2) the approval, on an advisory basis, of the Company’s executive compensation; and (3) the ratification of the appointment of Moss Adams LLP as the Company’s independent registered public accounting firm for the fiscal year ending December 31, 2020.</w:t>
      </w:r>
    </w:p>
    <w:p>
      <w:pPr>
        <w:spacing w:after="0" w:line="5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results set forth below represent the final voting results as certified by the Inspector of Elections.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Election of Directors.</w:t>
      </w:r>
    </w:p>
    <w:p>
      <w:pPr>
        <w:spacing w:after="0" w:line="229" w:lineRule="exact"/>
        <w:rPr>
          <w:sz w:val="20"/>
          <w:szCs w:val="20"/>
          <w:color w:val="auto"/>
        </w:rPr>
      </w:pPr>
    </w:p>
    <w:p>
      <w:pPr>
        <w:jc w:val="both"/>
        <w:ind w:firstLine="756"/>
        <w:spacing w:after="0" w:line="263" w:lineRule="auto"/>
        <w:rPr>
          <w:sz w:val="20"/>
          <w:szCs w:val="20"/>
          <w:color w:val="auto"/>
        </w:rPr>
      </w:pPr>
      <w:r>
        <w:rPr>
          <w:rFonts w:ascii="Arial" w:cs="Arial" w:eastAsia="Arial" w:hAnsi="Arial"/>
          <w:sz w:val="18"/>
          <w:szCs w:val="18"/>
          <w:color w:val="auto"/>
        </w:rPr>
        <w:t>The stockholders elected the following seven directors: C.H. Chen, Warren Chen, Michael R. Giordano, Keh-Shew Lu, Peter M. Menard, Christina Wen-Chi Sung and Michael K.C. Tsai. The final results of the number of votes cast for and withheld, as well as the number of broker non-votes, as to each nominee for the Board are as follows: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C.H. Chen</w:t>
            </w: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For:</w:t>
            </w:r>
          </w:p>
        </w:tc>
        <w:tc>
          <w:tcPr>
            <w:tcW w:w="1180" w:type="dxa"/>
            <w:vAlign w:val="bottom"/>
          </w:tcPr>
          <w:p>
            <w:pPr>
              <w:jc w:val="right"/>
              <w:spacing w:after="0"/>
              <w:rPr>
                <w:sz w:val="20"/>
                <w:szCs w:val="20"/>
                <w:color w:val="auto"/>
              </w:rPr>
            </w:pPr>
            <w:r>
              <w:rPr>
                <w:rFonts w:ascii="Arial" w:cs="Arial" w:eastAsia="Arial" w:hAnsi="Arial"/>
                <w:sz w:val="18"/>
                <w:szCs w:val="18"/>
                <w:color w:val="auto"/>
              </w:rPr>
              <w:t>41,587,354</w:t>
            </w:r>
          </w:p>
        </w:tc>
      </w:tr>
      <w:tr>
        <w:trPr>
          <w:trHeight w:val="216"/>
        </w:trPr>
        <w:tc>
          <w:tcPr>
            <w:tcW w:w="4060" w:type="dxa"/>
            <w:vAlign w:val="bottom"/>
          </w:tcPr>
          <w:p>
            <w:pPr>
              <w:spacing w:after="0"/>
              <w:rPr>
                <w:sz w:val="18"/>
                <w:szCs w:val="18"/>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Withheld:</w:t>
            </w:r>
          </w:p>
        </w:tc>
        <w:tc>
          <w:tcPr>
            <w:tcW w:w="1180" w:type="dxa"/>
            <w:vAlign w:val="bottom"/>
          </w:tcPr>
          <w:p>
            <w:pPr>
              <w:jc w:val="right"/>
              <w:spacing w:after="0"/>
              <w:rPr>
                <w:sz w:val="20"/>
                <w:szCs w:val="20"/>
                <w:color w:val="auto"/>
              </w:rPr>
            </w:pPr>
            <w:r>
              <w:rPr>
                <w:rFonts w:ascii="Arial" w:cs="Arial" w:eastAsia="Arial" w:hAnsi="Arial"/>
                <w:sz w:val="18"/>
                <w:szCs w:val="18"/>
                <w:color w:val="auto"/>
              </w:rPr>
              <w:t>5,414,235</w:t>
            </w:r>
          </w:p>
        </w:tc>
      </w:tr>
      <w:tr>
        <w:trPr>
          <w:trHeight w:val="230"/>
        </w:trPr>
        <w:tc>
          <w:tcPr>
            <w:tcW w:w="4060" w:type="dxa"/>
            <w:vAlign w:val="bottom"/>
          </w:tcPr>
          <w:p>
            <w:pPr>
              <w:spacing w:after="0"/>
              <w:rPr>
                <w:sz w:val="20"/>
                <w:szCs w:val="20"/>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Broker Non-Votes:</w:t>
            </w:r>
          </w:p>
        </w:tc>
        <w:tc>
          <w:tcPr>
            <w:tcW w:w="1180" w:type="dxa"/>
            <w:vAlign w:val="bottom"/>
          </w:tcPr>
          <w:p>
            <w:pPr>
              <w:jc w:val="right"/>
              <w:spacing w:after="0"/>
              <w:rPr>
                <w:sz w:val="20"/>
                <w:szCs w:val="20"/>
                <w:color w:val="auto"/>
              </w:rPr>
            </w:pPr>
            <w:r>
              <w:rPr>
                <w:rFonts w:ascii="Arial" w:cs="Arial" w:eastAsia="Arial" w:hAnsi="Arial"/>
                <w:sz w:val="18"/>
                <w:szCs w:val="18"/>
                <w:color w:val="auto"/>
              </w:rPr>
              <w:t>1,754,460</w:t>
            </w: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Warren Chen</w:t>
            </w: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For:</w:t>
            </w:r>
          </w:p>
        </w:tc>
        <w:tc>
          <w:tcPr>
            <w:tcW w:w="1180" w:type="dxa"/>
            <w:vAlign w:val="bottom"/>
          </w:tcPr>
          <w:p>
            <w:pPr>
              <w:jc w:val="right"/>
              <w:spacing w:after="0"/>
              <w:rPr>
                <w:sz w:val="20"/>
                <w:szCs w:val="20"/>
                <w:color w:val="auto"/>
              </w:rPr>
            </w:pPr>
            <w:r>
              <w:rPr>
                <w:rFonts w:ascii="Arial" w:cs="Arial" w:eastAsia="Arial" w:hAnsi="Arial"/>
                <w:sz w:val="18"/>
                <w:szCs w:val="18"/>
                <w:color w:val="auto"/>
              </w:rPr>
              <w:t>41,945,926</w:t>
            </w:r>
          </w:p>
        </w:tc>
      </w:tr>
      <w:tr>
        <w:trPr>
          <w:trHeight w:val="216"/>
        </w:trPr>
        <w:tc>
          <w:tcPr>
            <w:tcW w:w="4060" w:type="dxa"/>
            <w:vAlign w:val="bottom"/>
          </w:tcPr>
          <w:p>
            <w:pPr>
              <w:spacing w:after="0"/>
              <w:rPr>
                <w:sz w:val="18"/>
                <w:szCs w:val="18"/>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Withheld:</w:t>
            </w:r>
          </w:p>
        </w:tc>
        <w:tc>
          <w:tcPr>
            <w:tcW w:w="1180" w:type="dxa"/>
            <w:vAlign w:val="bottom"/>
          </w:tcPr>
          <w:p>
            <w:pPr>
              <w:jc w:val="right"/>
              <w:spacing w:after="0"/>
              <w:rPr>
                <w:sz w:val="20"/>
                <w:szCs w:val="20"/>
                <w:color w:val="auto"/>
              </w:rPr>
            </w:pPr>
            <w:r>
              <w:rPr>
                <w:rFonts w:ascii="Arial" w:cs="Arial" w:eastAsia="Arial" w:hAnsi="Arial"/>
                <w:sz w:val="18"/>
                <w:szCs w:val="18"/>
                <w:color w:val="auto"/>
              </w:rPr>
              <w:t>5,055,663</w:t>
            </w:r>
          </w:p>
        </w:tc>
      </w:tr>
      <w:tr>
        <w:trPr>
          <w:trHeight w:val="230"/>
        </w:trPr>
        <w:tc>
          <w:tcPr>
            <w:tcW w:w="4060" w:type="dxa"/>
            <w:vAlign w:val="bottom"/>
          </w:tcPr>
          <w:p>
            <w:pPr>
              <w:spacing w:after="0"/>
              <w:rPr>
                <w:sz w:val="20"/>
                <w:szCs w:val="20"/>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Broker Non-Votes:</w:t>
            </w:r>
          </w:p>
        </w:tc>
        <w:tc>
          <w:tcPr>
            <w:tcW w:w="1180" w:type="dxa"/>
            <w:vAlign w:val="bottom"/>
          </w:tcPr>
          <w:p>
            <w:pPr>
              <w:jc w:val="right"/>
              <w:spacing w:after="0"/>
              <w:rPr>
                <w:sz w:val="20"/>
                <w:szCs w:val="20"/>
                <w:color w:val="auto"/>
              </w:rPr>
            </w:pPr>
            <w:r>
              <w:rPr>
                <w:rFonts w:ascii="Arial" w:cs="Arial" w:eastAsia="Arial" w:hAnsi="Arial"/>
                <w:sz w:val="18"/>
                <w:szCs w:val="18"/>
                <w:color w:val="auto"/>
              </w:rPr>
              <w:t>1,754,460</w:t>
            </w: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Michael R. Giordano</w:t>
            </w: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For:</w:t>
            </w:r>
          </w:p>
        </w:tc>
        <w:tc>
          <w:tcPr>
            <w:tcW w:w="1180" w:type="dxa"/>
            <w:vAlign w:val="bottom"/>
          </w:tcPr>
          <w:p>
            <w:pPr>
              <w:jc w:val="right"/>
              <w:spacing w:after="0"/>
              <w:rPr>
                <w:sz w:val="20"/>
                <w:szCs w:val="20"/>
                <w:color w:val="auto"/>
              </w:rPr>
            </w:pPr>
            <w:r>
              <w:rPr>
                <w:rFonts w:ascii="Arial" w:cs="Arial" w:eastAsia="Arial" w:hAnsi="Arial"/>
                <w:sz w:val="18"/>
                <w:szCs w:val="18"/>
                <w:color w:val="auto"/>
              </w:rPr>
              <w:t>45,618,961</w:t>
            </w:r>
          </w:p>
        </w:tc>
      </w:tr>
      <w:tr>
        <w:trPr>
          <w:trHeight w:val="216"/>
        </w:trPr>
        <w:tc>
          <w:tcPr>
            <w:tcW w:w="4060" w:type="dxa"/>
            <w:vAlign w:val="bottom"/>
          </w:tcPr>
          <w:p>
            <w:pPr>
              <w:spacing w:after="0"/>
              <w:rPr>
                <w:sz w:val="18"/>
                <w:szCs w:val="18"/>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Withheld:</w:t>
            </w:r>
          </w:p>
        </w:tc>
        <w:tc>
          <w:tcPr>
            <w:tcW w:w="1180" w:type="dxa"/>
            <w:vAlign w:val="bottom"/>
          </w:tcPr>
          <w:p>
            <w:pPr>
              <w:jc w:val="right"/>
              <w:spacing w:after="0"/>
              <w:rPr>
                <w:sz w:val="20"/>
                <w:szCs w:val="20"/>
                <w:color w:val="auto"/>
              </w:rPr>
            </w:pPr>
            <w:r>
              <w:rPr>
                <w:rFonts w:ascii="Arial" w:cs="Arial" w:eastAsia="Arial" w:hAnsi="Arial"/>
                <w:sz w:val="18"/>
                <w:szCs w:val="18"/>
                <w:color w:val="auto"/>
              </w:rPr>
              <w:t>1,382,628</w:t>
            </w:r>
          </w:p>
        </w:tc>
      </w:tr>
      <w:tr>
        <w:trPr>
          <w:trHeight w:val="230"/>
        </w:trPr>
        <w:tc>
          <w:tcPr>
            <w:tcW w:w="4060" w:type="dxa"/>
            <w:vAlign w:val="bottom"/>
          </w:tcPr>
          <w:p>
            <w:pPr>
              <w:spacing w:after="0"/>
              <w:rPr>
                <w:sz w:val="20"/>
                <w:szCs w:val="20"/>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Broker Non-Votes:</w:t>
            </w:r>
          </w:p>
        </w:tc>
        <w:tc>
          <w:tcPr>
            <w:tcW w:w="1180" w:type="dxa"/>
            <w:vAlign w:val="bottom"/>
          </w:tcPr>
          <w:p>
            <w:pPr>
              <w:jc w:val="right"/>
              <w:spacing w:after="0"/>
              <w:rPr>
                <w:sz w:val="20"/>
                <w:szCs w:val="20"/>
                <w:color w:val="auto"/>
              </w:rPr>
            </w:pPr>
            <w:r>
              <w:rPr>
                <w:rFonts w:ascii="Arial" w:cs="Arial" w:eastAsia="Arial" w:hAnsi="Arial"/>
                <w:sz w:val="18"/>
                <w:szCs w:val="18"/>
                <w:color w:val="auto"/>
              </w:rPr>
              <w:t>1,754,460</w:t>
            </w: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Keh-Shew Lu</w:t>
            </w: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For:</w:t>
            </w:r>
          </w:p>
        </w:tc>
        <w:tc>
          <w:tcPr>
            <w:tcW w:w="1180" w:type="dxa"/>
            <w:vAlign w:val="bottom"/>
          </w:tcPr>
          <w:p>
            <w:pPr>
              <w:jc w:val="right"/>
              <w:spacing w:after="0"/>
              <w:rPr>
                <w:sz w:val="20"/>
                <w:szCs w:val="20"/>
                <w:color w:val="auto"/>
              </w:rPr>
            </w:pPr>
            <w:r>
              <w:rPr>
                <w:rFonts w:ascii="Arial" w:cs="Arial" w:eastAsia="Arial" w:hAnsi="Arial"/>
                <w:sz w:val="18"/>
                <w:szCs w:val="18"/>
                <w:color w:val="auto"/>
              </w:rPr>
              <w:t>44,541,942</w:t>
            </w:r>
          </w:p>
        </w:tc>
      </w:tr>
      <w:tr>
        <w:trPr>
          <w:trHeight w:val="216"/>
        </w:trPr>
        <w:tc>
          <w:tcPr>
            <w:tcW w:w="4060" w:type="dxa"/>
            <w:vAlign w:val="bottom"/>
          </w:tcPr>
          <w:p>
            <w:pPr>
              <w:spacing w:after="0"/>
              <w:rPr>
                <w:sz w:val="18"/>
                <w:szCs w:val="18"/>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Withheld:</w:t>
            </w:r>
          </w:p>
        </w:tc>
        <w:tc>
          <w:tcPr>
            <w:tcW w:w="1180" w:type="dxa"/>
            <w:vAlign w:val="bottom"/>
          </w:tcPr>
          <w:p>
            <w:pPr>
              <w:jc w:val="right"/>
              <w:spacing w:after="0"/>
              <w:rPr>
                <w:sz w:val="20"/>
                <w:szCs w:val="20"/>
                <w:color w:val="auto"/>
              </w:rPr>
            </w:pPr>
            <w:r>
              <w:rPr>
                <w:rFonts w:ascii="Arial" w:cs="Arial" w:eastAsia="Arial" w:hAnsi="Arial"/>
                <w:sz w:val="18"/>
                <w:szCs w:val="18"/>
                <w:color w:val="auto"/>
              </w:rPr>
              <w:t>2,459,647</w:t>
            </w:r>
          </w:p>
        </w:tc>
      </w:tr>
      <w:tr>
        <w:trPr>
          <w:trHeight w:val="230"/>
        </w:trPr>
        <w:tc>
          <w:tcPr>
            <w:tcW w:w="4060" w:type="dxa"/>
            <w:vAlign w:val="bottom"/>
          </w:tcPr>
          <w:p>
            <w:pPr>
              <w:spacing w:after="0"/>
              <w:rPr>
                <w:sz w:val="20"/>
                <w:szCs w:val="20"/>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Broker Non-Votes:</w:t>
            </w:r>
          </w:p>
        </w:tc>
        <w:tc>
          <w:tcPr>
            <w:tcW w:w="1180" w:type="dxa"/>
            <w:vAlign w:val="bottom"/>
          </w:tcPr>
          <w:p>
            <w:pPr>
              <w:jc w:val="right"/>
              <w:spacing w:after="0"/>
              <w:rPr>
                <w:sz w:val="20"/>
                <w:szCs w:val="20"/>
                <w:color w:val="auto"/>
              </w:rPr>
            </w:pPr>
            <w:r>
              <w:rPr>
                <w:rFonts w:ascii="Arial" w:cs="Arial" w:eastAsia="Arial" w:hAnsi="Arial"/>
                <w:sz w:val="18"/>
                <w:szCs w:val="18"/>
                <w:color w:val="auto"/>
              </w:rPr>
              <w:t>1,754,460</w:t>
            </w: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Peter M. Menard</w:t>
            </w: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For:</w:t>
            </w:r>
          </w:p>
        </w:tc>
        <w:tc>
          <w:tcPr>
            <w:tcW w:w="1180" w:type="dxa"/>
            <w:vAlign w:val="bottom"/>
          </w:tcPr>
          <w:p>
            <w:pPr>
              <w:jc w:val="right"/>
              <w:spacing w:after="0"/>
              <w:rPr>
                <w:sz w:val="20"/>
                <w:szCs w:val="20"/>
                <w:color w:val="auto"/>
              </w:rPr>
            </w:pPr>
            <w:r>
              <w:rPr>
                <w:rFonts w:ascii="Arial" w:cs="Arial" w:eastAsia="Arial" w:hAnsi="Arial"/>
                <w:sz w:val="18"/>
                <w:szCs w:val="18"/>
                <w:color w:val="auto"/>
              </w:rPr>
              <w:t>39,560,440</w:t>
            </w:r>
          </w:p>
        </w:tc>
      </w:tr>
      <w:tr>
        <w:trPr>
          <w:trHeight w:val="216"/>
        </w:trPr>
        <w:tc>
          <w:tcPr>
            <w:tcW w:w="4060" w:type="dxa"/>
            <w:vAlign w:val="bottom"/>
          </w:tcPr>
          <w:p>
            <w:pPr>
              <w:spacing w:after="0"/>
              <w:rPr>
                <w:sz w:val="18"/>
                <w:szCs w:val="18"/>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Withheld:</w:t>
            </w:r>
          </w:p>
        </w:tc>
        <w:tc>
          <w:tcPr>
            <w:tcW w:w="1180" w:type="dxa"/>
            <w:vAlign w:val="bottom"/>
          </w:tcPr>
          <w:p>
            <w:pPr>
              <w:jc w:val="right"/>
              <w:spacing w:after="0"/>
              <w:rPr>
                <w:sz w:val="20"/>
                <w:szCs w:val="20"/>
                <w:color w:val="auto"/>
              </w:rPr>
            </w:pPr>
            <w:r>
              <w:rPr>
                <w:rFonts w:ascii="Arial" w:cs="Arial" w:eastAsia="Arial" w:hAnsi="Arial"/>
                <w:sz w:val="18"/>
                <w:szCs w:val="18"/>
                <w:color w:val="auto"/>
              </w:rPr>
              <w:t>7,441,149</w:t>
            </w:r>
          </w:p>
        </w:tc>
      </w:tr>
      <w:tr>
        <w:trPr>
          <w:trHeight w:val="230"/>
        </w:trPr>
        <w:tc>
          <w:tcPr>
            <w:tcW w:w="4060" w:type="dxa"/>
            <w:vAlign w:val="bottom"/>
          </w:tcPr>
          <w:p>
            <w:pPr>
              <w:spacing w:after="0"/>
              <w:rPr>
                <w:sz w:val="20"/>
                <w:szCs w:val="20"/>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Broker Non-Votes:</w:t>
            </w:r>
          </w:p>
        </w:tc>
        <w:tc>
          <w:tcPr>
            <w:tcW w:w="1180" w:type="dxa"/>
            <w:vAlign w:val="bottom"/>
          </w:tcPr>
          <w:p>
            <w:pPr>
              <w:jc w:val="right"/>
              <w:spacing w:after="0"/>
              <w:rPr>
                <w:sz w:val="20"/>
                <w:szCs w:val="20"/>
                <w:color w:val="auto"/>
              </w:rPr>
            </w:pPr>
            <w:r>
              <w:rPr>
                <w:rFonts w:ascii="Arial" w:cs="Arial" w:eastAsia="Arial" w:hAnsi="Arial"/>
                <w:sz w:val="18"/>
                <w:szCs w:val="18"/>
                <w:color w:val="auto"/>
              </w:rPr>
              <w:t>1,754,460</w:t>
            </w: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Christina Wen-Chi Sung</w:t>
            </w: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For:</w:t>
            </w:r>
          </w:p>
        </w:tc>
        <w:tc>
          <w:tcPr>
            <w:tcW w:w="1180" w:type="dxa"/>
            <w:vAlign w:val="bottom"/>
          </w:tcPr>
          <w:p>
            <w:pPr>
              <w:jc w:val="right"/>
              <w:spacing w:after="0"/>
              <w:rPr>
                <w:sz w:val="20"/>
                <w:szCs w:val="20"/>
                <w:color w:val="auto"/>
              </w:rPr>
            </w:pPr>
            <w:r>
              <w:rPr>
                <w:rFonts w:ascii="Arial" w:cs="Arial" w:eastAsia="Arial" w:hAnsi="Arial"/>
                <w:sz w:val="18"/>
                <w:szCs w:val="18"/>
                <w:color w:val="auto"/>
              </w:rPr>
              <w:t>46,845,186</w:t>
            </w:r>
          </w:p>
        </w:tc>
      </w:tr>
      <w:tr>
        <w:trPr>
          <w:trHeight w:val="216"/>
        </w:trPr>
        <w:tc>
          <w:tcPr>
            <w:tcW w:w="4060" w:type="dxa"/>
            <w:vAlign w:val="bottom"/>
          </w:tcPr>
          <w:p>
            <w:pPr>
              <w:spacing w:after="0"/>
              <w:rPr>
                <w:sz w:val="18"/>
                <w:szCs w:val="18"/>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Withheld:</w:t>
            </w:r>
          </w:p>
        </w:tc>
        <w:tc>
          <w:tcPr>
            <w:tcW w:w="1180" w:type="dxa"/>
            <w:vAlign w:val="bottom"/>
          </w:tcPr>
          <w:p>
            <w:pPr>
              <w:jc w:val="right"/>
              <w:spacing w:after="0"/>
              <w:rPr>
                <w:sz w:val="20"/>
                <w:szCs w:val="20"/>
                <w:color w:val="auto"/>
              </w:rPr>
            </w:pPr>
            <w:r>
              <w:rPr>
                <w:rFonts w:ascii="Arial" w:cs="Arial" w:eastAsia="Arial" w:hAnsi="Arial"/>
                <w:sz w:val="18"/>
                <w:szCs w:val="18"/>
                <w:color w:val="auto"/>
              </w:rPr>
              <w:t>156,403</w:t>
            </w:r>
          </w:p>
        </w:tc>
      </w:tr>
      <w:tr>
        <w:trPr>
          <w:trHeight w:val="230"/>
        </w:trPr>
        <w:tc>
          <w:tcPr>
            <w:tcW w:w="4060" w:type="dxa"/>
            <w:vAlign w:val="bottom"/>
          </w:tcPr>
          <w:p>
            <w:pPr>
              <w:spacing w:after="0"/>
              <w:rPr>
                <w:sz w:val="20"/>
                <w:szCs w:val="20"/>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Broker Non-Votes:</w:t>
            </w:r>
          </w:p>
        </w:tc>
        <w:tc>
          <w:tcPr>
            <w:tcW w:w="1180" w:type="dxa"/>
            <w:vAlign w:val="bottom"/>
          </w:tcPr>
          <w:p>
            <w:pPr>
              <w:jc w:val="right"/>
              <w:spacing w:after="0"/>
              <w:rPr>
                <w:sz w:val="20"/>
                <w:szCs w:val="20"/>
                <w:color w:val="auto"/>
              </w:rPr>
            </w:pPr>
            <w:r>
              <w:rPr>
                <w:rFonts w:ascii="Arial" w:cs="Arial" w:eastAsia="Arial" w:hAnsi="Arial"/>
                <w:sz w:val="18"/>
                <w:szCs w:val="18"/>
                <w:color w:val="auto"/>
              </w:rPr>
              <w:t>1,754,460</w:t>
            </w:r>
          </w:p>
        </w:tc>
      </w:tr>
      <w:tr>
        <w:trPr>
          <w:trHeight w:val="418"/>
        </w:trPr>
        <w:tc>
          <w:tcPr>
            <w:tcW w:w="4060" w:type="dxa"/>
            <w:vAlign w:val="bottom"/>
          </w:tcPr>
          <w:p>
            <w:pPr>
              <w:spacing w:after="0"/>
              <w:rPr>
                <w:sz w:val="20"/>
                <w:szCs w:val="20"/>
                <w:color w:val="auto"/>
              </w:rPr>
            </w:pPr>
            <w:r>
              <w:rPr>
                <w:rFonts w:ascii="Arial" w:cs="Arial" w:eastAsia="Arial" w:hAnsi="Arial"/>
                <w:sz w:val="18"/>
                <w:szCs w:val="18"/>
                <w:color w:val="auto"/>
              </w:rPr>
              <w:t>Michael K.C. Tsai</w:t>
            </w: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For:</w:t>
            </w:r>
          </w:p>
        </w:tc>
        <w:tc>
          <w:tcPr>
            <w:tcW w:w="1180" w:type="dxa"/>
            <w:vAlign w:val="bottom"/>
          </w:tcPr>
          <w:p>
            <w:pPr>
              <w:jc w:val="right"/>
              <w:spacing w:after="0"/>
              <w:rPr>
                <w:sz w:val="20"/>
                <w:szCs w:val="20"/>
                <w:color w:val="auto"/>
              </w:rPr>
            </w:pPr>
            <w:r>
              <w:rPr>
                <w:rFonts w:ascii="Arial" w:cs="Arial" w:eastAsia="Arial" w:hAnsi="Arial"/>
                <w:sz w:val="18"/>
                <w:szCs w:val="18"/>
                <w:color w:val="auto"/>
              </w:rPr>
              <w:t>36,363,450</w:t>
            </w:r>
          </w:p>
        </w:tc>
      </w:tr>
      <w:tr>
        <w:trPr>
          <w:trHeight w:val="216"/>
        </w:trPr>
        <w:tc>
          <w:tcPr>
            <w:tcW w:w="4060" w:type="dxa"/>
            <w:vAlign w:val="bottom"/>
          </w:tcPr>
          <w:p>
            <w:pPr>
              <w:spacing w:after="0"/>
              <w:rPr>
                <w:sz w:val="18"/>
                <w:szCs w:val="18"/>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Withheld:</w:t>
            </w:r>
          </w:p>
        </w:tc>
        <w:tc>
          <w:tcPr>
            <w:tcW w:w="1180" w:type="dxa"/>
            <w:vAlign w:val="bottom"/>
          </w:tcPr>
          <w:p>
            <w:pPr>
              <w:jc w:val="right"/>
              <w:spacing w:after="0"/>
              <w:rPr>
                <w:sz w:val="20"/>
                <w:szCs w:val="20"/>
                <w:color w:val="auto"/>
              </w:rPr>
            </w:pPr>
            <w:r>
              <w:rPr>
                <w:rFonts w:ascii="Arial" w:cs="Arial" w:eastAsia="Arial" w:hAnsi="Arial"/>
                <w:sz w:val="18"/>
                <w:szCs w:val="18"/>
                <w:color w:val="auto"/>
              </w:rPr>
              <w:t>10,638,139</w:t>
            </w:r>
          </w:p>
        </w:tc>
      </w:tr>
      <w:tr>
        <w:trPr>
          <w:trHeight w:val="230"/>
        </w:trPr>
        <w:tc>
          <w:tcPr>
            <w:tcW w:w="4060" w:type="dxa"/>
            <w:vAlign w:val="bottom"/>
          </w:tcPr>
          <w:p>
            <w:pPr>
              <w:spacing w:after="0"/>
              <w:rPr>
                <w:sz w:val="20"/>
                <w:szCs w:val="20"/>
                <w:color w:val="auto"/>
              </w:rPr>
            </w:pPr>
          </w:p>
        </w:tc>
        <w:tc>
          <w:tcPr>
            <w:tcW w:w="4060" w:type="dxa"/>
            <w:vAlign w:val="bottom"/>
          </w:tcPr>
          <w:p>
            <w:pPr>
              <w:jc w:val="right"/>
              <w:ind w:right="290"/>
              <w:spacing w:after="0"/>
              <w:rPr>
                <w:sz w:val="20"/>
                <w:szCs w:val="20"/>
                <w:color w:val="auto"/>
              </w:rPr>
            </w:pPr>
            <w:r>
              <w:rPr>
                <w:rFonts w:ascii="Arial" w:cs="Arial" w:eastAsia="Arial" w:hAnsi="Arial"/>
                <w:sz w:val="18"/>
                <w:szCs w:val="18"/>
                <w:color w:val="auto"/>
              </w:rPr>
              <w:t>Broker Non-Votes:</w:t>
            </w:r>
          </w:p>
        </w:tc>
        <w:tc>
          <w:tcPr>
            <w:tcW w:w="1180" w:type="dxa"/>
            <w:vAlign w:val="bottom"/>
          </w:tcPr>
          <w:p>
            <w:pPr>
              <w:jc w:val="right"/>
              <w:spacing w:after="0"/>
              <w:rPr>
                <w:sz w:val="20"/>
                <w:szCs w:val="20"/>
                <w:color w:val="auto"/>
              </w:rPr>
            </w:pPr>
            <w:r>
              <w:rPr>
                <w:rFonts w:ascii="Arial" w:cs="Arial" w:eastAsia="Arial" w:hAnsi="Arial"/>
                <w:sz w:val="18"/>
                <w:szCs w:val="18"/>
                <w:color w:val="auto"/>
              </w:rPr>
              <w:t>1,754,460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Approval of Executive Compensation</w:t>
      </w:r>
    </w:p>
    <w:p>
      <w:pPr>
        <w:spacing w:after="0" w:line="81" w:lineRule="exact"/>
        <w:rPr>
          <w:sz w:val="20"/>
          <w:szCs w:val="20"/>
          <w:color w:val="auto"/>
        </w:rPr>
      </w:pPr>
    </w:p>
    <w:p>
      <w:pPr>
        <w:ind w:firstLine="849"/>
        <w:spacing w:after="0" w:line="277" w:lineRule="auto"/>
        <w:rPr>
          <w:sz w:val="20"/>
          <w:szCs w:val="20"/>
          <w:color w:val="auto"/>
        </w:rPr>
      </w:pPr>
      <w:r>
        <w:rPr>
          <w:rFonts w:ascii="Arial" w:cs="Arial" w:eastAsia="Arial" w:hAnsi="Arial"/>
          <w:sz w:val="18"/>
          <w:szCs w:val="18"/>
          <w:color w:val="auto"/>
        </w:rPr>
        <w:t>The final results of the number of votes cast for and against, as well as the number of abstentions and broker non-votes, as to the approval of the compensation of the Company’s named executive officers on an advisory basis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jc w:val="right"/>
              <w:ind w:right="3270"/>
              <w:spacing w:after="0"/>
              <w:rPr>
                <w:sz w:val="20"/>
                <w:szCs w:val="20"/>
                <w:color w:val="auto"/>
              </w:rPr>
            </w:pPr>
            <w:r>
              <w:rPr>
                <w:rFonts w:ascii="Arial" w:cs="Arial" w:eastAsia="Arial" w:hAnsi="Arial"/>
                <w:sz w:val="18"/>
                <w:szCs w:val="18"/>
                <w:color w:val="auto"/>
              </w:rPr>
              <w:t>For:</w:t>
            </w:r>
          </w:p>
        </w:tc>
        <w:tc>
          <w:tcPr>
            <w:tcW w:w="5120" w:type="dxa"/>
            <w:vAlign w:val="bottom"/>
          </w:tcPr>
          <w:p>
            <w:pPr>
              <w:jc w:val="right"/>
              <w:ind w:right="850"/>
              <w:spacing w:after="0"/>
              <w:rPr>
                <w:sz w:val="20"/>
                <w:szCs w:val="20"/>
                <w:color w:val="auto"/>
              </w:rPr>
            </w:pPr>
            <w:r>
              <w:rPr>
                <w:rFonts w:ascii="Arial" w:cs="Arial" w:eastAsia="Arial" w:hAnsi="Arial"/>
                <w:sz w:val="18"/>
                <w:szCs w:val="18"/>
                <w:color w:val="auto"/>
              </w:rPr>
              <w:t>46,574,526</w:t>
            </w:r>
          </w:p>
        </w:tc>
      </w:tr>
      <w:tr>
        <w:trPr>
          <w:trHeight w:val="216"/>
        </w:trPr>
        <w:tc>
          <w:tcPr>
            <w:tcW w:w="6120" w:type="dxa"/>
            <w:vAlign w:val="bottom"/>
          </w:tcPr>
          <w:p>
            <w:pPr>
              <w:jc w:val="right"/>
              <w:ind w:right="3270"/>
              <w:spacing w:after="0"/>
              <w:rPr>
                <w:sz w:val="20"/>
                <w:szCs w:val="20"/>
                <w:color w:val="auto"/>
              </w:rPr>
            </w:pPr>
            <w:r>
              <w:rPr>
                <w:rFonts w:ascii="Arial" w:cs="Arial" w:eastAsia="Arial" w:hAnsi="Arial"/>
                <w:sz w:val="18"/>
                <w:szCs w:val="18"/>
                <w:color w:val="auto"/>
              </w:rPr>
              <w:t>Against:</w:t>
            </w:r>
          </w:p>
        </w:tc>
        <w:tc>
          <w:tcPr>
            <w:tcW w:w="5120" w:type="dxa"/>
            <w:vAlign w:val="bottom"/>
          </w:tcPr>
          <w:p>
            <w:pPr>
              <w:jc w:val="right"/>
              <w:ind w:right="850"/>
              <w:spacing w:after="0"/>
              <w:rPr>
                <w:sz w:val="20"/>
                <w:szCs w:val="20"/>
                <w:color w:val="auto"/>
              </w:rPr>
            </w:pPr>
            <w:r>
              <w:rPr>
                <w:rFonts w:ascii="Arial" w:cs="Arial" w:eastAsia="Arial" w:hAnsi="Arial"/>
                <w:sz w:val="18"/>
                <w:szCs w:val="18"/>
                <w:color w:val="auto"/>
              </w:rPr>
              <w:t>404,771</w:t>
            </w:r>
          </w:p>
        </w:tc>
      </w:tr>
      <w:tr>
        <w:trPr>
          <w:trHeight w:val="216"/>
        </w:trPr>
        <w:tc>
          <w:tcPr>
            <w:tcW w:w="6120" w:type="dxa"/>
            <w:vAlign w:val="bottom"/>
          </w:tcPr>
          <w:p>
            <w:pPr>
              <w:jc w:val="right"/>
              <w:ind w:right="3270"/>
              <w:spacing w:after="0"/>
              <w:rPr>
                <w:sz w:val="20"/>
                <w:szCs w:val="20"/>
                <w:color w:val="auto"/>
              </w:rPr>
            </w:pPr>
            <w:r>
              <w:rPr>
                <w:rFonts w:ascii="Arial" w:cs="Arial" w:eastAsia="Arial" w:hAnsi="Arial"/>
                <w:sz w:val="18"/>
                <w:szCs w:val="18"/>
                <w:color w:val="auto"/>
              </w:rPr>
              <w:t>Abstain:</w:t>
            </w:r>
          </w:p>
        </w:tc>
        <w:tc>
          <w:tcPr>
            <w:tcW w:w="5120" w:type="dxa"/>
            <w:vAlign w:val="bottom"/>
          </w:tcPr>
          <w:p>
            <w:pPr>
              <w:jc w:val="right"/>
              <w:ind w:right="850"/>
              <w:spacing w:after="0"/>
              <w:rPr>
                <w:sz w:val="20"/>
                <w:szCs w:val="20"/>
                <w:color w:val="auto"/>
              </w:rPr>
            </w:pPr>
            <w:r>
              <w:rPr>
                <w:rFonts w:ascii="Arial" w:cs="Arial" w:eastAsia="Arial" w:hAnsi="Arial"/>
                <w:sz w:val="18"/>
                <w:szCs w:val="18"/>
                <w:color w:val="auto"/>
              </w:rPr>
              <w:t>22,292</w:t>
            </w:r>
          </w:p>
        </w:tc>
      </w:tr>
      <w:tr>
        <w:trPr>
          <w:trHeight w:val="230"/>
        </w:trPr>
        <w:tc>
          <w:tcPr>
            <w:tcW w:w="6120" w:type="dxa"/>
            <w:vAlign w:val="bottom"/>
          </w:tcPr>
          <w:p>
            <w:pPr>
              <w:jc w:val="right"/>
              <w:ind w:right="3270"/>
              <w:spacing w:after="0"/>
              <w:rPr>
                <w:sz w:val="20"/>
                <w:szCs w:val="20"/>
                <w:color w:val="auto"/>
              </w:rPr>
            </w:pPr>
            <w:r>
              <w:rPr>
                <w:rFonts w:ascii="Arial" w:cs="Arial" w:eastAsia="Arial" w:hAnsi="Arial"/>
                <w:sz w:val="18"/>
                <w:szCs w:val="18"/>
                <w:color w:val="auto"/>
              </w:rPr>
              <w:t>Broker Non-Votes:</w:t>
            </w:r>
          </w:p>
        </w:tc>
        <w:tc>
          <w:tcPr>
            <w:tcW w:w="5120" w:type="dxa"/>
            <w:vAlign w:val="bottom"/>
          </w:tcPr>
          <w:p>
            <w:pPr>
              <w:jc w:val="right"/>
              <w:ind w:right="850"/>
              <w:spacing w:after="0"/>
              <w:rPr>
                <w:sz w:val="20"/>
                <w:szCs w:val="20"/>
                <w:color w:val="auto"/>
              </w:rPr>
            </w:pPr>
            <w:r>
              <w:rPr>
                <w:rFonts w:ascii="Arial" w:cs="Arial" w:eastAsia="Arial" w:hAnsi="Arial"/>
                <w:sz w:val="18"/>
                <w:szCs w:val="18"/>
                <w:color w:val="auto"/>
              </w:rPr>
              <w:t>1,754,460</w:t>
            </w:r>
          </w:p>
        </w:tc>
      </w:tr>
      <w:tr>
        <w:trPr>
          <w:trHeight w:val="588"/>
        </w:trPr>
        <w:tc>
          <w:tcPr>
            <w:tcW w:w="61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3. Ratification of Appointment of Independent Registered Public Accounting Firm</w:t>
      </w:r>
    </w:p>
    <w:p>
      <w:pPr>
        <w:spacing w:after="0" w:line="81" w:lineRule="exact"/>
        <w:rPr>
          <w:sz w:val="20"/>
          <w:szCs w:val="20"/>
          <w:color w:val="auto"/>
        </w:rPr>
      </w:pPr>
    </w:p>
    <w:p>
      <w:pPr>
        <w:jc w:val="both"/>
        <w:ind w:firstLine="849"/>
        <w:spacing w:after="0" w:line="263" w:lineRule="auto"/>
        <w:rPr>
          <w:sz w:val="20"/>
          <w:szCs w:val="20"/>
          <w:color w:val="auto"/>
        </w:rPr>
      </w:pPr>
      <w:r>
        <w:rPr>
          <w:rFonts w:ascii="Arial" w:cs="Arial" w:eastAsia="Arial" w:hAnsi="Arial"/>
          <w:sz w:val="18"/>
          <w:szCs w:val="18"/>
          <w:color w:val="auto"/>
        </w:rPr>
        <w:t>The final results of the number of votes cast for and against, as well as the number of abstentions and broker non-votes, as to the ratification of the appointment of Moss Adams LLP as the Company’s independent registered public accounting firm for the fiscal year ending December 31, 2020 are as follows:</w:t>
      </w:r>
    </w:p>
    <w:p>
      <w:pPr>
        <w:spacing w:after="0" w:line="251"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4740" w:type="dxa"/>
            <w:vAlign w:val="bottom"/>
          </w:tcPr>
          <w:p>
            <w:pPr>
              <w:jc w:val="right"/>
              <w:ind w:right="3290"/>
              <w:spacing w:after="0"/>
              <w:rPr>
                <w:sz w:val="20"/>
                <w:szCs w:val="20"/>
                <w:color w:val="auto"/>
              </w:rPr>
            </w:pPr>
            <w:r>
              <w:rPr>
                <w:rFonts w:ascii="Arial" w:cs="Arial" w:eastAsia="Arial" w:hAnsi="Arial"/>
                <w:sz w:val="18"/>
                <w:szCs w:val="18"/>
                <w:color w:val="auto"/>
              </w:rPr>
              <w:t>For:</w:t>
            </w:r>
          </w:p>
        </w:tc>
        <w:tc>
          <w:tcPr>
            <w:tcW w:w="4180" w:type="dxa"/>
            <w:vAlign w:val="bottom"/>
          </w:tcPr>
          <w:p>
            <w:pPr>
              <w:jc w:val="right"/>
              <w:spacing w:after="0"/>
              <w:rPr>
                <w:sz w:val="20"/>
                <w:szCs w:val="20"/>
                <w:color w:val="auto"/>
              </w:rPr>
            </w:pPr>
            <w:r>
              <w:rPr>
                <w:rFonts w:ascii="Arial" w:cs="Arial" w:eastAsia="Arial" w:hAnsi="Arial"/>
                <w:sz w:val="18"/>
                <w:szCs w:val="18"/>
                <w:color w:val="auto"/>
              </w:rPr>
              <w:t>46,206,202</w:t>
            </w:r>
          </w:p>
        </w:tc>
      </w:tr>
      <w:tr>
        <w:trPr>
          <w:trHeight w:val="216"/>
        </w:trPr>
        <w:tc>
          <w:tcPr>
            <w:tcW w:w="4740" w:type="dxa"/>
            <w:vAlign w:val="bottom"/>
          </w:tcPr>
          <w:p>
            <w:pPr>
              <w:jc w:val="right"/>
              <w:ind w:right="3290"/>
              <w:spacing w:after="0"/>
              <w:rPr>
                <w:sz w:val="20"/>
                <w:szCs w:val="20"/>
                <w:color w:val="auto"/>
              </w:rPr>
            </w:pPr>
            <w:r>
              <w:rPr>
                <w:rFonts w:ascii="Arial" w:cs="Arial" w:eastAsia="Arial" w:hAnsi="Arial"/>
                <w:sz w:val="18"/>
                <w:szCs w:val="18"/>
                <w:color w:val="auto"/>
              </w:rPr>
              <w:t>Against:</w:t>
            </w:r>
          </w:p>
        </w:tc>
        <w:tc>
          <w:tcPr>
            <w:tcW w:w="4180" w:type="dxa"/>
            <w:vAlign w:val="bottom"/>
          </w:tcPr>
          <w:p>
            <w:pPr>
              <w:jc w:val="right"/>
              <w:spacing w:after="0"/>
              <w:rPr>
                <w:sz w:val="20"/>
                <w:szCs w:val="20"/>
                <w:color w:val="auto"/>
              </w:rPr>
            </w:pPr>
            <w:r>
              <w:rPr>
                <w:rFonts w:ascii="Arial" w:cs="Arial" w:eastAsia="Arial" w:hAnsi="Arial"/>
                <w:sz w:val="18"/>
                <w:szCs w:val="18"/>
                <w:color w:val="auto"/>
              </w:rPr>
              <w:t>2,526,467</w:t>
            </w:r>
          </w:p>
        </w:tc>
      </w:tr>
      <w:tr>
        <w:trPr>
          <w:trHeight w:val="216"/>
        </w:trPr>
        <w:tc>
          <w:tcPr>
            <w:tcW w:w="4740" w:type="dxa"/>
            <w:vAlign w:val="bottom"/>
          </w:tcPr>
          <w:p>
            <w:pPr>
              <w:jc w:val="right"/>
              <w:ind w:right="3290"/>
              <w:spacing w:after="0"/>
              <w:rPr>
                <w:sz w:val="20"/>
                <w:szCs w:val="20"/>
                <w:color w:val="auto"/>
              </w:rPr>
            </w:pPr>
            <w:r>
              <w:rPr>
                <w:rFonts w:ascii="Arial" w:cs="Arial" w:eastAsia="Arial" w:hAnsi="Arial"/>
                <w:sz w:val="18"/>
                <w:szCs w:val="18"/>
                <w:color w:val="auto"/>
              </w:rPr>
              <w:t>Abstain:</w:t>
            </w:r>
          </w:p>
        </w:tc>
        <w:tc>
          <w:tcPr>
            <w:tcW w:w="4180" w:type="dxa"/>
            <w:vAlign w:val="bottom"/>
          </w:tcPr>
          <w:p>
            <w:pPr>
              <w:jc w:val="right"/>
              <w:spacing w:after="0"/>
              <w:rPr>
                <w:sz w:val="20"/>
                <w:szCs w:val="20"/>
                <w:color w:val="auto"/>
              </w:rPr>
            </w:pPr>
            <w:r>
              <w:rPr>
                <w:rFonts w:ascii="Arial" w:cs="Arial" w:eastAsia="Arial" w:hAnsi="Arial"/>
                <w:sz w:val="18"/>
                <w:szCs w:val="18"/>
                <w:color w:val="auto"/>
              </w:rPr>
              <w:t>23,380</w:t>
            </w:r>
          </w:p>
        </w:tc>
      </w:tr>
      <w:tr>
        <w:trPr>
          <w:trHeight w:val="230"/>
        </w:trPr>
        <w:tc>
          <w:tcPr>
            <w:tcW w:w="4740" w:type="dxa"/>
            <w:vAlign w:val="bottom"/>
          </w:tcPr>
          <w:p>
            <w:pPr>
              <w:jc w:val="right"/>
              <w:ind w:right="3290"/>
              <w:spacing w:after="0"/>
              <w:rPr>
                <w:sz w:val="20"/>
                <w:szCs w:val="20"/>
                <w:color w:val="auto"/>
              </w:rPr>
            </w:pPr>
            <w:r>
              <w:rPr>
                <w:rFonts w:ascii="Arial" w:cs="Arial" w:eastAsia="Arial" w:hAnsi="Arial"/>
                <w:sz w:val="18"/>
                <w:szCs w:val="18"/>
                <w:color w:val="auto"/>
                <w:w w:val="90"/>
              </w:rPr>
              <w:t>Broker Non-Votes:</w:t>
            </w:r>
          </w:p>
        </w:tc>
        <w:tc>
          <w:tcPr>
            <w:tcW w:w="4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Following the Company’s 2020 annual meeting of stockholders, the Board of Directors of the Company (the “Board”) elected Dr. Keh-Shew Lu as Chairman of the Board (“Chairman”) and Mr. Michael K.C. Tsai as Lead Director. Mr. C.H. Chen will continue to serve as Vice-Chairman of the Board.</w:t>
      </w:r>
    </w:p>
    <w:p>
      <w:pPr>
        <w:spacing w:after="0" w:line="12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Although the Board has no policy regarding the separation of the position of the Chairman and the position of the Chief Executive Officer of the Company, each position has typically been held by a different person. With the retirement of our long-time Chairman, Raymond K.Y. Soong, the Board determined that having a single person hold the position of the Chairman and the Chief Executive Officer of the Company is the best solution to govern the Company efficiently because it (1) provides each director with immediate and regular access to the principal operating officer of the Company, (2) provides the Chief Executive Officer with direct and unfiltered communication with each director, (3) eliminates the costs associated with maintaining an independent office of the Chairman, and (4) encourages the chair of each Board committee and each individual director to take a more hands-on approach to the affairs of the Board than he or she might if there were an independent office of the Chairman directing Board affairs.</w:t>
      </w:r>
    </w:p>
    <w:p>
      <w:pPr>
        <w:spacing w:after="0" w:line="177"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With Dr. Lu's appointment as Chairman, the Board determined that the appointment of an independent lead director ("Lead Director") would be appropriate in order to strengthen Board oversight, share certain responsibilities, and facilitate communication, between our Chairman and our independent directors, and continue to follow best practices in corporate governance. To this end, the Board appointed Mr. Tsai, an independent director, to serve as Lead Director. The duties of the Lead Director will be to preside at executive sessions of the independent directors, serve as principal liaison between the independent directors and the Chairman, work with the Chairman to set and approve the schedule and agenda for meetings of the Board and its committees, direct the retention of advisors and consultants who report directly to the Board, serve as liaison for consultation and communication with stockholders, oversee the annual evaluation of our Board and its committees and evaluate, in cooperation with the Compensation Committee and all members of the Board, the Chief Executive Officer's performance.</w:t>
      </w:r>
    </w:p>
    <w:p>
      <w:pPr>
        <w:spacing w:after="0" w:line="17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In connection with their additional responsibilities, Dr. Lu was granted an additional 6,750 restricted stock units that will vest over four years and Mr. Tsai received an increase in his cash retainer as a Board member from $80,000 per year to $100,000 per year.</w:t>
      </w:r>
    </w:p>
    <w:p>
      <w:pPr>
        <w:spacing w:after="0" w:line="17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For information on our Board leadership, including the role of our Chairman and Lead Director, please see the section entitled “Corporate Governance Guidelines” located at </w:t>
      </w:r>
      <w:r>
        <w:rPr>
          <w:rFonts w:ascii="Arial" w:cs="Arial" w:eastAsia="Arial" w:hAnsi="Arial"/>
          <w:sz w:val="18"/>
          <w:szCs w:val="18"/>
          <w:u w:val="single" w:color="auto"/>
          <w:color w:val="auto"/>
        </w:rPr>
        <w:t>https://investor.diodes.com/corporate-governance/highlights</w:t>
      </w:r>
      <w:r>
        <w:rPr>
          <w:rFonts w:ascii="Arial" w:cs="Arial" w:eastAsia="Arial" w:hAnsi="Arial"/>
          <w:sz w:val="18"/>
          <w:szCs w:val="18"/>
          <w:color w:val="auto"/>
        </w:rPr>
        <w:t xml:space="preserve"> on our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400"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 May 19, 2020</w:t>
      </w:r>
      <w:r>
        <w:rPr>
          <w:sz w:val="20"/>
          <w:szCs w:val="20"/>
          <w:color w:val="auto"/>
        </w:rPr>
        <w:tab/>
      </w:r>
      <w:r>
        <w:rPr>
          <w:rFonts w:ascii="Arial" w:cs="Arial" w:eastAsia="Arial" w:hAnsi="Arial"/>
          <w:sz w:val="17"/>
          <w:szCs w:val="17"/>
          <w:color w:val="auto"/>
        </w:rPr>
        <w:t>DIODES INCORPORATED</w:t>
      </w:r>
    </w:p>
    <w:p>
      <w:pPr>
        <w:spacing w:after="0" w:line="25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Brett R. Whitmire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Brett R. Whitmire</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2020-05-19T16:03:38Z</dcterms:created>
  <dcterms:modified xsi:type="dcterms:W3CDTF">2020-05-19T16:03:38Z</dcterms:modified>
</cp:coreProperties>
</file>