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3" w:lineRule="exact"/>
        <w:rPr>
          <w:sz w:val="24"/>
          <w:szCs w:val="24"/>
          <w:color w:val="auto"/>
        </w:rPr>
      </w:pPr>
    </w:p>
    <w:p>
      <w:pPr>
        <w:jc w:val="center"/>
        <w:ind w:right="3399"/>
        <w:spacing w:after="0"/>
        <w:tabs>
          <w:tab w:leader="none" w:pos="240" w:val="left"/>
        </w:tabs>
        <w:rPr>
          <w:sz w:val="20"/>
          <w:szCs w:val="20"/>
          <w:color w:val="auto"/>
        </w:rPr>
      </w:pPr>
      <w:r>
        <w:rPr>
          <w:rFonts w:ascii="Courier New" w:cs="Courier New" w:eastAsia="Courier New" w:hAnsi="Courier New"/>
          <w:sz w:val="14"/>
          <w:szCs w:val="14"/>
          <w:color w:val="auto"/>
        </w:rPr>
        <w:t>EXCHANGE ACT OF 1934 (AMENDMENT NO.</w:t>
      </w:r>
      <w:r>
        <w:rPr>
          <w:sz w:val="20"/>
          <w:szCs w:val="20"/>
          <w:color w:val="auto"/>
        </w:rPr>
        <w:tab/>
      </w:r>
      <w:r>
        <w:rPr>
          <w:rFonts w:ascii="Courier New" w:cs="Courier New" w:eastAsia="Courier New" w:hAnsi="Courier New"/>
          <w:sz w:val="14"/>
          <w:szCs w:val="14"/>
          <w:color w:val="auto"/>
        </w:rPr>
        <w:t>)</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Preliminary Proxy Statement</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 /  Confidential, for Use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of the Commission</w:t>
            </w:r>
          </w:p>
        </w:tc>
        <w:tc>
          <w:tcPr>
            <w:tcW w:w="0" w:type="dxa"/>
            <w:vAlign w:val="bottom"/>
          </w:tcPr>
          <w:p>
            <w:pPr>
              <w:spacing w:after="0"/>
              <w:rPr>
                <w:sz w:val="1"/>
                <w:szCs w:val="1"/>
                <w:color w:val="auto"/>
              </w:rPr>
            </w:pPr>
          </w:p>
        </w:tc>
      </w:tr>
      <w:tr>
        <w:trPr>
          <w:trHeight w:val="242"/>
        </w:trPr>
        <w:tc>
          <w:tcPr>
            <w:tcW w:w="360" w:type="dxa"/>
            <w:vAlign w:val="bottom"/>
            <w:vMerge w:val="restart"/>
          </w:tcPr>
          <w:p>
            <w:pPr>
              <w:spacing w:after="0"/>
              <w:rPr>
                <w:sz w:val="20"/>
                <w:szCs w:val="20"/>
                <w:color w:val="auto"/>
              </w:rPr>
            </w:pPr>
            <w:r>
              <w:rPr>
                <w:rFonts w:ascii="Courier New" w:cs="Courier New" w:eastAsia="Courier New" w:hAnsi="Courier New"/>
                <w:sz w:val="14"/>
                <w:szCs w:val="14"/>
                <w:color w:val="auto"/>
              </w:rPr>
              <w:t>/x/</w:t>
            </w:r>
          </w:p>
        </w:tc>
        <w:tc>
          <w:tcPr>
            <w:tcW w:w="310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Definitive Proxy Statement</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Only (as permitted by</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Rule 14a-6(e)(2))</w:t>
            </w:r>
          </w:p>
        </w:tc>
        <w:tc>
          <w:tcPr>
            <w:tcW w:w="0" w:type="dxa"/>
            <w:vAlign w:val="bottom"/>
          </w:tcPr>
          <w:p>
            <w:pPr>
              <w:spacing w:after="0"/>
              <w:rPr>
                <w:sz w:val="1"/>
                <w:szCs w:val="1"/>
                <w:color w:val="auto"/>
              </w:rPr>
            </w:pPr>
          </w:p>
        </w:tc>
      </w:tr>
      <w:tr>
        <w:trPr>
          <w:trHeight w:val="116"/>
        </w:trPr>
        <w:tc>
          <w:tcPr>
            <w:tcW w:w="36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sec.240.14a-11(c) or sec.240.14a-12</w:t>
      </w:r>
    </w:p>
    <w:p>
      <w:pPr>
        <w:spacing w:after="0" w:line="312"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$125 per Exchange Act Rules 0-11(c)(1)(ii), or 14a-6(i)(1), or 14a-6(i)(2)</w:t>
      </w:r>
    </w:p>
    <w:p>
      <w:pPr>
        <w:spacing w:after="0" w:line="3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or Item 22(a)(2) of Schedule 14A.</w:t>
      </w:r>
    </w:p>
    <w:p>
      <w:pPr>
        <w:spacing w:after="0" w:line="147" w:lineRule="exact"/>
        <w:rPr>
          <w:sz w:val="24"/>
          <w:szCs w:val="24"/>
          <w:color w:val="auto"/>
        </w:rPr>
      </w:pPr>
    </w:p>
    <w:p>
      <w:pPr>
        <w:ind w:left="440" w:right="3939" w:hanging="432"/>
        <w:spacing w:after="0" w:line="375" w:lineRule="auto"/>
        <w:tabs>
          <w:tab w:leader="none" w:pos="182"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right="3419" w:hanging="421"/>
        <w:spacing w:after="0" w:line="293" w:lineRule="auto"/>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146"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33" w:lineRule="exact"/>
        <w:rPr>
          <w:rFonts w:ascii="Courier New" w:cs="Courier New" w:eastAsia="Courier New" w:hAnsi="Courier New"/>
          <w:sz w:val="14"/>
          <w:szCs w:val="14"/>
          <w:color w:val="auto"/>
        </w:rPr>
      </w:pPr>
    </w:p>
    <w:p>
      <w:pPr>
        <w:ind w:left="440" w:right="3419"/>
        <w:spacing w:after="0" w:line="29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55"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46"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04"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DIODES INCORPORATED</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TO BE HELD JUNE 30, 1995</w:t>
      </w:r>
    </w:p>
    <w:p>
      <w:pPr>
        <w:spacing w:after="0" w:line="338" w:lineRule="exact"/>
        <w:rPr>
          <w:sz w:val="20"/>
          <w:szCs w:val="20"/>
          <w:color w:val="auto"/>
        </w:rPr>
      </w:pPr>
    </w:p>
    <w:p>
      <w:pPr>
        <w:ind w:right="3519" w:firstLine="1464"/>
        <w:spacing w:after="0" w:line="292" w:lineRule="auto"/>
        <w:rPr>
          <w:sz w:val="20"/>
          <w:szCs w:val="20"/>
          <w:color w:val="auto"/>
        </w:rPr>
      </w:pPr>
      <w:r>
        <w:rPr>
          <w:rFonts w:ascii="Courier New" w:cs="Courier New" w:eastAsia="Courier New" w:hAnsi="Courier New"/>
          <w:sz w:val="14"/>
          <w:szCs w:val="14"/>
          <w:color w:val="auto"/>
        </w:rPr>
        <w:t>NOTICE IS HEREBY GIVEN THAT THE ANNUAL MEETING ("MEETING") OF THE STOCKHOLDERS ("STOCKHOLDERS") OF DIODES INCORPORATED (THE "COMPANY") WILL BE HELD AT THE RADISSON HOTEL, 30100 AGOURA ROAD, AGOURA HILLS, CALIFORNIA 91301, ON JUNE 30, 1995 AT THE HOUR OF 10:00 A.M. FOR THE FOLLOWING PURPOSES: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RECEIVE AND CONSIDER:</w:t>
      </w:r>
    </w:p>
    <w:p>
      <w:pPr>
        <w:spacing w:after="0" w:line="173" w:lineRule="exact"/>
        <w:rPr>
          <w:sz w:val="20"/>
          <w:szCs w:val="20"/>
          <w:color w:val="auto"/>
        </w:rPr>
      </w:pPr>
    </w:p>
    <w:p>
      <w:pPr>
        <w:ind w:right="3419" w:firstLine="1464"/>
        <w:spacing w:after="0" w:line="292" w:lineRule="auto"/>
        <w:rPr>
          <w:sz w:val="20"/>
          <w:szCs w:val="20"/>
          <w:color w:val="auto"/>
        </w:rPr>
      </w:pPr>
      <w:r>
        <w:rPr>
          <w:rFonts w:ascii="Courier New" w:cs="Courier New" w:eastAsia="Courier New" w:hAnsi="Courier New"/>
          <w:sz w:val="14"/>
          <w:szCs w:val="14"/>
          <w:color w:val="auto"/>
        </w:rPr>
        <w:t>The report of the Board of Directors on the business of the Company and the Company's audited financial statements for the fiscal year ended December 31, 1994, together with the report of Moss Adams, the Company's independent accountants for such period, on those audited financial statements.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ACT 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PROPOSAL 1:</w:t>
      </w:r>
    </w:p>
    <w:p>
      <w:pPr>
        <w:spacing w:after="0" w:line="173" w:lineRule="exact"/>
        <w:rPr>
          <w:sz w:val="20"/>
          <w:szCs w:val="20"/>
          <w:color w:val="auto"/>
        </w:rPr>
      </w:pPr>
    </w:p>
    <w:p>
      <w:pPr>
        <w:ind w:right="3419" w:firstLine="1464"/>
        <w:spacing w:after="0" w:line="263" w:lineRule="auto"/>
        <w:rPr>
          <w:sz w:val="20"/>
          <w:szCs w:val="20"/>
          <w:color w:val="auto"/>
        </w:rPr>
      </w:pPr>
      <w:r>
        <w:rPr>
          <w:rFonts w:ascii="Courier New" w:cs="Courier New" w:eastAsia="Courier New" w:hAnsi="Courier New"/>
          <w:sz w:val="14"/>
          <w:szCs w:val="14"/>
          <w:color w:val="auto"/>
        </w:rPr>
        <w:t>To elect seven persons to the Board of Directors of the Company, each to serve until the next Annual Meeting and until their successors have been elected and qualified. The Board of Directors' nominees are:</w:t>
      </w:r>
    </w:p>
    <w:p>
      <w:pPr>
        <w:spacing w:after="0" w:line="2" w:lineRule="exact"/>
        <w:rPr>
          <w:sz w:val="20"/>
          <w:szCs w:val="20"/>
          <w:color w:val="auto"/>
        </w:rPr>
      </w:pPr>
    </w:p>
    <w:p>
      <w:pPr>
        <w:jc w:val="both"/>
        <w:ind w:right="3679"/>
        <w:spacing w:after="0" w:line="336" w:lineRule="auto"/>
        <w:rPr>
          <w:sz w:val="20"/>
          <w:szCs w:val="20"/>
          <w:color w:val="auto"/>
        </w:rPr>
      </w:pPr>
      <w:r>
        <w:rPr>
          <w:rFonts w:ascii="Courier New" w:cs="Courier New" w:eastAsia="Courier New" w:hAnsi="Courier New"/>
          <w:sz w:val="14"/>
          <w:szCs w:val="14"/>
          <w:color w:val="auto"/>
        </w:rPr>
        <w:t>Michael R. Giordano, David Lin, Shing Mao, Michael Rosenberg, Raymond Soong, M.K. Lu, and Leonard M. Silverman.</w:t>
      </w:r>
    </w:p>
    <w:p>
      <w:pPr>
        <w:spacing w:after="0" w:line="27" w:lineRule="exact"/>
        <w:rPr>
          <w:sz w:val="20"/>
          <w:szCs w:val="20"/>
          <w:color w:val="auto"/>
        </w:rPr>
      </w:pPr>
    </w:p>
    <w:p>
      <w:pPr>
        <w:jc w:val="both"/>
        <w:ind w:right="3679" w:firstLine="1464"/>
        <w:spacing w:after="0" w:line="313" w:lineRule="auto"/>
        <w:rPr>
          <w:sz w:val="20"/>
          <w:szCs w:val="20"/>
          <w:color w:val="auto"/>
        </w:rPr>
      </w:pPr>
      <w:r>
        <w:rPr>
          <w:rFonts w:ascii="Courier New" w:cs="Courier New" w:eastAsia="Courier New" w:hAnsi="Courier New"/>
          <w:sz w:val="14"/>
          <w:szCs w:val="14"/>
          <w:color w:val="auto"/>
        </w:rPr>
        <w:t>ONLY PERSONS WHO ARE STOCKHOLDERS OF RECORD ON MAY 12, 1995 ARE ENTITLED TO VOTE IN PERSON OR BY PROXY AT THE MEETING OR ANY ADJOURNMENT THEREOF.</w:t>
      </w:r>
    </w:p>
    <w:p>
      <w:pPr>
        <w:spacing w:after="0" w:line="42" w:lineRule="exact"/>
        <w:rPr>
          <w:sz w:val="20"/>
          <w:szCs w:val="20"/>
          <w:color w:val="auto"/>
        </w:rPr>
      </w:pPr>
    </w:p>
    <w:p>
      <w:pPr>
        <w:ind w:right="3519" w:firstLine="1464"/>
        <w:spacing w:after="0" w:line="313" w:lineRule="auto"/>
        <w:rPr>
          <w:sz w:val="20"/>
          <w:szCs w:val="20"/>
          <w:color w:val="auto"/>
        </w:rPr>
      </w:pPr>
      <w:r>
        <w:rPr>
          <w:rFonts w:ascii="Courier New" w:cs="Courier New" w:eastAsia="Courier New" w:hAnsi="Courier New"/>
          <w:sz w:val="14"/>
          <w:szCs w:val="14"/>
          <w:color w:val="auto"/>
        </w:rPr>
        <w:t>The Proxy Statement which accompanies this notice contains additional information regarding the proposals to be considered at the Meeting and Stockholders are encouraged to read it in its entirety.</w:t>
      </w:r>
    </w:p>
    <w:p>
      <w:pPr>
        <w:spacing w:after="0" w:line="42" w:lineRule="exact"/>
        <w:rPr>
          <w:sz w:val="20"/>
          <w:szCs w:val="20"/>
          <w:color w:val="auto"/>
        </w:rPr>
      </w:pPr>
    </w:p>
    <w:p>
      <w:pPr>
        <w:ind w:right="3519" w:firstLine="1464"/>
        <w:spacing w:after="0" w:line="292" w:lineRule="auto"/>
        <w:rPr>
          <w:sz w:val="20"/>
          <w:szCs w:val="20"/>
          <w:color w:val="auto"/>
        </w:rPr>
      </w:pPr>
      <w:r>
        <w:rPr>
          <w:rFonts w:ascii="Courier New" w:cs="Courier New" w:eastAsia="Courier New" w:hAnsi="Courier New"/>
          <w:sz w:val="14"/>
          <w:szCs w:val="14"/>
          <w:color w:val="auto"/>
        </w:rPr>
        <w:t>As set forth in the enclosed Proxy Statement, the Proxy is solicited by and on behalf of the Board of Directors of the Company. All proposals set forth above are proposals of the Company. It is expected that these materials will be first mailed to Stockholders on or about May 19, 1995.</w:t>
      </w:r>
    </w:p>
    <w:p>
      <w:pPr>
        <w:spacing w:after="0" w:line="56" w:lineRule="exact"/>
        <w:rPr>
          <w:sz w:val="20"/>
          <w:szCs w:val="20"/>
          <w:color w:val="auto"/>
        </w:rPr>
      </w:pPr>
    </w:p>
    <w:p>
      <w:pPr>
        <w:ind w:right="3519" w:firstLine="1464"/>
        <w:spacing w:after="0" w:line="292" w:lineRule="auto"/>
        <w:rPr>
          <w:sz w:val="20"/>
          <w:szCs w:val="20"/>
          <w:color w:val="auto"/>
        </w:rPr>
      </w:pPr>
      <w:r>
        <w:rPr>
          <w:rFonts w:ascii="Courier New" w:cs="Courier New" w:eastAsia="Courier New" w:hAnsi="Courier New"/>
          <w:sz w:val="14"/>
          <w:szCs w:val="14"/>
          <w:color w:val="auto"/>
        </w:rPr>
        <w:t>WHETHER OR NOT YOU PLAN TO ATTEND THE MEETING, PLEASE MARK, DATE AND SIGN THE ENCLOSED PROXY AND RETURN IT PROMPTLY IN THE ENCLOSED ENVELOPE TO BE SURE THAT YOUR STOCK IS VOTED. YOUR VOTE IS IMPORTANT, WHETHER YOU OWN A FEW SHARES OR MANY.</w:t>
      </w:r>
    </w:p>
    <w:p>
      <w:pPr>
        <w:spacing w:after="0" w:line="22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Dated at Westlake Village, California, this 19th day of May,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14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JOSEPH LIU</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Joseph Liu, Secretary</w:t>
      </w:r>
    </w:p>
    <w:p>
      <w:pPr>
        <w:sectPr>
          <w:pgSz w:w="11900" w:h="16838" w:orient="portrait"/>
          <w:cols w:equalWidth="0" w:num="1">
            <w:col w:w="10239"/>
          </w:cols>
          <w:pgMar w:left="220" w:top="25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DIODES INCORPORATED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33"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3260" w:val="left"/>
          <w:tab w:leader="none" w:pos="8860" w:val="left"/>
        </w:tabs>
        <w:rPr>
          <w:sz w:val="20"/>
          <w:szCs w:val="20"/>
          <w:color w:val="auto"/>
        </w:rPr>
      </w:pPr>
      <w:r>
        <w:rPr>
          <w:rFonts w:ascii="Courier New" w:cs="Courier New" w:eastAsia="Courier New" w:hAnsi="Courier New"/>
          <w:sz w:val="14"/>
          <w:szCs w:val="14"/>
          <w:color w:val="auto"/>
        </w:rPr>
        <w:t>GENERAL INFORMATION FOR STOCKHOLDERS</w:t>
        <w:tab/>
        <w:t>. . . . . . . . . . . . . . . . . . . . . . . . . . . . . . . .</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3780" w:val="left"/>
          <w:tab w:leader="none" w:pos="8860" w:val="left"/>
        </w:tabs>
        <w:rPr>
          <w:sz w:val="20"/>
          <w:szCs w:val="20"/>
          <w:color w:val="auto"/>
        </w:rPr>
      </w:pPr>
      <w:r>
        <w:rPr>
          <w:rFonts w:ascii="Courier New" w:cs="Courier New" w:eastAsia="Courier New" w:hAnsi="Courier New"/>
          <w:sz w:val="14"/>
          <w:szCs w:val="14"/>
          <w:color w:val="auto"/>
        </w:rPr>
        <w:t>MATTERS TO BE CONSIDERED AT ANNUAL MEETING</w:t>
        <w:tab/>
        <w:t>. . . . . . . . . . . . . . . . . . . . . . . . . . . . .</w:t>
      </w:r>
      <w:r>
        <w:rPr>
          <w:sz w:val="20"/>
          <w:szCs w:val="20"/>
          <w:color w:val="auto"/>
        </w:rPr>
        <w:tab/>
      </w:r>
      <w:r>
        <w:rPr>
          <w:rFonts w:ascii="Courier New" w:cs="Courier New" w:eastAsia="Courier New" w:hAnsi="Courier New"/>
          <w:sz w:val="13"/>
          <w:szCs w:val="13"/>
          <w:color w:val="auto"/>
        </w:rPr>
        <w:t>1</w:t>
      </w:r>
    </w:p>
    <w:p>
      <w:pPr>
        <w:spacing w:after="0" w:line="173" w:lineRule="exact"/>
        <w:rPr>
          <w:sz w:val="20"/>
          <w:szCs w:val="20"/>
          <w:color w:val="auto"/>
        </w:rPr>
      </w:pPr>
    </w:p>
    <w:p>
      <w:pPr>
        <w:spacing w:after="0"/>
        <w:tabs>
          <w:tab w:leader="none" w:pos="5500" w:val="left"/>
          <w:tab w:leader="none" w:pos="7300" w:val="left"/>
        </w:tabs>
        <w:rPr>
          <w:sz w:val="20"/>
          <w:szCs w:val="20"/>
          <w:color w:val="auto"/>
        </w:rPr>
      </w:pPr>
      <w:r>
        <w:rPr>
          <w:rFonts w:ascii="Courier New" w:cs="Courier New" w:eastAsia="Courier New" w:hAnsi="Courier New"/>
          <w:sz w:val="14"/>
          <w:szCs w:val="14"/>
          <w:color w:val="auto"/>
        </w:rPr>
        <w:t>SECURITY OWNERSHIP OF CERTAIN BENEFICIAL OWNERS AND MANAGEMENT</w:t>
        <w:tab/>
        <w:t>. . . . . . . . . .</w:t>
        <w:tab/>
        <w:t>. . . . . . . . . 3</w:t>
      </w:r>
    </w:p>
    <w:p>
      <w:pPr>
        <w:spacing w:after="0" w:line="173" w:lineRule="exact"/>
        <w:rPr>
          <w:sz w:val="20"/>
          <w:szCs w:val="20"/>
          <w:color w:val="auto"/>
        </w:rPr>
      </w:pPr>
    </w:p>
    <w:p>
      <w:pPr>
        <w:spacing w:after="0"/>
        <w:tabs>
          <w:tab w:leader="none" w:pos="3260" w:val="left"/>
          <w:tab w:leader="none" w:pos="8860" w:val="left"/>
        </w:tabs>
        <w:rPr>
          <w:sz w:val="20"/>
          <w:szCs w:val="20"/>
          <w:color w:val="auto"/>
        </w:rPr>
      </w:pPr>
      <w:r>
        <w:rPr>
          <w:rFonts w:ascii="Courier New" w:cs="Courier New" w:eastAsia="Courier New" w:hAnsi="Courier New"/>
          <w:sz w:val="14"/>
          <w:szCs w:val="14"/>
          <w:color w:val="auto"/>
        </w:rPr>
        <w:t>PROPOSAL ONE - ELECTION OF DIRECTORS</w:t>
        <w:tab/>
        <w:t>. . . . . . . . . . . . . . . . . . . . . . . . . . . . . . . .</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spacing w:after="0"/>
        <w:tabs>
          <w:tab w:leader="none" w:pos="6020" w:val="left"/>
          <w:tab w:leader="none" w:pos="8860" w:val="left"/>
        </w:tabs>
        <w:rPr>
          <w:sz w:val="20"/>
          <w:szCs w:val="20"/>
          <w:color w:val="auto"/>
        </w:rPr>
      </w:pPr>
      <w:r>
        <w:rPr>
          <w:rFonts w:ascii="Courier New" w:cs="Courier New" w:eastAsia="Courier New" w:hAnsi="Courier New"/>
          <w:sz w:val="14"/>
          <w:szCs w:val="14"/>
          <w:color w:val="auto"/>
        </w:rPr>
        <w:t>COMPLIANCE WITH SECTION 16(a) OF THE SECURITIES EXCHANGE ACT OF 1934</w:t>
        <w:tab/>
        <w:t>. . . . . . . . . . . . . . . .</w:t>
      </w:r>
      <w:r>
        <w:rPr>
          <w:sz w:val="20"/>
          <w:szCs w:val="20"/>
          <w:color w:val="auto"/>
        </w:rPr>
        <w:tab/>
      </w:r>
      <w:r>
        <w:rPr>
          <w:rFonts w:ascii="Courier New" w:cs="Courier New" w:eastAsia="Courier New" w:hAnsi="Courier New"/>
          <w:sz w:val="13"/>
          <w:szCs w:val="13"/>
          <w:color w:val="auto"/>
        </w:rPr>
        <w:t>8</w:t>
      </w:r>
    </w:p>
    <w:p>
      <w:pPr>
        <w:spacing w:after="0" w:line="173" w:lineRule="exact"/>
        <w:rPr>
          <w:sz w:val="20"/>
          <w:szCs w:val="20"/>
          <w:color w:val="auto"/>
        </w:rPr>
      </w:pPr>
    </w:p>
    <w:p>
      <w:pPr>
        <w:jc w:val="both"/>
        <w:ind w:left="440" w:right="1279" w:hanging="430"/>
        <w:spacing w:after="0" w:line="275" w:lineRule="auto"/>
        <w:rPr>
          <w:sz w:val="20"/>
          <w:szCs w:val="20"/>
          <w:color w:val="auto"/>
        </w:rPr>
      </w:pPr>
      <w:r>
        <w:rPr>
          <w:rFonts w:ascii="Courier New" w:cs="Courier New" w:eastAsia="Courier New" w:hAnsi="Courier New"/>
          <w:sz w:val="14"/>
          <w:szCs w:val="14"/>
          <w:color w:val="auto"/>
        </w:rPr>
        <w:t>EXECUTIVE COMPENSATION AND RELATED INFORMATION</w:t>
      </w:r>
      <w:r>
        <w:rPr>
          <w:sz w:val="20"/>
          <w:szCs w:val="20"/>
          <w:color w:val="auto"/>
        </w:rPr>
        <w:t xml:space="preserve"> </w:t>
      </w:r>
      <w:r>
        <w:rPr>
          <w:rFonts w:ascii="Courier New" w:cs="Courier New" w:eastAsia="Courier New" w:hAnsi="Courier New"/>
          <w:sz w:val="14"/>
          <w:szCs w:val="14"/>
          <w:color w:val="auto"/>
        </w:rPr>
        <w:t>. . . . . . . . . . . . . . . . . . . . . . . . . . . 9 Summary of Cash and Certain Other Compensation . . . . . . . . . . . . . . . . . . . . . . . . . 9 Stock Options . . . . . . . . . . . . . . . . . . . . . . . . . . . . . . . . . . . . . . . . . 11 Option Exercises and Holdings . . . . . . . . . . . . . . . . . . . . . . . . . . . . . . . . . 11 Report of the Compensation Committee of the Board of Directors to Stockholders . . . . . . . . . 12 Stockholder Return Performance Graph . . . . . . . . . . . . . . . . . . . . . . . . . . . . . . 14</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PROPOSALS OF STOCKHOLDERS . . . . . . . . . . . . . . . . . . . . . . . . . . . . . . . . . . . . . . 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AND FORM 10-K . . . . . . . . . . . . . . . . . . . . . . . . . . . . . . . . . . . . . 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 . . . . . . . . . . . . . . . . . . . . . . . . . . . . . . . . . . . . . . . . . . . .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5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DIODES INCORPORATED</w:t>
      </w:r>
    </w:p>
    <w:p>
      <w:pPr>
        <w:spacing w:after="0" w:line="3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3050 E. HILLCREST DRIVE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WESTLAKE VILLAGE, CALIFORNIA 91362</w:t>
      </w:r>
    </w:p>
    <w:p>
      <w:pPr>
        <w:spacing w:after="0" w:line="7" w:lineRule="exact"/>
        <w:rPr>
          <w:sz w:val="20"/>
          <w:szCs w:val="20"/>
          <w:color w:val="auto"/>
        </w:rPr>
      </w:pPr>
    </w:p>
    <w:p>
      <w:pPr>
        <w:ind w:left="3360" w:hanging="509"/>
        <w:spacing w:after="0"/>
        <w:tabs>
          <w:tab w:leader="none" w:pos="3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446-4800</w:t>
      </w:r>
    </w:p>
    <w:p>
      <w:pPr>
        <w:spacing w:after="0" w:line="146"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339"/>
        <w:spacing w:after="0"/>
        <w:tabs>
          <w:tab w:leader="none" w:pos="140" w:val="left"/>
        </w:tabs>
        <w:rPr>
          <w:sz w:val="20"/>
          <w:szCs w:val="20"/>
          <w:color w:val="auto"/>
        </w:rPr>
      </w:pPr>
      <w:r>
        <w:rPr>
          <w:rFonts w:ascii="Courier New" w:cs="Courier New" w:eastAsia="Courier New" w:hAnsi="Courier New"/>
          <w:sz w:val="14"/>
          <w:szCs w:val="14"/>
          <w:color w:val="auto"/>
        </w:rPr>
        <w:t>ANNUAL MEETING:</w:t>
        <w:tab/>
        <w:t>JUNE 30, 1995</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GENERAL INFORMATION FOR STOCKHOLDERS</w:t>
      </w:r>
    </w:p>
    <w:p>
      <w:pPr>
        <w:spacing w:after="0" w:line="173" w:lineRule="exact"/>
        <w:rPr>
          <w:sz w:val="20"/>
          <w:szCs w:val="20"/>
          <w:color w:val="auto"/>
        </w:rPr>
      </w:pPr>
    </w:p>
    <w:p>
      <w:pPr>
        <w:ind w:right="3419" w:firstLine="1464"/>
        <w:spacing w:after="0" w:line="263" w:lineRule="auto"/>
        <w:rPr>
          <w:sz w:val="20"/>
          <w:szCs w:val="20"/>
          <w:color w:val="auto"/>
        </w:rPr>
      </w:pPr>
      <w:r>
        <w:rPr>
          <w:rFonts w:ascii="Courier New" w:cs="Courier New" w:eastAsia="Courier New" w:hAnsi="Courier New"/>
          <w:sz w:val="14"/>
          <w:szCs w:val="14"/>
          <w:color w:val="auto"/>
        </w:rPr>
        <w:t>This Proxy Statement is furnished in connection with the solicitation of proxies by the Board of Directors ("Board of Directors") of Diodes Incorporated (the "Company") for use at the annual meeting ("Meeting") of the stockholders ("Stockholders") of the Company to be held on June 30, 1995, at the Radisson Hotel 30100 Agoura Road, Agoura Hills, California 91301, at 10:00 a.m. and at any adjournment thereof. Joseph Liu and Carl Wertz, the designated proxyholders ("Proxyholders"), are members of the Company's management. This Proxy Statement and the enclosed proxy card ("Proxy") and other enclosures will be first mailed to Stockholders on or about May 19, 1995. Only Stockholders of record on May 12, 1995 ("Record Date") are entitled to vote in person or by proxy at the Meeting or any adjournment thereof.</w:t>
      </w:r>
    </w:p>
    <w:p>
      <w:pPr>
        <w:spacing w:after="0" w:line="7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MATTERS TO BE CONSIDERED AT ANNUAL MEETING</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matters to be considered and voted upon at the Meeting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w:t>
      </w:r>
    </w:p>
    <w:p>
      <w:pPr>
        <w:spacing w:after="0" w:line="14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PROPOSAL 1:</w:t>
      </w:r>
    </w:p>
    <w:p>
      <w:pPr>
        <w:spacing w:after="0" w:line="173" w:lineRule="exact"/>
        <w:rPr>
          <w:sz w:val="20"/>
          <w:szCs w:val="20"/>
          <w:color w:val="auto"/>
        </w:rPr>
      </w:pPr>
    </w:p>
    <w:p>
      <w:pPr>
        <w:ind w:left="780" w:right="3599" w:firstLine="1464"/>
        <w:spacing w:after="0" w:line="282" w:lineRule="auto"/>
        <w:rPr>
          <w:sz w:val="20"/>
          <w:szCs w:val="20"/>
          <w:color w:val="auto"/>
        </w:rPr>
      </w:pPr>
      <w:r>
        <w:rPr>
          <w:rFonts w:ascii="Courier New" w:cs="Courier New" w:eastAsia="Courier New" w:hAnsi="Courier New"/>
          <w:sz w:val="14"/>
          <w:szCs w:val="14"/>
          <w:color w:val="auto"/>
        </w:rPr>
        <w:t>To elect seven persons to the Board of Directors of the Company, each to serve until the next Annual Meeting and until their successors have been elected and qualified. The Board of Directors' nominees are: Michael R. Giordano, David Lin, Shing Mao, Michael Rosenberg, Raymond Soong, M.K. Lu, and Leonard M. Silverman.</w:t>
      </w:r>
    </w:p>
    <w:p>
      <w:pPr>
        <w:spacing w:after="0" w:line="62" w:lineRule="exact"/>
        <w:rPr>
          <w:sz w:val="20"/>
          <w:szCs w:val="20"/>
          <w:color w:val="auto"/>
        </w:rPr>
      </w:pPr>
    </w:p>
    <w:p>
      <w:pPr>
        <w:ind w:right="3939"/>
        <w:spacing w:after="0" w:line="375" w:lineRule="auto"/>
        <w:rPr>
          <w:sz w:val="20"/>
          <w:szCs w:val="20"/>
          <w:color w:val="auto"/>
        </w:rPr>
      </w:pPr>
      <w:r>
        <w:rPr>
          <w:rFonts w:ascii="Courier New" w:cs="Courier New" w:eastAsia="Courier New" w:hAnsi="Courier New"/>
          <w:sz w:val="14"/>
          <w:szCs w:val="14"/>
          <w:color w:val="auto"/>
        </w:rPr>
        <w:t>AND, to transact such other business as may properly be transacted at the Meeting or at any adjournment thereof.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OF SOLICITATIONS OF PROXIES</w:t>
      </w:r>
    </w:p>
    <w:p>
      <w:pPr>
        <w:spacing w:after="0" w:line="173" w:lineRule="exact"/>
        <w:rPr>
          <w:sz w:val="20"/>
          <w:szCs w:val="20"/>
          <w:color w:val="auto"/>
        </w:rPr>
      </w:pPr>
    </w:p>
    <w:p>
      <w:pPr>
        <w:ind w:right="3419" w:firstLine="1464"/>
        <w:spacing w:after="0" w:line="264" w:lineRule="auto"/>
        <w:rPr>
          <w:sz w:val="20"/>
          <w:szCs w:val="20"/>
          <w:color w:val="auto"/>
        </w:rPr>
      </w:pPr>
      <w:r>
        <w:rPr>
          <w:rFonts w:ascii="Courier New" w:cs="Courier New" w:eastAsia="Courier New" w:hAnsi="Courier New"/>
          <w:sz w:val="14"/>
          <w:szCs w:val="14"/>
          <w:color w:val="auto"/>
        </w:rPr>
        <w:t>The solicitation will be made by mail and may be supplemented by telephone or other personal contact to be made without special compensation by regular officers and employees of the Company. If it should appear desirable to do so to ensure adequate representation at the Meeting, officers and regular employees may communicate with Stockholders, banks, brokerage houses, custodians, nominees and others, by telephone, facsimile transmissions, telegraph, or in person to request that proxies be furnished. The Company will reimburse banks, brokerage houses, and other custodians, nominees and fiduciaries, for their reasonable expenses in forwarding proxy materials to their principals. The total estimated cost for such reimbursement is $12,000.</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SECURITIES AND VOTING RIGHTS; REVOCABILITY OF PROXIES</w:t>
      </w:r>
    </w:p>
    <w:p>
      <w:pPr>
        <w:spacing w:after="0" w:line="173" w:lineRule="exact"/>
        <w:rPr>
          <w:sz w:val="20"/>
          <w:szCs w:val="20"/>
          <w:color w:val="auto"/>
        </w:rPr>
      </w:pPr>
    </w:p>
    <w:p>
      <w:pPr>
        <w:ind w:right="3519" w:firstLine="1464"/>
        <w:spacing w:after="0" w:line="261" w:lineRule="auto"/>
        <w:rPr>
          <w:sz w:val="20"/>
          <w:szCs w:val="20"/>
          <w:color w:val="auto"/>
        </w:rPr>
      </w:pPr>
      <w:r>
        <w:rPr>
          <w:rFonts w:ascii="Courier New" w:cs="Courier New" w:eastAsia="Courier New" w:hAnsi="Courier New"/>
          <w:sz w:val="14"/>
          <w:szCs w:val="14"/>
          <w:color w:val="auto"/>
        </w:rPr>
        <w:t>The authorized capital of the Company consists of 9,000,000 shares of common stock ("Common Stock"), $0.66-2/3 par value, of which 4,626,009 shares were issued and outstanding on the Record Date with an additional 717,115 shares held as Treasury Stock. In addition, 1,000,000 shares of Preferred Stock, $1.00 par value, are authorized of which 169,629 shares of Class A Preferred Stock ("Class A Preferred Stock") were issued and outstanding on the Record Date (the Common Stock and the Class A Preferred Stock shall herein be collectively referred to as the "Stock"). Each share of Class A Preferred Stock is entitled to one vote and is convertible into one share of Common Stock. A majority of the outstanding shares of the Stock constitutes a quorum for the conduct of business at the Meeting. Abstentions will be treated as shares present and entitled to vote for purposes of determining the presence of a quorum.</w:t>
      </w:r>
    </w:p>
    <w:p>
      <w:pPr>
        <w:spacing w:after="0" w:line="77" w:lineRule="exact"/>
        <w:rPr>
          <w:sz w:val="20"/>
          <w:szCs w:val="20"/>
          <w:color w:val="auto"/>
        </w:rPr>
      </w:pPr>
    </w:p>
    <w:p>
      <w:pPr>
        <w:ind w:right="3519" w:firstLine="1464"/>
        <w:spacing w:after="0" w:line="313" w:lineRule="auto"/>
        <w:rPr>
          <w:sz w:val="20"/>
          <w:szCs w:val="20"/>
          <w:color w:val="auto"/>
        </w:rPr>
      </w:pPr>
      <w:r>
        <w:rPr>
          <w:rFonts w:ascii="Courier New" w:cs="Courier New" w:eastAsia="Courier New" w:hAnsi="Courier New"/>
          <w:sz w:val="14"/>
          <w:szCs w:val="14"/>
          <w:color w:val="auto"/>
        </w:rPr>
        <w:t>Each Stockholder is entitled to one vote, in person or by proxy, for each share of Stock standing in his or her name on the books of the Company as of the Record Date on any matter submitted to the Stockholders.</w:t>
      </w:r>
    </w:p>
    <w:p>
      <w:pPr>
        <w:sectPr>
          <w:pgSz w:w="11900" w:h="16838" w:orient="portrait"/>
          <w:cols w:equalWidth="0" w:num="1">
            <w:col w:w="10239"/>
          </w:cols>
          <w:pgMar w:left="220" w:top="25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firstLine="1464"/>
        <w:spacing w:after="0" w:line="268" w:lineRule="auto"/>
        <w:rPr>
          <w:sz w:val="20"/>
          <w:szCs w:val="20"/>
          <w:color w:val="auto"/>
        </w:rPr>
      </w:pPr>
      <w:r>
        <w:rPr>
          <w:rFonts w:ascii="Courier New" w:cs="Courier New" w:eastAsia="Courier New" w:hAnsi="Courier New"/>
          <w:sz w:val="14"/>
          <w:szCs w:val="14"/>
          <w:color w:val="auto"/>
        </w:rPr>
        <w:t>The Company's Certificate of Incorporation authorizes cumulative voting. Each Stockholder has the right to cumulate votes and give one candidate a number of votes equal to the number of directors to be elected multiplied by the number of votes to which such Stockholder's shares are entitled, or to distribute such Stockholder's votes on the same principle among as many candidates as the Stockholder shall think fit, and the candidates receiving the highest number of votes up to the number of directors to be elected, shall be elected.</w:t>
      </w:r>
    </w:p>
    <w:p>
      <w:pPr>
        <w:spacing w:after="0" w:line="74" w:lineRule="exact"/>
        <w:rPr>
          <w:sz w:val="20"/>
          <w:szCs w:val="20"/>
          <w:color w:val="auto"/>
        </w:rPr>
      </w:pPr>
    </w:p>
    <w:p>
      <w:pPr>
        <w:ind w:right="3419" w:firstLine="1464"/>
        <w:spacing w:after="0" w:line="282" w:lineRule="auto"/>
        <w:rPr>
          <w:sz w:val="20"/>
          <w:szCs w:val="20"/>
          <w:color w:val="auto"/>
        </w:rPr>
      </w:pPr>
      <w:r>
        <w:rPr>
          <w:rFonts w:ascii="Courier New" w:cs="Courier New" w:eastAsia="Courier New" w:hAnsi="Courier New"/>
          <w:sz w:val="14"/>
          <w:szCs w:val="14"/>
          <w:color w:val="auto"/>
        </w:rPr>
        <w:t>As to any matters, other than the election of directors, which may properly come before the Meeting, each Stockholder is entitled to cast one vote for each share held of record on the Record Date. In the election of directors, the seven persons receiving the highest number of votes will be elected.</w:t>
      </w:r>
    </w:p>
    <w:p>
      <w:pPr>
        <w:spacing w:after="0" w:line="62" w:lineRule="exact"/>
        <w:rPr>
          <w:sz w:val="20"/>
          <w:szCs w:val="20"/>
          <w:color w:val="auto"/>
        </w:rPr>
      </w:pPr>
    </w:p>
    <w:p>
      <w:pPr>
        <w:ind w:right="3519" w:firstLine="1464"/>
        <w:spacing w:after="0" w:line="262" w:lineRule="auto"/>
        <w:rPr>
          <w:sz w:val="20"/>
          <w:szCs w:val="20"/>
          <w:color w:val="auto"/>
        </w:rPr>
      </w:pPr>
      <w:r>
        <w:rPr>
          <w:rFonts w:ascii="Courier New" w:cs="Courier New" w:eastAsia="Courier New" w:hAnsi="Courier New"/>
          <w:sz w:val="14"/>
          <w:szCs w:val="14"/>
          <w:color w:val="auto"/>
        </w:rPr>
        <w:t>On the Record Date there were a total of 4,795,638 voting shares of Stock issued and outstanding consisting of the Common Stock and the Class A Preferred Stock referred to herein, each such share of Stock being entitled to one vote at the Meeting. Of these voting shares of Stock, 2,230,093 (or approximately 46.5%) (the "Shares") were held in name by Lite-On Power Semiconductor Corporation ("LPSC"), a subsidiary controlled by Silitek Corporation ("Silitek"). Silitek has disclaimed beneficial ownership of the Shares. See "Security Ownership of Certain Beneficial Owners and Management" and "Certain Relationships and Related Transactions" for a discussion of the relationship between Silitek, LPSC and the Company. LPSC has informed the Company that it will vote "FOR" the election of the nominees to the Board of Directors identified herein.</w:t>
      </w:r>
    </w:p>
    <w:p>
      <w:pPr>
        <w:spacing w:after="0" w:line="76" w:lineRule="exact"/>
        <w:rPr>
          <w:sz w:val="20"/>
          <w:szCs w:val="20"/>
          <w:color w:val="auto"/>
        </w:rPr>
      </w:pPr>
    </w:p>
    <w:p>
      <w:pPr>
        <w:ind w:right="3419" w:firstLine="1464"/>
        <w:spacing w:after="0" w:line="270" w:lineRule="auto"/>
        <w:rPr>
          <w:sz w:val="20"/>
          <w:szCs w:val="20"/>
          <w:color w:val="auto"/>
        </w:rPr>
      </w:pPr>
      <w:r>
        <w:rPr>
          <w:rFonts w:ascii="Courier New" w:cs="Courier New" w:eastAsia="Courier New" w:hAnsi="Courier New"/>
          <w:sz w:val="14"/>
          <w:szCs w:val="14"/>
          <w:color w:val="auto"/>
        </w:rPr>
        <w:t>A Proxy for use at the Meeting is enclosed. The Proxy must be signed and dated by you or your authorized representative or agent.</w:t>
      </w:r>
    </w:p>
    <w:p>
      <w:pPr>
        <w:ind w:right="3599"/>
        <w:spacing w:after="0" w:line="279" w:lineRule="auto"/>
        <w:rPr>
          <w:sz w:val="20"/>
          <w:szCs w:val="20"/>
          <w:color w:val="auto"/>
        </w:rPr>
      </w:pPr>
      <w:r>
        <w:rPr>
          <w:rFonts w:ascii="Courier New" w:cs="Courier New" w:eastAsia="Courier New" w:hAnsi="Courier New"/>
          <w:sz w:val="14"/>
          <w:szCs w:val="14"/>
          <w:color w:val="auto"/>
        </w:rPr>
        <w:t>Telegraphed or cabled Proxies are also valid. You may revoke a Proxy at any time before it is exercised at the Meeting by submitting a written revocation to the Secretary of the Company or a duly executed Proxy bearing a later date or by voting in person at the Meeting.</w:t>
      </w:r>
    </w:p>
    <w:p>
      <w:pPr>
        <w:spacing w:after="0" w:line="65" w:lineRule="exact"/>
        <w:rPr>
          <w:sz w:val="20"/>
          <w:szCs w:val="20"/>
          <w:color w:val="auto"/>
        </w:rPr>
      </w:pPr>
    </w:p>
    <w:p>
      <w:pPr>
        <w:ind w:right="3419" w:firstLine="1464"/>
        <w:spacing w:after="0" w:line="292" w:lineRule="auto"/>
        <w:rPr>
          <w:sz w:val="20"/>
          <w:szCs w:val="20"/>
          <w:color w:val="auto"/>
        </w:rPr>
      </w:pPr>
      <w:r>
        <w:rPr>
          <w:rFonts w:ascii="Courier New" w:cs="Courier New" w:eastAsia="Courier New" w:hAnsi="Courier New"/>
          <w:sz w:val="14"/>
          <w:szCs w:val="14"/>
          <w:color w:val="auto"/>
        </w:rPr>
        <w:t>If you hold your Stock in "street name" and you fail to instruct your broker or nominee as to how to vote your Stock, your broker or nominee may, in its discretion, vote your Stock "FOR" the election of the Board of Director's nominees.</w:t>
      </w:r>
    </w:p>
    <w:p>
      <w:pPr>
        <w:spacing w:after="0" w:line="56" w:lineRule="exact"/>
        <w:rPr>
          <w:sz w:val="20"/>
          <w:szCs w:val="20"/>
          <w:color w:val="auto"/>
        </w:rPr>
      </w:pPr>
    </w:p>
    <w:p>
      <w:pPr>
        <w:ind w:right="3419" w:firstLine="1464"/>
        <w:spacing w:after="0" w:line="282" w:lineRule="auto"/>
        <w:rPr>
          <w:sz w:val="20"/>
          <w:szCs w:val="20"/>
          <w:color w:val="auto"/>
        </w:rPr>
      </w:pPr>
      <w:r>
        <w:rPr>
          <w:rFonts w:ascii="Courier New" w:cs="Courier New" w:eastAsia="Courier New" w:hAnsi="Courier New"/>
          <w:sz w:val="14"/>
          <w:szCs w:val="14"/>
          <w:color w:val="auto"/>
        </w:rPr>
        <w:t>Unless revoked, the shares of Stock represented by Proxies will be voted in accordance with the instructions given thereon. Discretionary authority to cumulate votes in the election of directors is solicited. In the absence of any instruction in the Proxy, your shares of Stock will be voted "FOR" the election of the nominees for director set forth herein.</w:t>
      </w:r>
    </w:p>
    <w:p>
      <w:pPr>
        <w:spacing w:after="0" w:line="62" w:lineRule="exact"/>
        <w:rPr>
          <w:sz w:val="20"/>
          <w:szCs w:val="20"/>
          <w:color w:val="auto"/>
        </w:rPr>
      </w:pPr>
    </w:p>
    <w:p>
      <w:pPr>
        <w:ind w:right="3599" w:firstLine="1464"/>
        <w:spacing w:after="0" w:line="263" w:lineRule="auto"/>
        <w:rPr>
          <w:sz w:val="20"/>
          <w:szCs w:val="20"/>
          <w:color w:val="auto"/>
        </w:rPr>
      </w:pPr>
      <w:r>
        <w:rPr>
          <w:rFonts w:ascii="Courier New" w:cs="Courier New" w:eastAsia="Courier New" w:hAnsi="Courier New"/>
          <w:sz w:val="14"/>
          <w:szCs w:val="14"/>
          <w:color w:val="auto"/>
        </w:rPr>
        <w:t>The enclosed Proxy confers discretionary authority with respect to any other proposals which properly may be brought before the Meeting. As of the date hereof, management is not aware of any other matters to be presented for action at the Meeting. However, if any other matters properly come before the Meeting, the Proxies solicited hereby will be voted by the Proxyholders in accordance with the recommendations of the Board of Directors. Such authorization includes authority to appoint a substitute nominee or nominees to the slate of management nominees for directors where death, illness or other circumstances arise which prevent any management nominee or nominees for directors from serving in such positions and to vote such proxy for such substitute nominee or nominees.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5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firstLine="1464"/>
        <w:spacing w:after="0" w:line="268" w:lineRule="auto"/>
        <w:rPr>
          <w:sz w:val="20"/>
          <w:szCs w:val="20"/>
          <w:color w:val="auto"/>
        </w:rPr>
      </w:pPr>
      <w:r>
        <w:rPr>
          <w:rFonts w:ascii="Courier New" w:cs="Courier New" w:eastAsia="Courier New" w:hAnsi="Courier New"/>
          <w:sz w:val="14"/>
          <w:szCs w:val="14"/>
          <w:color w:val="auto"/>
        </w:rPr>
        <w:t>The following table sets forth the beneficial ownership of Common Stock as of the Record Date by each person known to the Company to be the beneficial owner of more than five percent of the outstanding shares of Common Stock by each executive officer (i.e., President and Chief Executive Officer; Executive Vice President; and Vice President-Operations, Chief Financial Officer and Secretary of the Company), director and nominee for director of the Company, and by all directors and executive officers as a group:</w:t>
      </w:r>
    </w:p>
    <w:p>
      <w:pPr>
        <w:spacing w:after="0" w:line="200" w:lineRule="exact"/>
        <w:rPr>
          <w:sz w:val="20"/>
          <w:szCs w:val="20"/>
          <w:color w:val="auto"/>
        </w:rPr>
      </w:pP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2700" w:type="dxa"/>
            <w:vAlign w:val="bottom"/>
          </w:tcPr>
          <w:p>
            <w:pPr>
              <w:spacing w:after="0"/>
              <w:rPr>
                <w:sz w:val="14"/>
                <w:szCs w:val="14"/>
                <w:color w:val="auto"/>
              </w:rPr>
            </w:pP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Amount and</w:t>
            </w: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vMerge w:val="restart"/>
          </w:tcPr>
          <w:p>
            <w:pPr>
              <w:ind w:left="420"/>
              <w:spacing w:after="0"/>
              <w:rPr>
                <w:sz w:val="20"/>
                <w:szCs w:val="20"/>
                <w:color w:val="auto"/>
              </w:rPr>
            </w:pPr>
            <w:r>
              <w:rPr>
                <w:rFonts w:ascii="Courier New" w:cs="Courier New" w:eastAsia="Courier New" w:hAnsi="Courier New"/>
                <w:sz w:val="14"/>
                <w:szCs w:val="14"/>
                <w:color w:val="auto"/>
              </w:rPr>
              <w:t>Name and Address</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Nature of</w:t>
            </w:r>
          </w:p>
        </w:tc>
        <w:tc>
          <w:tcPr>
            <w:tcW w:w="20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Percent of</w:t>
            </w:r>
          </w:p>
        </w:tc>
        <w:tc>
          <w:tcPr>
            <w:tcW w:w="0" w:type="dxa"/>
            <w:vAlign w:val="bottom"/>
          </w:tcPr>
          <w:p>
            <w:pPr>
              <w:spacing w:after="0"/>
              <w:rPr>
                <w:sz w:val="1"/>
                <w:szCs w:val="1"/>
                <w:color w:val="auto"/>
              </w:rPr>
            </w:pPr>
          </w:p>
        </w:tc>
      </w:tr>
      <w:tr>
        <w:trPr>
          <w:trHeight w:val="166"/>
        </w:trPr>
        <w:tc>
          <w:tcPr>
            <w:tcW w:w="2700" w:type="dxa"/>
            <w:vAlign w:val="bottom"/>
            <w:vMerge w:val="continue"/>
          </w:tcPr>
          <w:p>
            <w:pPr>
              <w:spacing w:after="0"/>
              <w:rPr>
                <w:sz w:val="14"/>
                <w:szCs w:val="14"/>
                <w:color w:val="auto"/>
              </w:rPr>
            </w:pP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Beneficial</w:t>
            </w:r>
          </w:p>
        </w:tc>
        <w:tc>
          <w:tcPr>
            <w:tcW w:w="20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Title of Class</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of Beneficial Owner(1)</w:t>
            </w: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Ownership(2)</w:t>
            </w:r>
          </w:p>
        </w:tc>
        <w:tc>
          <w:tcPr>
            <w:tcW w:w="2060" w:type="dxa"/>
            <w:vAlign w:val="bottom"/>
            <w:vMerge w:val="continue"/>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Class(3)</w:t>
            </w:r>
          </w:p>
        </w:tc>
        <w:tc>
          <w:tcPr>
            <w:tcW w:w="0" w:type="dxa"/>
            <w:vAlign w:val="bottom"/>
          </w:tcPr>
          <w:p>
            <w:pPr>
              <w:spacing w:after="0"/>
              <w:rPr>
                <w:sz w:val="1"/>
                <w:szCs w:val="1"/>
                <w:color w:val="auto"/>
              </w:rPr>
            </w:pPr>
          </w:p>
        </w:tc>
      </w:tr>
      <w:tr>
        <w:trPr>
          <w:trHeight w:val="242"/>
        </w:trPr>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2700" w:type="dxa"/>
            <w:vAlign w:val="bottom"/>
          </w:tcPr>
          <w:p>
            <w:pPr>
              <w:spacing w:after="0"/>
              <w:rPr>
                <w:sz w:val="20"/>
                <w:szCs w:val="20"/>
                <w:color w:val="auto"/>
              </w:rPr>
            </w:pPr>
            <w:r>
              <w:rPr>
                <w:rFonts w:ascii="Courier New" w:cs="Courier New" w:eastAsia="Courier New" w:hAnsi="Courier New"/>
                <w:sz w:val="14"/>
                <w:szCs w:val="14"/>
                <w:color w:val="auto"/>
              </w:rPr>
              <w:t>Silitek Corporation</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2,060,464(4)</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Raymond Soong,</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66,666(5)</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Chairman of the Board</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Shing Mao,</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63,333(6)</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Michael A. Rosenberg,</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30,000(7)</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Michael R. Giordano,</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41,000(8)</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David Lin,</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46,666(9)</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President, Chief</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M.K. Lu,</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Director-Nominee</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Leonard M. Silverman,</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N/A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Director-Nominee</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Joseph Liu,</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65,000(10)</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Vice President -</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Operations, Chief</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Financial Officer and</w:t>
            </w: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Secretary</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00" w:type="dxa"/>
            <w:vAlign w:val="bottom"/>
          </w:tcPr>
          <w:p>
            <w:pPr>
              <w:spacing w:after="0"/>
              <w:rPr>
                <w:sz w:val="20"/>
                <w:szCs w:val="20"/>
                <w:color w:val="auto"/>
              </w:rPr>
            </w:pPr>
            <w:r>
              <w:rPr>
                <w:rFonts w:ascii="Courier New" w:cs="Courier New" w:eastAsia="Courier New" w:hAnsi="Courier New"/>
                <w:sz w:val="14"/>
                <w:szCs w:val="14"/>
                <w:color w:val="auto"/>
              </w:rPr>
              <w:t>Pedro Morillas,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16,666(11)</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270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20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Directors and Executive</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329,331(12)</w:t>
            </w:r>
          </w:p>
        </w:tc>
        <w:tc>
          <w:tcPr>
            <w:tcW w:w="2060" w:type="dxa"/>
            <w:vAlign w:val="bottom"/>
          </w:tcPr>
          <w:p>
            <w:pPr>
              <w:ind w:left="340"/>
              <w:spacing w:after="0"/>
              <w:rPr>
                <w:sz w:val="20"/>
                <w:szCs w:val="20"/>
                <w:color w:val="auto"/>
              </w:rPr>
            </w:pPr>
            <w:r>
              <w:rPr>
                <w:rFonts w:ascii="Courier New" w:cs="Courier New" w:eastAsia="Courier New" w:hAnsi="Courier New"/>
                <w:sz w:val="14"/>
                <w:szCs w:val="14"/>
                <w:color w:val="auto"/>
              </w:rPr>
              <w:t>Common Stock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0" w:type="dxa"/>
            <w:vAlign w:val="bottom"/>
          </w:tcPr>
          <w:p>
            <w:pPr>
              <w:spacing w:after="0"/>
              <w:rPr>
                <w:sz w:val="1"/>
                <w:szCs w:val="1"/>
                <w:color w:val="auto"/>
              </w:rPr>
            </w:pPr>
          </w:p>
        </w:tc>
      </w:tr>
    </w:tbl>
    <w:p>
      <w:pPr>
        <w:jc w:val="center"/>
        <w:ind w:right="8419"/>
        <w:spacing w:after="0"/>
        <w:rPr>
          <w:sz w:val="20"/>
          <w:szCs w:val="20"/>
          <w:color w:val="auto"/>
        </w:rPr>
      </w:pPr>
      <w:r>
        <w:rPr>
          <w:rFonts w:ascii="Courier New" w:cs="Courier New" w:eastAsia="Courier New" w:hAnsi="Courier New"/>
          <w:sz w:val="14"/>
          <w:szCs w:val="14"/>
          <w:color w:val="auto"/>
        </w:rPr>
        <w:t>Officers as a group</w:t>
      </w:r>
    </w:p>
    <w:p>
      <w:pPr>
        <w:spacing w:after="0" w:line="7"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(9 persons)</w:t>
      </w:r>
    </w:p>
    <w:p>
      <w:pPr>
        <w:spacing w:after="0" w:line="312"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Less than 1%.</w:t>
      </w:r>
    </w:p>
    <w:p>
      <w:pPr>
        <w:spacing w:after="0" w:line="200" w:lineRule="exact"/>
        <w:rPr>
          <w:sz w:val="20"/>
          <w:szCs w:val="20"/>
          <w:color w:val="auto"/>
        </w:rPr>
      </w:pPr>
    </w:p>
    <w:p>
      <w:pPr>
        <w:spacing w:after="0" w:line="304"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5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previous page)</w:t>
      </w:r>
    </w:p>
    <w:p>
      <w:pPr>
        <w:spacing w:after="0" w:line="173" w:lineRule="exact"/>
        <w:rPr>
          <w:sz w:val="20"/>
          <w:szCs w:val="20"/>
          <w:color w:val="auto"/>
        </w:rPr>
      </w:pPr>
    </w:p>
    <w:p>
      <w:pPr>
        <w:ind w:left="780" w:right="3419" w:hanging="772"/>
        <w:spacing w:after="0" w:line="292"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Silitek is 10 FL. NO. 25, Sec. 1, Tung Hua S. Rd., Taipei, Taiwan, Republic of China. The address of the directors and executive officers of the Company is 3050 E. Hillcrest Drive, Westlake Village, California 91362.</w:t>
      </w:r>
    </w:p>
    <w:p>
      <w:pPr>
        <w:spacing w:after="0" w:line="56" w:lineRule="exact"/>
        <w:rPr>
          <w:rFonts w:ascii="Courier New" w:cs="Courier New" w:eastAsia="Courier New" w:hAnsi="Courier New"/>
          <w:sz w:val="14"/>
          <w:szCs w:val="14"/>
          <w:color w:val="auto"/>
        </w:rPr>
      </w:pPr>
    </w:p>
    <w:p>
      <w:pPr>
        <w:ind w:left="780" w:right="3519" w:hanging="772"/>
        <w:spacing w:after="0" w:line="375"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named shareholder has sole voting power and investment power with respect to the shares listed, except as indicated.</w:t>
      </w:r>
    </w:p>
    <w:p>
      <w:pPr>
        <w:spacing w:after="0" w:line="1" w:lineRule="exact"/>
        <w:rPr>
          <w:rFonts w:ascii="Courier New" w:cs="Courier New" w:eastAsia="Courier New" w:hAnsi="Courier New"/>
          <w:sz w:val="14"/>
          <w:szCs w:val="14"/>
          <w:color w:val="auto"/>
        </w:rPr>
      </w:pPr>
    </w:p>
    <w:p>
      <w:pPr>
        <w:ind w:left="780" w:right="3519" w:hanging="772"/>
        <w:spacing w:after="0" w:line="275"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which the person (or group) has the right to acquire within 60 days after May 12, 1995 are deemed to be outstanding in calculating the percentage ownership of the person (or group) but are not deemed to be outstanding as to any other person or group. Percent of class total does not take into account 717,115 shares held as Treasury Stock.</w:t>
      </w:r>
    </w:p>
    <w:p>
      <w:pPr>
        <w:spacing w:after="0" w:line="69" w:lineRule="exact"/>
        <w:rPr>
          <w:rFonts w:ascii="Courier New" w:cs="Courier New" w:eastAsia="Courier New" w:hAnsi="Courier New"/>
          <w:sz w:val="14"/>
          <w:szCs w:val="14"/>
          <w:color w:val="auto"/>
        </w:rPr>
      </w:pPr>
    </w:p>
    <w:p>
      <w:pPr>
        <w:ind w:left="780" w:right="3419" w:hanging="772"/>
        <w:spacing w:after="0" w:line="266"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2,060,464 shares of Common Stock to which Silitek disclaims beneficial ownership. Also includes 169,629 shares of voting Preferred Stock which are convertible into Common Stock on a one share for one share basis, to which Silitek disclaims beneficial ownership. LPSC, which holds 2,060,464 shares of Common Stock and 169,624 shares of Preferred Stock, as the record holder in the Company's stock records, is a controlled subsidiary of Silitek. The address of LPSC is 28-1 Wu Shin St., Ta Wu Lung Industrial Zone, Keelung, Taiwan, Republic of China.</w:t>
      </w:r>
    </w:p>
    <w:p>
      <w:pPr>
        <w:spacing w:after="0" w:line="74" w:lineRule="exact"/>
        <w:rPr>
          <w:rFonts w:ascii="Courier New" w:cs="Courier New" w:eastAsia="Courier New" w:hAnsi="Courier New"/>
          <w:sz w:val="14"/>
          <w:szCs w:val="14"/>
          <w:color w:val="auto"/>
        </w:rPr>
      </w:pPr>
    </w:p>
    <w:p>
      <w:pPr>
        <w:ind w:left="780" w:right="34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2,060,464 shares of Common Stock and 169,629 shares of Preferred Stock to which Silitek disclaims beneficial ownership and which are held in name by LPSC include (a) 1,945,800 shares of Common Stock transferred to LPSC from Silitek during the year ended December 31, 1991 in connection with a consolidation of the semiconductor rectifier activities of Silitek into its LPSC subsidiary; (b) 214,987 shares of Common Stock and 169,629 shares of Preferred Stock which are convertible into Common Stock on a one share for one share basis, acquired in May 1993 pursuant to a private placement transaction with the Company. Silitek purchased the 214,987 shares of Common Stock and the 169,629 shares of Preferred Stock for investment purposes for its own benefit. Silitek intends to continue to review its investment in the Common Stock with the view to maximizing its investment. Future actions by Silitek, if any, will be made in light of the then current financial conditions of Silitek, LPSC and the Company, prevailing market prices, and other factors deemed relevant by Silitek.</w:t>
      </w:r>
    </w:p>
    <w:p>
      <w:pPr>
        <w:spacing w:after="0" w:line="77" w:lineRule="exact"/>
        <w:rPr>
          <w:rFonts w:ascii="Courier New" w:cs="Courier New" w:eastAsia="Courier New" w:hAnsi="Courier New"/>
          <w:sz w:val="14"/>
          <w:szCs w:val="14"/>
          <w:color w:val="auto"/>
        </w:rPr>
      </w:pPr>
    </w:p>
    <w:p>
      <w:pPr>
        <w:ind w:left="780" w:right="341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66,666 shares of Common Stock which Mr. Soong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59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63,333 shares of Common Stock which Dr. Mao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59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30,000 shares of Common Stock which Mr. Rosenberg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779" w:hanging="772"/>
        <w:spacing w:after="0" w:line="292"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1,000 shares of Common Stock held in the name of PaineWebber Trust for the IRA of Mr. Giordano and 40,000 shares of Common Stock which Mr. Giordano has the right to acquire within 60 days of May 12, 1995 by the exercise of vested stock options.</w:t>
      </w:r>
    </w:p>
    <w:p>
      <w:pPr>
        <w:spacing w:after="0" w:line="56" w:lineRule="exact"/>
        <w:rPr>
          <w:rFonts w:ascii="Courier New" w:cs="Courier New" w:eastAsia="Courier New" w:hAnsi="Courier New"/>
          <w:sz w:val="14"/>
          <w:szCs w:val="14"/>
          <w:color w:val="auto"/>
        </w:rPr>
      </w:pPr>
    </w:p>
    <w:p>
      <w:pPr>
        <w:ind w:left="780" w:right="359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46,666 shares of Common Stock which Mr. Lin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41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55,000 shares of Common Stock which Mr. Liu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67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16,666 shares of Common Stock which Mr. Morillas has the right to acquire within 60 days of May 12, 1995 by the exercise of vested stock options.</w:t>
      </w:r>
    </w:p>
    <w:p>
      <w:pPr>
        <w:spacing w:after="0" w:line="42" w:lineRule="exact"/>
        <w:rPr>
          <w:rFonts w:ascii="Courier New" w:cs="Courier New" w:eastAsia="Courier New" w:hAnsi="Courier New"/>
          <w:sz w:val="14"/>
          <w:szCs w:val="14"/>
          <w:color w:val="auto"/>
        </w:rPr>
      </w:pPr>
    </w:p>
    <w:p>
      <w:pPr>
        <w:ind w:left="780" w:right="3779" w:hanging="772"/>
        <w:spacing w:after="0" w:line="313" w:lineRule="auto"/>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318,331 shares which the Directors and Officers have the right to acquire within 60 days of May 12, 1995 by the exercise of vested stock options.</w:t>
      </w:r>
    </w:p>
    <w:p>
      <w:pPr>
        <w:sectPr>
          <w:pgSz w:w="11900" w:h="16838" w:orient="portrait"/>
          <w:cols w:equalWidth="0" w:num="1">
            <w:col w:w="102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59"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 w:lineRule="exact"/>
        <w:rPr>
          <w:sz w:val="20"/>
          <w:szCs w:val="20"/>
          <w:color w:val="auto"/>
        </w:rPr>
      </w:pPr>
    </w:p>
    <w:p>
      <w:pPr>
        <w:ind w:right="100" w:firstLine="1464"/>
        <w:spacing w:after="0" w:line="279" w:lineRule="auto"/>
        <w:rPr>
          <w:sz w:val="20"/>
          <w:szCs w:val="20"/>
          <w:color w:val="auto"/>
        </w:rPr>
      </w:pPr>
      <w:r>
        <w:rPr>
          <w:rFonts w:ascii="Courier New" w:cs="Courier New" w:eastAsia="Courier New" w:hAnsi="Courier New"/>
          <w:sz w:val="14"/>
          <w:szCs w:val="14"/>
          <w:color w:val="auto"/>
        </w:rPr>
        <w:t>Other than as disclosed in the foregoing table, to the knowledge of the Company, no other person (other than Cede &amp; Co., a depository company) owns of record or beneficially more than 5 percent of the issued and outstanding Common Stock of the Company.</w:t>
      </w:r>
    </w:p>
    <w:p>
      <w:pPr>
        <w:spacing w:after="0" w:line="65" w:lineRule="exact"/>
        <w:rPr>
          <w:sz w:val="20"/>
          <w:szCs w:val="20"/>
          <w:color w:val="auto"/>
        </w:rPr>
      </w:pPr>
    </w:p>
    <w:p>
      <w:pPr>
        <w:ind w:right="180" w:firstLine="1464"/>
        <w:spacing w:after="0" w:line="292" w:lineRule="auto"/>
        <w:rPr>
          <w:sz w:val="20"/>
          <w:szCs w:val="20"/>
          <w:color w:val="auto"/>
        </w:rPr>
      </w:pPr>
      <w:r>
        <w:rPr>
          <w:rFonts w:ascii="Courier New" w:cs="Courier New" w:eastAsia="Courier New" w:hAnsi="Courier New"/>
          <w:sz w:val="14"/>
          <w:szCs w:val="14"/>
          <w:color w:val="auto"/>
        </w:rPr>
        <w:t>The following table sets forth the beneficial ownership of Preferred Stock as of May 12, 1995, by each person known to the Company to be the beneficial owner of more than five percent (5%) of the outstanding shares of the Class A, Convertible Preferred Stock:</w:t>
      </w:r>
    </w:p>
    <w:p>
      <w:pPr>
        <w:spacing w:after="0" w:line="388" w:lineRule="exact"/>
        <w:rPr>
          <w:sz w:val="20"/>
          <w:szCs w:val="20"/>
          <w:color w:val="auto"/>
        </w:rPr>
      </w:pPr>
    </w:p>
    <w:tbl>
      <w:tblPr>
        <w:tblLayout w:type="fixed"/>
        <w:tblInd w:w="18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AMOUNT AND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w:t>
            </w: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NATURE OF</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vMerge w:val="continue"/>
          </w:tcPr>
          <w:p>
            <w:pPr>
              <w:spacing w:after="0"/>
              <w:rPr>
                <w:sz w:val="14"/>
                <w:szCs w:val="14"/>
                <w:color w:val="auto"/>
              </w:rPr>
            </w:pP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BENEFICIAL</w:t>
            </w:r>
          </w:p>
        </w:tc>
        <w:tc>
          <w:tcPr>
            <w:tcW w:w="1840" w:type="dxa"/>
            <w:vAlign w:val="bottom"/>
            <w:vMerge w:val="restart"/>
          </w:tcPr>
          <w:p>
            <w:pPr>
              <w:ind w:left="560"/>
              <w:spacing w:after="0"/>
              <w:rPr>
                <w:sz w:val="20"/>
                <w:szCs w:val="20"/>
                <w:color w:val="auto"/>
              </w:rPr>
            </w:pPr>
            <w:r>
              <w:rPr>
                <w:rFonts w:ascii="Courier New" w:cs="Courier New" w:eastAsia="Courier New" w:hAnsi="Courier New"/>
                <w:sz w:val="14"/>
                <w:szCs w:val="14"/>
                <w:color w:val="auto"/>
              </w:rPr>
              <w:t>TITLE OF CLASS</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OF BENEFICIAL OWNER</w:t>
            </w: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OWNERSHIP</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2540" w:type="dxa"/>
            <w:vAlign w:val="bottom"/>
          </w:tcPr>
          <w:p>
            <w:pPr>
              <w:spacing w:after="0"/>
              <w:rPr>
                <w:sz w:val="20"/>
                <w:szCs w:val="20"/>
                <w:color w:val="auto"/>
              </w:rPr>
            </w:pPr>
            <w:r>
              <w:rPr>
                <w:rFonts w:ascii="Courier New" w:cs="Courier New" w:eastAsia="Courier New" w:hAnsi="Courier New"/>
                <w:sz w:val="14"/>
                <w:szCs w:val="14"/>
                <w:color w:val="auto"/>
              </w:rPr>
              <w:t>Silitek Corporation</w:t>
            </w:r>
          </w:p>
        </w:tc>
        <w:tc>
          <w:tcPr>
            <w:tcW w:w="2160" w:type="dxa"/>
            <w:vAlign w:val="bottom"/>
          </w:tcPr>
          <w:p>
            <w:pPr>
              <w:ind w:left="740"/>
              <w:spacing w:after="0"/>
              <w:rPr>
                <w:sz w:val="20"/>
                <w:szCs w:val="20"/>
                <w:color w:val="auto"/>
              </w:rPr>
            </w:pPr>
            <w:r>
              <w:rPr>
                <w:rFonts w:ascii="Courier New" w:cs="Courier New" w:eastAsia="Courier New" w:hAnsi="Courier New"/>
                <w:sz w:val="14"/>
                <w:szCs w:val="14"/>
                <w:color w:val="auto"/>
              </w:rPr>
              <w:t>169,629(1)</w:t>
            </w:r>
          </w:p>
        </w:tc>
        <w:tc>
          <w:tcPr>
            <w:tcW w:w="1840" w:type="dxa"/>
            <w:vAlign w:val="bottom"/>
          </w:tcPr>
          <w:p>
            <w:pPr>
              <w:ind w:left="820"/>
              <w:spacing w:after="0"/>
              <w:rPr>
                <w:sz w:val="20"/>
                <w:szCs w:val="20"/>
                <w:color w:val="auto"/>
              </w:rPr>
            </w:pPr>
            <w:r>
              <w:rPr>
                <w:rFonts w:ascii="Courier New" w:cs="Courier New" w:eastAsia="Courier New" w:hAnsi="Courier New"/>
                <w:sz w:val="14"/>
                <w:szCs w:val="14"/>
                <w:color w:val="auto"/>
              </w:rPr>
              <w:t>Class A,</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10 FL. NO. 25, Sec. 1</w:t>
            </w:r>
          </w:p>
        </w:tc>
        <w:tc>
          <w:tcPr>
            <w:tcW w:w="2160" w:type="dxa"/>
            <w:vAlign w:val="bottom"/>
          </w:tcPr>
          <w:p>
            <w:pPr>
              <w:spacing w:after="0"/>
              <w:rPr>
                <w:sz w:val="14"/>
                <w:szCs w:val="14"/>
                <w:color w:val="auto"/>
              </w:rPr>
            </w:pPr>
          </w:p>
        </w:tc>
        <w:tc>
          <w:tcPr>
            <w:tcW w:w="1840" w:type="dxa"/>
            <w:vAlign w:val="bottom"/>
          </w:tcPr>
          <w:p>
            <w:pPr>
              <w:ind w:left="720"/>
              <w:spacing w:after="0"/>
              <w:rPr>
                <w:sz w:val="20"/>
                <w:szCs w:val="20"/>
                <w:color w:val="auto"/>
              </w:rPr>
            </w:pPr>
            <w:r>
              <w:rPr>
                <w:rFonts w:ascii="Courier New" w:cs="Courier New" w:eastAsia="Courier New" w:hAnsi="Courier New"/>
                <w:sz w:val="14"/>
                <w:szCs w:val="14"/>
                <w:color w:val="auto"/>
              </w:rPr>
              <w:t>Convertible</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Tung Hua S. Road</w:t>
            </w:r>
          </w:p>
        </w:tc>
        <w:tc>
          <w:tcPr>
            <w:tcW w:w="2160" w:type="dxa"/>
            <w:vAlign w:val="bottom"/>
          </w:tcPr>
          <w:p>
            <w:pPr>
              <w:spacing w:after="0"/>
              <w:rPr>
                <w:sz w:val="14"/>
                <w:szCs w:val="14"/>
                <w:color w:val="auto"/>
              </w:rPr>
            </w:pPr>
          </w:p>
        </w:tc>
        <w:tc>
          <w:tcPr>
            <w:tcW w:w="1840" w:type="dxa"/>
            <w:vAlign w:val="bottom"/>
          </w:tcPr>
          <w:p>
            <w:pPr>
              <w:ind w:left="560"/>
              <w:spacing w:after="0"/>
              <w:rPr>
                <w:sz w:val="20"/>
                <w:szCs w:val="20"/>
                <w:color w:val="auto"/>
              </w:rPr>
            </w:pPr>
            <w:r>
              <w:rPr>
                <w:rFonts w:ascii="Courier New" w:cs="Courier New" w:eastAsia="Courier New" w:hAnsi="Courier New"/>
                <w:sz w:val="14"/>
                <w:szCs w:val="14"/>
                <w:color w:val="auto"/>
                <w:w w:val="99"/>
              </w:rPr>
              <w:t>Preferred Stock</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Taipei, Taiwan,</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Republic of China</w:t>
            </w:r>
          </w:p>
        </w:tc>
        <w:tc>
          <w:tcPr>
            <w:tcW w:w="2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780" w:right="100" w:hanging="772"/>
        <w:spacing w:after="0" w:line="282"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 Schedule 13(d) filed with the SEC on April 20, 1994, Silitek disclaims beneficial ownership of these 169,629 shares of Preferred Stock which are held in the name of LPSC, a controlled subsidiary of Silitek. The address of LPSC is 28-1 Wu-Shin Street, Ta Wu Lung Industrial Zone, Keelung, Taiwan, Republic of China.</w:t>
      </w:r>
    </w:p>
    <w:p>
      <w:pPr>
        <w:spacing w:after="0" w:line="22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PROPOSAL ONE - 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NOMINEES AND EXECUTIVE OFFICERS</w:t>
      </w:r>
    </w:p>
    <w:p>
      <w:pPr>
        <w:spacing w:after="0" w:line="173" w:lineRule="exact"/>
        <w:rPr>
          <w:sz w:val="20"/>
          <w:szCs w:val="20"/>
          <w:color w:val="auto"/>
        </w:rPr>
      </w:pPr>
    </w:p>
    <w:p>
      <w:pPr>
        <w:ind w:right="100" w:firstLine="1464"/>
        <w:spacing w:after="0" w:line="282" w:lineRule="auto"/>
        <w:rPr>
          <w:sz w:val="20"/>
          <w:szCs w:val="20"/>
          <w:color w:val="auto"/>
        </w:rPr>
      </w:pPr>
      <w:r>
        <w:rPr>
          <w:rFonts w:ascii="Courier New" w:cs="Courier New" w:eastAsia="Courier New" w:hAnsi="Courier New"/>
          <w:sz w:val="14"/>
          <w:szCs w:val="14"/>
          <w:color w:val="auto"/>
        </w:rPr>
        <w:t>The Company's Bylaws provide that the number of directors shall be determined from time to time by the Board of Directors but may not be less than five nor more than seventeen. The Board of Directors is currently composed of five members. The Bylaws further provide for the election of each director at each annual meeting of Stockholders.</w:t>
      </w:r>
    </w:p>
    <w:p>
      <w:pPr>
        <w:spacing w:after="0" w:line="62" w:lineRule="exact"/>
        <w:rPr>
          <w:sz w:val="20"/>
          <w:szCs w:val="20"/>
          <w:color w:val="auto"/>
        </w:rPr>
      </w:pPr>
    </w:p>
    <w:p>
      <w:pPr>
        <w:ind w:right="100" w:firstLine="1464"/>
        <w:spacing w:after="0" w:line="282" w:lineRule="auto"/>
        <w:rPr>
          <w:sz w:val="20"/>
          <w:szCs w:val="20"/>
          <w:color w:val="auto"/>
        </w:rPr>
      </w:pPr>
      <w:r>
        <w:rPr>
          <w:rFonts w:ascii="Courier New" w:cs="Courier New" w:eastAsia="Courier New" w:hAnsi="Courier New"/>
          <w:sz w:val="14"/>
          <w:szCs w:val="14"/>
          <w:color w:val="auto"/>
        </w:rPr>
        <w:t>By Written Consent of the Directors and pursuant to the provisions of Article II, Section 1, of the Bylaws of Diodes Incorporated entitled Qualifications and Number; Vacancies, the Board of Directors has authorized the addition of two (2) Board directors and has reset the number of members of the Board of Directors to seven.</w:t>
      </w:r>
    </w:p>
    <w:p>
      <w:pPr>
        <w:spacing w:after="0" w:line="62" w:lineRule="exact"/>
        <w:rPr>
          <w:sz w:val="20"/>
          <w:szCs w:val="20"/>
          <w:color w:val="auto"/>
        </w:rPr>
      </w:pPr>
    </w:p>
    <w:p>
      <w:pPr>
        <w:ind w:right="100" w:firstLine="1464"/>
        <w:spacing w:after="0" w:line="271" w:lineRule="auto"/>
        <w:rPr>
          <w:sz w:val="20"/>
          <w:szCs w:val="20"/>
          <w:color w:val="auto"/>
        </w:rPr>
      </w:pPr>
      <w:r>
        <w:rPr>
          <w:rFonts w:ascii="Courier New" w:cs="Courier New" w:eastAsia="Courier New" w:hAnsi="Courier New"/>
          <w:sz w:val="14"/>
          <w:szCs w:val="14"/>
          <w:color w:val="auto"/>
        </w:rPr>
        <w:t>All nominees have indicated their willingness to serve and unless otherwise instructed, Proxies will be voted in such a way as to affect, if possible, the election of all nominees. In the event that any of the nominees should be unable to serve as a director, it is intended that the Proxies will be voted for the election of such substitute nominees, if any, as shall be designated by the Board of Directors. Management has no reason to believe that any nominee will be unavailable.</w:t>
      </w:r>
    </w:p>
    <w:p>
      <w:pPr>
        <w:spacing w:after="0" w:line="72" w:lineRule="exact"/>
        <w:rPr>
          <w:sz w:val="20"/>
          <w:szCs w:val="20"/>
          <w:color w:val="auto"/>
        </w:rPr>
      </w:pPr>
    </w:p>
    <w:p>
      <w:pPr>
        <w:ind w:firstLine="1464"/>
        <w:spacing w:after="0" w:line="282" w:lineRule="auto"/>
        <w:rPr>
          <w:sz w:val="20"/>
          <w:szCs w:val="20"/>
          <w:color w:val="auto"/>
        </w:rPr>
      </w:pPr>
      <w:r>
        <w:rPr>
          <w:rFonts w:ascii="Courier New" w:cs="Courier New" w:eastAsia="Courier New" w:hAnsi="Courier New"/>
          <w:sz w:val="14"/>
          <w:szCs w:val="14"/>
          <w:color w:val="auto"/>
        </w:rPr>
        <w:t>None of the directors, nominees for director or executive officers were selected pursuant to any arrangement or understanding, other than with the directors and executive officers of the Company acting within their capacity as such. There are no family relationships among directors or executive officers of the Company as of the date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CLASS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2">
            <w:col w:w="6820" w:space="680"/>
            <w:col w:w="2739"/>
          </w:cols>
          <w:pgMar w:left="220" w:top="25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2420" w:firstLine="1464"/>
        <w:spacing w:after="0" w:line="313" w:lineRule="auto"/>
        <w:rPr>
          <w:sz w:val="20"/>
          <w:szCs w:val="20"/>
          <w:color w:val="auto"/>
        </w:rPr>
      </w:pPr>
      <w:r>
        <w:rPr>
          <w:rFonts w:ascii="Courier New" w:cs="Courier New" w:eastAsia="Courier New" w:hAnsi="Courier New"/>
          <w:sz w:val="14"/>
          <w:szCs w:val="14"/>
          <w:color w:val="auto"/>
        </w:rPr>
        <w:t>The following table sets forth certain biographical information of the nominees for director and the executive officers of the Company:</w:t>
      </w:r>
    </w:p>
    <w:p>
      <w:pPr>
        <w:spacing w:after="0" w:line="200" w:lineRule="exact"/>
        <w:rPr>
          <w:sz w:val="20"/>
          <w:szCs w:val="20"/>
          <w:color w:val="auto"/>
        </w:rPr>
      </w:pPr>
    </w:p>
    <w:p>
      <w:pPr>
        <w:spacing w:after="0" w:line="339"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OFFICERS AND DIRECTORS</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AGE</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POSITION WITH THE COMPANY</w:t>
            </w:r>
          </w:p>
        </w:tc>
      </w:tr>
      <w:tr>
        <w:trPr>
          <w:trHeight w:val="242"/>
        </w:trPr>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Raymond</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Soong (2) .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53</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Chairman of the Board</w:t>
            </w:r>
          </w:p>
        </w:tc>
      </w:tr>
      <w:tr>
        <w:trPr>
          <w:trHeight w:val="331"/>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Shing Mao (3) . . .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59</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A. Rosenberg (4)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66</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Michael</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R. Giordano (5)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47</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David Lin (6) . . .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48</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President and Chief Executive Officer, Director</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M.K. Lu</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(7)   . . .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46</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Director - Nominee</w:t>
            </w:r>
          </w:p>
        </w:tc>
      </w:tr>
      <w:tr>
        <w:trPr>
          <w:trHeight w:val="331"/>
        </w:trPr>
        <w:tc>
          <w:tcPr>
            <w:tcW w:w="680" w:type="dxa"/>
            <w:vAlign w:val="bottom"/>
          </w:tcPr>
          <w:p>
            <w:pPr>
              <w:spacing w:after="0"/>
              <w:rPr>
                <w:sz w:val="20"/>
                <w:szCs w:val="20"/>
                <w:color w:val="auto"/>
              </w:rPr>
            </w:pPr>
            <w:r>
              <w:rPr>
                <w:rFonts w:ascii="Courier New" w:cs="Courier New" w:eastAsia="Courier New" w:hAnsi="Courier New"/>
                <w:sz w:val="14"/>
                <w:szCs w:val="14"/>
                <w:color w:val="auto"/>
              </w:rPr>
              <w:t>Leonard</w:t>
            </w:r>
          </w:p>
        </w:tc>
        <w:tc>
          <w:tcPr>
            <w:tcW w:w="2460" w:type="dxa"/>
            <w:vAlign w:val="bottom"/>
          </w:tcPr>
          <w:p>
            <w:pPr>
              <w:spacing w:after="0"/>
              <w:rPr>
                <w:sz w:val="20"/>
                <w:szCs w:val="20"/>
                <w:color w:val="auto"/>
              </w:rPr>
            </w:pPr>
            <w:r>
              <w:rPr>
                <w:rFonts w:ascii="Courier New" w:cs="Courier New" w:eastAsia="Courier New" w:hAnsi="Courier New"/>
                <w:sz w:val="14"/>
                <w:szCs w:val="14"/>
                <w:color w:val="auto"/>
              </w:rPr>
              <w:t>M. Silverman (8)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55</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Director - Nominee</w:t>
            </w:r>
          </w:p>
        </w:tc>
      </w:tr>
      <w:tr>
        <w:trPr>
          <w:trHeight w:val="331"/>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Pedro Morillas (9)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49</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Executive Vice President</w:t>
            </w:r>
          </w:p>
        </w:tc>
      </w:tr>
      <w:tr>
        <w:trPr>
          <w:trHeight w:val="255"/>
        </w:trPr>
        <w:tc>
          <w:tcPr>
            <w:tcW w:w="3140" w:type="dxa"/>
            <w:vAlign w:val="bottom"/>
            <w:gridSpan w:val="2"/>
          </w:tcPr>
          <w:p>
            <w:pPr>
              <w:spacing w:after="0"/>
              <w:rPr>
                <w:sz w:val="20"/>
                <w:szCs w:val="20"/>
                <w:color w:val="auto"/>
              </w:rPr>
            </w:pPr>
            <w:r>
              <w:rPr>
                <w:rFonts w:ascii="Courier New" w:cs="Courier New" w:eastAsia="Courier New" w:hAnsi="Courier New"/>
                <w:sz w:val="14"/>
                <w:szCs w:val="14"/>
                <w:color w:val="auto"/>
              </w:rPr>
              <w:t>Joseph Liu (10) . . . . . . . . .</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53</w:t>
            </w: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Vice President-Operations, Chief Financial</w:t>
            </w:r>
          </w:p>
        </w:tc>
      </w:tr>
      <w:tr>
        <w:trPr>
          <w:trHeight w:val="242"/>
        </w:trPr>
        <w:tc>
          <w:tcPr>
            <w:tcW w:w="6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520" w:type="dxa"/>
            <w:vAlign w:val="bottom"/>
          </w:tcPr>
          <w:p>
            <w:pPr>
              <w:ind w:left="460"/>
              <w:spacing w:after="0"/>
              <w:rPr>
                <w:sz w:val="20"/>
                <w:szCs w:val="20"/>
                <w:color w:val="auto"/>
              </w:rPr>
            </w:pPr>
            <w:r>
              <w:rPr>
                <w:rFonts w:ascii="Courier New" w:cs="Courier New" w:eastAsia="Courier New" w:hAnsi="Courier New"/>
                <w:sz w:val="14"/>
                <w:szCs w:val="14"/>
                <w:color w:val="auto"/>
              </w:rPr>
              <w:t>Officer and Secretary</w:t>
            </w:r>
          </w:p>
        </w:tc>
      </w:tr>
    </w:tbl>
    <w:p>
      <w:pPr>
        <w:spacing w:after="0" w:line="200" w:lineRule="exact"/>
        <w:rPr>
          <w:sz w:val="20"/>
          <w:szCs w:val="20"/>
          <w:color w:val="auto"/>
        </w:rPr>
      </w:pPr>
    </w:p>
    <w:p>
      <w:pPr>
        <w:spacing w:after="0" w:line="221" w:lineRule="exact"/>
        <w:rPr>
          <w:sz w:val="20"/>
          <w:szCs w:val="20"/>
          <w:color w:val="auto"/>
        </w:rPr>
      </w:pPr>
    </w:p>
    <w:p>
      <w:pPr>
        <w:ind w:left="780" w:hanging="772"/>
        <w:spacing w:after="0"/>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are elected at each Annual Meeting of Shareholders.</w:t>
      </w:r>
    </w:p>
    <w:p>
      <w:pPr>
        <w:spacing w:after="0" w:line="172" w:lineRule="exact"/>
        <w:rPr>
          <w:rFonts w:ascii="Courier New" w:cs="Courier New" w:eastAsia="Courier New" w:hAnsi="Courier New"/>
          <w:sz w:val="14"/>
          <w:szCs w:val="14"/>
          <w:color w:val="auto"/>
        </w:rPr>
      </w:pPr>
    </w:p>
    <w:p>
      <w:pPr>
        <w:ind w:left="780" w:right="1980" w:hanging="772"/>
        <w:spacing w:after="0" w:line="260"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Raymond Soong has been the Chairman of the Board of Silitek since 1990 and has been Chairman of the Board of LPSC since 1992. See "Security Ownership of Certain Beneficial Owners and Management" and "Certain Relationships and Related Transactions" for a discussion of the relationship between Silitek, LPSC and the Company. Mr. Soong is a graduate of the National Taipei Institute of Technology's Electronic Engineering Department. After serving as a senior engineer for General Instruments and chief engineer for Texas Instruments, Mr. Soong, together with several of his coworkers, found Taiwan Liton Electronic Co. Ltd., a Taiwan corporation ("Taiwan Liton"), in 1973. Taiwan Liton, which manufactures electronic components and subsystems, is an affiliate of Silitek through common control, and its stock is listed on the Taipei Stock Exchange. Mr. Soong is also Chairman of the Board of Taiwan Liton.</w:t>
      </w:r>
    </w:p>
    <w:p>
      <w:pPr>
        <w:spacing w:after="0" w:line="79" w:lineRule="exact"/>
        <w:rPr>
          <w:rFonts w:ascii="Courier New" w:cs="Courier New" w:eastAsia="Courier New" w:hAnsi="Courier New"/>
          <w:sz w:val="14"/>
          <w:szCs w:val="14"/>
          <w:color w:val="auto"/>
        </w:rPr>
      </w:pPr>
    </w:p>
    <w:p>
      <w:pPr>
        <w:ind w:left="780" w:right="2080" w:hanging="772"/>
        <w:spacing w:after="0" w:line="266"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1988 to present, Dr. Shing Mao has been Chairman of the Board of Lite-On, Inc., a California corporation located in Milpitas, California, ("Lite-On Milpitas"), and wholly owned subsidiary of Taiwan Liton. Dr. Mao has also been a director of Dyna Investment Co., Ltd. of Taiwan, a venture capital company, and a director of LPSC, both since 1989. See "Security Ownership of Certain Beneficial Owners and Management" and "Certain Relationships and Related Transactions" for a discussion of the relationship between LPSC and the Company.</w:t>
      </w:r>
    </w:p>
    <w:p>
      <w:pPr>
        <w:spacing w:after="0" w:line="250" w:lineRule="exact"/>
        <w:rPr>
          <w:rFonts w:ascii="Courier New" w:cs="Courier New" w:eastAsia="Courier New" w:hAnsi="Courier New"/>
          <w:sz w:val="14"/>
          <w:szCs w:val="14"/>
          <w:color w:val="auto"/>
        </w:rPr>
      </w:pPr>
    </w:p>
    <w:p>
      <w:pPr>
        <w:ind w:left="780" w:right="1980" w:hanging="772"/>
        <w:spacing w:after="0" w:line="268"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1992 to present, Mr. Michael A. Rosenberg serves as an independent consultant to Vishay Company, a Fortune 500 Company. Vishay is a major international passive component manufacturer with 50 operating plants located in 11 countries. Until 1991, Mr. Rosenberg was President, Principal Operating Officer a director of SFE Technologies. Prior to that, he served since 1970 as Vice President Technology. SFE Technologies, with principal offices in San Fernando, California, was a manufacturer of electronic components.</w:t>
      </w:r>
    </w:p>
    <w:p>
      <w:pPr>
        <w:spacing w:after="0" w:line="73" w:lineRule="exact"/>
        <w:rPr>
          <w:rFonts w:ascii="Courier New" w:cs="Courier New" w:eastAsia="Courier New" w:hAnsi="Courier New"/>
          <w:sz w:val="14"/>
          <w:szCs w:val="14"/>
          <w:color w:val="auto"/>
        </w:rPr>
      </w:pPr>
    </w:p>
    <w:p>
      <w:pPr>
        <w:ind w:left="780" w:right="1980" w:hanging="772"/>
        <w:spacing w:after="0" w:line="263"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Michael R. Giordano recently joined the investment banking firm of PaineWebber Incorporated as a Senior Vice President-Investments, when PaineWebber acquired his previous firm, Kidder Peabody and Company, Inc. Mr. Giordano advises corporations, foundations, trusts, and municipal governments in investments and finance. Mr. Giordano was with Kidder Peabody since 1979. Formerly a captain and pilot in the USAF, Mr. Giordano received his Bachelors of Science degree in Aerospace Engineering from California State Polytechnic University and his Masters degree in Business Administration (Management and Finance) from the University of Utah. He also did post graduate work in International Investments at Babson College.</w:t>
      </w:r>
    </w:p>
    <w:p>
      <w:pPr>
        <w:spacing w:after="0" w:line="242" w:lineRule="exact"/>
        <w:rPr>
          <w:sz w:val="20"/>
          <w:szCs w:val="20"/>
          <w:color w:val="auto"/>
        </w:rPr>
      </w:pPr>
    </w:p>
    <w:p>
      <w:pPr>
        <w:jc w:val="right"/>
        <w:ind w:right="190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9"/>
        <w:spacing w:after="0" w:line="270" w:lineRule="auto"/>
        <w:rPr>
          <w:sz w:val="20"/>
          <w:szCs w:val="20"/>
          <w:color w:val="auto"/>
        </w:rPr>
      </w:pPr>
      <w:r>
        <w:rPr>
          <w:rFonts w:ascii="Courier New" w:cs="Courier New" w:eastAsia="Courier New" w:hAnsi="Courier New"/>
          <w:sz w:val="14"/>
          <w:szCs w:val="14"/>
          <w:color w:val="auto"/>
        </w:rPr>
        <w:t>DIRECTOR SINCE (1)</w:t>
      </w: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1993</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1990</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1989</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1990</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1991</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w:t>
      </w:r>
    </w:p>
    <w:p>
      <w:pPr>
        <w:spacing w:after="0" w:line="9144" w:lineRule="exact"/>
        <w:rPr>
          <w:sz w:val="20"/>
          <w:szCs w:val="20"/>
          <w:color w:val="auto"/>
        </w:rPr>
      </w:pPr>
    </w:p>
    <w:p>
      <w:pPr>
        <w:sectPr>
          <w:pgSz w:w="11900" w:h="16838" w:orient="portrait"/>
          <w:cols w:equalWidth="0" w:num="2">
            <w:col w:w="8800" w:space="600"/>
            <w:col w:w="8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59"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previous page)</w:t>
      </w:r>
    </w:p>
    <w:p>
      <w:pPr>
        <w:spacing w:after="0" w:line="173" w:lineRule="exact"/>
        <w:rPr>
          <w:sz w:val="20"/>
          <w:szCs w:val="20"/>
          <w:color w:val="auto"/>
        </w:rPr>
      </w:pPr>
    </w:p>
    <w:p>
      <w:pPr>
        <w:ind w:left="780" w:right="3419" w:hanging="772"/>
        <w:spacing w:after="0" w:line="264"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David Lin has served as President and Chief Executive Officer of the Company since 1993. Mr. Lin is also President of Silitek and had served as Executive Vice President of Silitek since 1990 prior to becoming President. See "Security Ownership of Certain Beneficial Owners and Management", "Compensation Committee Interlocks and Insider Participation" and "Certain Relationships and Related Transactions" for a discussion of the relationship between Silitek, LPSC and the Company. Mr. Lin was previously President of Texas Instruments Asia, Limited, in Taiwan from 1982 to 1990. Mr. Lin has been a director of LPSC since 1991 and a director of Maxi Switch, Inc., since 1990.</w:t>
      </w:r>
    </w:p>
    <w:p>
      <w:pPr>
        <w:spacing w:after="0" w:line="77" w:lineRule="exact"/>
        <w:rPr>
          <w:rFonts w:ascii="Courier New" w:cs="Courier New" w:eastAsia="Courier New" w:hAnsi="Courier New"/>
          <w:sz w:val="14"/>
          <w:szCs w:val="14"/>
          <w:color w:val="auto"/>
        </w:rPr>
      </w:pPr>
    </w:p>
    <w:p>
      <w:pPr>
        <w:ind w:left="780" w:right="3419" w:hanging="772"/>
        <w:spacing w:after="0" w:line="264"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1991 to present, Mr. M.K. Lu has been President and a director of LPSC. From 1983 to 1990, Mr. Lu was General Manager/Vice President of Silitek. See "Security Ownership of Certain Beneficial Owners and Management" and "Certain Relationships and Related Transactions" for a discussion of the relationship between Silitek, LPSC and the Company. Mr. Lu earned his Bachelor of E.E. at Tatung Institute of Technology and is a graduate of the Institute of Administration at National Chengchi University. He is also a present member of the Chinese Management Association and the Chinese Association for Advancement of Management.</w:t>
      </w:r>
    </w:p>
    <w:p>
      <w:pPr>
        <w:spacing w:after="0" w:line="77" w:lineRule="exact"/>
        <w:rPr>
          <w:rFonts w:ascii="Courier New" w:cs="Courier New" w:eastAsia="Courier New" w:hAnsi="Courier New"/>
          <w:sz w:val="14"/>
          <w:szCs w:val="14"/>
          <w:color w:val="auto"/>
        </w:rPr>
      </w:pPr>
    </w:p>
    <w:p>
      <w:pPr>
        <w:ind w:left="780" w:right="3419" w:hanging="772"/>
        <w:spacing w:after="0" w:line="260"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1984 to present, Dr. Leonard Silverman has been the Dean of Engineering at the University of Southern California. Dean Silverman is internationally known for his pioneering work in the theory and application of multivariable control systems and signal processing and has more than 100 publications to his credit. Dr. Silverman has been honored as a Fellow of the IEEE, as a Distinguished Member of the IEEE Control Society, and has received a Centennial Medal of the IEEE. He has also received election to the National Academy of Engineering, one of the highest honors that can be bestowed on an engineer. Dean Silverman also serves on the boards of directors for the Colachis Foundation, the Lord Foundation and the M.C. Gill Foundation as well as for Advanced Micro Devices. Dr. Silverman earned his A.B., B.S., M.S. and Ph.D. degrees in electrical engineering at Columbia University during the period 1961 through 1966.</w:t>
      </w:r>
    </w:p>
    <w:p>
      <w:pPr>
        <w:spacing w:after="0" w:line="79" w:lineRule="exact"/>
        <w:rPr>
          <w:rFonts w:ascii="Courier New" w:cs="Courier New" w:eastAsia="Courier New" w:hAnsi="Courier New"/>
          <w:sz w:val="14"/>
          <w:szCs w:val="14"/>
          <w:color w:val="auto"/>
        </w:rPr>
      </w:pPr>
    </w:p>
    <w:p>
      <w:pPr>
        <w:ind w:left="780" w:right="3599" w:hanging="772"/>
        <w:spacing w:after="0" w:line="292"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Pedro Morillas joined the Company in 1993. Prior to becoming Executive Vice President of the Company, Mr. Morillas was associated with National Semiconductor for over 10 years, most recently as Vice President, Asia Marketing, in Hong Kong for 4 years.</w:t>
      </w:r>
    </w:p>
    <w:p>
      <w:pPr>
        <w:spacing w:after="0" w:line="56" w:lineRule="exact"/>
        <w:rPr>
          <w:rFonts w:ascii="Courier New" w:cs="Courier New" w:eastAsia="Courier New" w:hAnsi="Courier New"/>
          <w:sz w:val="14"/>
          <w:szCs w:val="14"/>
          <w:color w:val="auto"/>
        </w:rPr>
      </w:pPr>
    </w:p>
    <w:p>
      <w:pPr>
        <w:ind w:left="780" w:right="3519" w:hanging="772"/>
        <w:spacing w:after="0" w:line="262"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Joseph Liu has been the Company's Vice President, Administration from 1990 to 1994. Mr. Liu has also served as Vice President, Operations of the Company since 1994 and Chief Financial Officer and Secretary since 1990. Prior to joining the Company, Mr. Liu held various management positions with Texas Instruments ("TI"), Dallas, since 1971, including Planning Manager, Financial Planning Manager, Treasury Manager, Cost Accounting Manager and General Accounting Manager with TI Taiwan, Ltd. in Taipei; from 1981-1986 as Controller with TI Asia in Singapore and Hong Kong; from 1986-1989 as Financial Planning Manager, TI Latin America Division (for TI Argentina, TI Brazil, and TI Mexico) in Dallas and from 1989-1990 Chief Coordinator of Strategic Business Systems for TI Asia Pacific Division in Dallas.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COMMITTEES</w:t>
      </w:r>
    </w:p>
    <w:p>
      <w:pPr>
        <w:spacing w:after="0" w:line="173" w:lineRule="exact"/>
        <w:rPr>
          <w:sz w:val="20"/>
          <w:szCs w:val="20"/>
          <w:color w:val="auto"/>
        </w:rPr>
      </w:pPr>
    </w:p>
    <w:p>
      <w:pPr>
        <w:ind w:right="3679" w:firstLine="1464"/>
        <w:spacing w:after="0" w:line="313" w:lineRule="auto"/>
        <w:rPr>
          <w:sz w:val="20"/>
          <w:szCs w:val="20"/>
          <w:color w:val="auto"/>
        </w:rPr>
      </w:pPr>
      <w:r>
        <w:rPr>
          <w:rFonts w:ascii="Courier New" w:cs="Courier New" w:eastAsia="Courier New" w:hAnsi="Courier New"/>
          <w:sz w:val="14"/>
          <w:szCs w:val="14"/>
          <w:color w:val="auto"/>
        </w:rPr>
        <w:t>The Board of Directors has various standing committees, including an Audit Committee, and a Compensation and Options Committee. The Board of Directors does not have a standing Nominating Committee.</w:t>
      </w:r>
    </w:p>
    <w:p>
      <w:pPr>
        <w:spacing w:after="0" w:line="42" w:lineRule="exact"/>
        <w:rPr>
          <w:sz w:val="20"/>
          <w:szCs w:val="20"/>
          <w:color w:val="auto"/>
        </w:rPr>
      </w:pPr>
    </w:p>
    <w:p>
      <w:pPr>
        <w:ind w:right="3419" w:firstLine="1464"/>
        <w:spacing w:after="0" w:line="264" w:lineRule="auto"/>
        <w:rPr>
          <w:sz w:val="20"/>
          <w:szCs w:val="20"/>
          <w:color w:val="auto"/>
        </w:rPr>
      </w:pPr>
      <w:r>
        <w:rPr>
          <w:rFonts w:ascii="Courier New" w:cs="Courier New" w:eastAsia="Courier New" w:hAnsi="Courier New"/>
          <w:sz w:val="14"/>
          <w:szCs w:val="14"/>
          <w:color w:val="auto"/>
        </w:rPr>
        <w:t>The members of the Audit Committee are Dr. Shing Mao, Michael Giordano and Michael Rosenberg. The Audit Committee met twice during fiscal year 1994. The Audit Committee makes recommendations to the Board regarding the engagement of the Company's independent auditors, reviews the plan, scope and results of the audit, reviews with management the Company's policies and procedures with respect to internal accounting and financial controls and reviews changes in accounting policy and the scope of the non-audit services which may be performed by the Company's independent auditors. The Audit Committee also monitors policies to prohibit unethical, questionable or illegal activities by the Company's employees.</w:t>
      </w:r>
    </w:p>
    <w:p>
      <w:pPr>
        <w:spacing w:after="0" w:line="77" w:lineRule="exact"/>
        <w:rPr>
          <w:sz w:val="20"/>
          <w:szCs w:val="20"/>
          <w:color w:val="auto"/>
        </w:rPr>
      </w:pPr>
    </w:p>
    <w:p>
      <w:pPr>
        <w:ind w:right="3599" w:firstLine="1464"/>
        <w:spacing w:after="0" w:line="282" w:lineRule="auto"/>
        <w:rPr>
          <w:sz w:val="20"/>
          <w:szCs w:val="20"/>
          <w:color w:val="auto"/>
        </w:rPr>
      </w:pPr>
      <w:r>
        <w:rPr>
          <w:rFonts w:ascii="Courier New" w:cs="Courier New" w:eastAsia="Courier New" w:hAnsi="Courier New"/>
          <w:sz w:val="14"/>
          <w:szCs w:val="14"/>
          <w:color w:val="auto"/>
        </w:rPr>
        <w:t>The Compensation and Options Committee, presently consisting of Directors Michael A. Rosenberg and Michael R. Giordano, makes recommendations to the Board regarding compensation, benefits and incentive arrangements for officers and other key managerial employees of the Company including awards under the Company's Incentive Bonus</w:t>
      </w:r>
    </w:p>
    <w:p>
      <w:pPr>
        <w:sectPr>
          <w:pgSz w:w="11900" w:h="16838" w:orient="portrait"/>
          <w:cols w:equalWidth="0" w:num="1">
            <w:col w:w="102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59"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679"/>
        <w:spacing w:after="0" w:line="292" w:lineRule="auto"/>
        <w:rPr>
          <w:sz w:val="20"/>
          <w:szCs w:val="20"/>
          <w:color w:val="auto"/>
        </w:rPr>
      </w:pPr>
      <w:r>
        <w:rPr>
          <w:rFonts w:ascii="Courier New" w:cs="Courier New" w:eastAsia="Courier New" w:hAnsi="Courier New"/>
          <w:sz w:val="14"/>
          <w:szCs w:val="14"/>
          <w:color w:val="auto"/>
        </w:rPr>
        <w:t>Plan. The Compensation and Options Committee also administers the Company's 1993 Incentive Stock Option Plan ("1993 ISO Plan"), the Company's 1993 Non-Qualified Stock Option Plan ("1993 NQO Plan"), and the Company's 1984 Non-Qualified Stock Option Plan ("1984 NQO Plan").</w:t>
      </w:r>
    </w:p>
    <w:p>
      <w:pPr>
        <w:spacing w:after="0" w:line="56" w:lineRule="exact"/>
        <w:rPr>
          <w:sz w:val="20"/>
          <w:szCs w:val="20"/>
          <w:color w:val="auto"/>
        </w:rPr>
      </w:pPr>
    </w:p>
    <w:p>
      <w:pPr>
        <w:ind w:right="3419" w:firstLine="1464"/>
        <w:spacing w:after="0" w:line="268" w:lineRule="auto"/>
        <w:rPr>
          <w:sz w:val="20"/>
          <w:szCs w:val="20"/>
          <w:color w:val="auto"/>
        </w:rPr>
      </w:pPr>
      <w:r>
        <w:rPr>
          <w:rFonts w:ascii="Courier New" w:cs="Courier New" w:eastAsia="Courier New" w:hAnsi="Courier New"/>
          <w:sz w:val="14"/>
          <w:szCs w:val="14"/>
          <w:color w:val="auto"/>
        </w:rPr>
        <w:t>The 1993 ISO Plan provides for the issuance of up to 1,000,000 shares of the Company's authorized but unissued Common Stock. Options granted under the 1993 ISO Plan are not transferable, except by will or the laws of descent or distribution. An unexercised option is normally exercisable for 90 days after termination of employment, other than by death or retirement. In the event of death, unmatured options are accelerated to maturity. An option granted under the 1993 ISO Plan may not be priced at less than 100% of fair market value on the date of grant and expires 10 years from the date of grant.</w:t>
      </w:r>
    </w:p>
    <w:p>
      <w:pPr>
        <w:spacing w:after="0" w:line="74" w:lineRule="exact"/>
        <w:rPr>
          <w:sz w:val="20"/>
          <w:szCs w:val="20"/>
          <w:color w:val="auto"/>
        </w:rPr>
      </w:pPr>
    </w:p>
    <w:p>
      <w:pPr>
        <w:ind w:right="3419" w:firstLine="1464"/>
        <w:spacing w:after="0" w:line="257" w:lineRule="auto"/>
        <w:rPr>
          <w:sz w:val="20"/>
          <w:szCs w:val="20"/>
          <w:color w:val="auto"/>
        </w:rPr>
      </w:pPr>
      <w:r>
        <w:rPr>
          <w:rFonts w:ascii="Courier New" w:cs="Courier New" w:eastAsia="Courier New" w:hAnsi="Courier New"/>
          <w:sz w:val="14"/>
          <w:szCs w:val="14"/>
          <w:color w:val="auto"/>
        </w:rPr>
        <w:t>The 1993 NQO Plan became effective retroactively to July 6, 1993, upon approval by the shareholders at the Company's 1994 annual meeting. The 1993 NQO Plan provides for the issuance of up to 1,000,000 shares of the Company's authorized but unissued Common Stock. Options may be exercised by the optionee during his or her lifetime or after his or her death by those who have inherited by will or intestacy. An unexercised option is normally exercisable for 90 days after termination of employment, other than by death or retirement. In the event of death, unmatured options are accelerated to maturity. The Stock Option Committee, which administers the 1993 NQO Plan, has full discretion to determine whether or not options granted under the 1993 NQO Plan shall have a right to relinquish up to one-half of an unexercised position of an option for an amount of cash, if concurrently, the holder of the option exercises a portion of the option and purchases a number of shares of stock at least equal to the number of shares which could have been purchased under the portion of the option relinquished ("SAR"). However, the Board has expressly stated that it has not and does not intend to grant such SAR. The shares to be issued upon exercise of options under the 1993 NQO Plan require a three-year vesting period. The option price is 100% of the fair market value of such shares on the date the option is granted. Options expire ten years from the grant of the option.</w:t>
      </w:r>
    </w:p>
    <w:p>
      <w:pPr>
        <w:spacing w:after="0" w:line="252" w:lineRule="exact"/>
        <w:rPr>
          <w:sz w:val="20"/>
          <w:szCs w:val="20"/>
          <w:color w:val="auto"/>
        </w:rPr>
      </w:pPr>
    </w:p>
    <w:p>
      <w:pPr>
        <w:ind w:right="3519" w:firstLine="1464"/>
        <w:spacing w:after="0" w:line="268" w:lineRule="auto"/>
        <w:rPr>
          <w:sz w:val="20"/>
          <w:szCs w:val="20"/>
          <w:color w:val="auto"/>
        </w:rPr>
      </w:pPr>
      <w:r>
        <w:rPr>
          <w:rFonts w:ascii="Courier New" w:cs="Courier New" w:eastAsia="Courier New" w:hAnsi="Courier New"/>
          <w:sz w:val="14"/>
          <w:szCs w:val="14"/>
          <w:color w:val="auto"/>
        </w:rPr>
        <w:t>The 1984 NQO Plan provides for the issuance of up to 300,000 shares of the Company's authorized but unissued Common Stock. Options granted under the 1984 NQO Plan are not transferable, except by will or the laws of descent or distribution. An unexercised option is normally exercisable for 90 days after termination of employment, other than by death or retirement. In the event of death, unmatured options are accelerated to maturity. An option granted under the 1984 NQO Plan may not be priced at less than 100% of fair market value on the date of grant and expires 10 years from the date of grant.</w:t>
      </w:r>
    </w:p>
    <w:p>
      <w:pPr>
        <w:spacing w:after="0" w:line="74" w:lineRule="exact"/>
        <w:rPr>
          <w:sz w:val="20"/>
          <w:szCs w:val="20"/>
          <w:color w:val="auto"/>
        </w:rPr>
      </w:pPr>
    </w:p>
    <w:p>
      <w:pPr>
        <w:ind w:right="3419" w:firstLine="1464"/>
        <w:spacing w:after="0" w:line="277" w:lineRule="auto"/>
        <w:rPr>
          <w:sz w:val="20"/>
          <w:szCs w:val="20"/>
          <w:color w:val="auto"/>
        </w:rPr>
      </w:pPr>
      <w:r>
        <w:rPr>
          <w:rFonts w:ascii="Courier New" w:cs="Courier New" w:eastAsia="Courier New" w:hAnsi="Courier New"/>
          <w:sz w:val="14"/>
          <w:szCs w:val="14"/>
          <w:color w:val="auto"/>
        </w:rPr>
        <w:t>The Board of Directors met three times during fiscal year 1994. The Compensation and Options Committee met twice during fiscal year 1994. All of the persons who were directors of the Company during fiscal year 1994 attended at least 75% of (1) the total number of Board meetings and (2) the total number of meetings held by all committees on which they served during fiscal year 1994.</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419" w:firstLine="1464"/>
        <w:spacing w:after="0" w:line="275" w:lineRule="auto"/>
        <w:rPr>
          <w:sz w:val="20"/>
          <w:szCs w:val="20"/>
          <w:color w:val="auto"/>
        </w:rPr>
      </w:pPr>
      <w:r>
        <w:rPr>
          <w:rFonts w:ascii="Courier New" w:cs="Courier New" w:eastAsia="Courier New" w:hAnsi="Courier New"/>
          <w:sz w:val="14"/>
          <w:szCs w:val="14"/>
          <w:color w:val="auto"/>
        </w:rPr>
        <w:t>Directors who are employees of the Company are not paid fees for services provided as a director. Non-employee directors each receive $750 for each board meeting attended during the year ended December 31, 1994. No additional amounts are paid to non-employee directors for committee participation or special assignments. Both employee and non-employee directors are eligible to receive grants of stock options.</w:t>
      </w:r>
    </w:p>
    <w:p>
      <w:pPr>
        <w:spacing w:after="0" w:line="6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BOARD OF DIRECTORS RECOMMENDS A VOTE "FOR"</w:t>
      </w:r>
    </w:p>
    <w:p>
      <w:pPr>
        <w:spacing w:after="0" w:line="3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ELECTION OF THE BOARD OF DIRECTORS' NOMINEES.</w:t>
      </w:r>
    </w:p>
    <w:p>
      <w:pPr>
        <w:spacing w:after="0" w:line="31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3" w:lineRule="exact"/>
        <w:rPr>
          <w:sz w:val="20"/>
          <w:szCs w:val="20"/>
          <w:color w:val="auto"/>
        </w:rPr>
      </w:pPr>
    </w:p>
    <w:p>
      <w:pPr>
        <w:ind w:right="3419" w:firstLine="1464"/>
        <w:spacing w:after="0" w:line="256" w:lineRule="auto"/>
        <w:rPr>
          <w:sz w:val="20"/>
          <w:szCs w:val="20"/>
          <w:color w:val="auto"/>
        </w:rPr>
      </w:pPr>
      <w:r>
        <w:rPr>
          <w:rFonts w:ascii="Courier New" w:cs="Courier New" w:eastAsia="Courier New" w:hAnsi="Courier New"/>
          <w:sz w:val="14"/>
          <w:szCs w:val="14"/>
          <w:color w:val="auto"/>
        </w:rPr>
        <w:t>Under Section 16(a) of the Securities Exchange Act of 1934, the Company's directors, executive officers and any persons holding ten percent or more of the Common Stock are required to report their ownership of Company stock and any changes in that ownership to the Securities and Exchange Commission (the "SEC") and to furnish the Company with copies of such reports. Specific due dates for these reports have been established and the Company is required to report any failure to file on a timely basis by such persons.</w:t>
      </w:r>
    </w:p>
    <w:p>
      <w:pPr>
        <w:spacing w:after="0" w:line="1" w:lineRule="exact"/>
        <w:rPr>
          <w:sz w:val="20"/>
          <w:szCs w:val="20"/>
          <w:color w:val="auto"/>
        </w:rPr>
      </w:pPr>
    </w:p>
    <w:p>
      <w:pPr>
        <w:jc w:val="both"/>
        <w:ind w:right="3599"/>
        <w:spacing w:after="0" w:line="293" w:lineRule="auto"/>
        <w:rPr>
          <w:sz w:val="20"/>
          <w:szCs w:val="20"/>
          <w:color w:val="auto"/>
        </w:rPr>
      </w:pPr>
      <w:r>
        <w:rPr>
          <w:rFonts w:ascii="Courier New" w:cs="Courier New" w:eastAsia="Courier New" w:hAnsi="Courier New"/>
          <w:sz w:val="14"/>
          <w:szCs w:val="14"/>
          <w:color w:val="auto"/>
        </w:rPr>
        <w:t>Based solely upon a review of copies of reports filed with the SEC during the fiscal year ended December 31, 1994, all reporting persons filed reports on a timely basis, with the</w:t>
      </w:r>
    </w:p>
    <w:p>
      <w:pPr>
        <w:sectPr>
          <w:pgSz w:w="11900" w:h="16838" w:orient="portrait"/>
          <w:cols w:equalWidth="0" w:num="1">
            <w:col w:w="102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59"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5320"/>
        <w:spacing w:after="0" w:line="375" w:lineRule="auto"/>
        <w:rPr>
          <w:sz w:val="20"/>
          <w:szCs w:val="20"/>
          <w:color w:val="auto"/>
        </w:rPr>
      </w:pPr>
      <w:r>
        <w:rPr>
          <w:rFonts w:ascii="Courier New" w:cs="Courier New" w:eastAsia="Courier New" w:hAnsi="Courier New"/>
          <w:sz w:val="14"/>
          <w:szCs w:val="14"/>
          <w:color w:val="auto"/>
        </w:rPr>
        <w:t>exception of Silitek, who filed one late Form 4 report relating to three transactions which were all reportable on Form 4 reports.</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COMPENSATION AND RELATED INFORMATION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3" w:lineRule="exact"/>
        <w:rPr>
          <w:sz w:val="20"/>
          <w:szCs w:val="20"/>
          <w:color w:val="auto"/>
        </w:rPr>
      </w:pPr>
    </w:p>
    <w:p>
      <w:pPr>
        <w:ind w:right="4820" w:firstLine="1464"/>
        <w:spacing w:after="0" w:line="271" w:lineRule="auto"/>
        <w:rPr>
          <w:sz w:val="20"/>
          <w:szCs w:val="20"/>
          <w:color w:val="auto"/>
        </w:rPr>
      </w:pPr>
      <w:r>
        <w:rPr>
          <w:rFonts w:ascii="Courier New" w:cs="Courier New" w:eastAsia="Courier New" w:hAnsi="Courier New"/>
          <w:sz w:val="14"/>
          <w:szCs w:val="14"/>
          <w:color w:val="auto"/>
        </w:rPr>
        <w:t>The following table sets forth certain summary information concerning compensation paid or accrued by the Company with respect to the Company's Chief Executive Officer (who has served in such capacity at any time during the last fiscal year) and each of the two other executive officers of the Company (determined as of the end of the last fiscal year) (the "Named Executives") for each of the fiscal years ended December 31, 1994, 1993 and 1992: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SUMMARY COMPENSATION TABLE</w:t>
            </w: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0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Long Term Compensation</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60" w:type="dxa"/>
            <w:vAlign w:val="bottom"/>
            <w:gridSpan w:val="3"/>
            <w:vMerge w:val="restart"/>
          </w:tcPr>
          <w:p>
            <w:pPr>
              <w:jc w:val="right"/>
              <w:ind w:right="1308"/>
              <w:spacing w:after="0"/>
              <w:rPr>
                <w:sz w:val="20"/>
                <w:szCs w:val="20"/>
                <w:color w:val="auto"/>
              </w:rPr>
            </w:pPr>
            <w:r>
              <w:rPr>
                <w:rFonts w:ascii="Courier New" w:cs="Courier New" w:eastAsia="Courier New" w:hAnsi="Courier New"/>
                <w:sz w:val="14"/>
                <w:szCs w:val="14"/>
                <w:color w:val="auto"/>
              </w:rPr>
              <w:t>Annual Compensation</w:t>
            </w:r>
          </w:p>
        </w:tc>
        <w:tc>
          <w:tcPr>
            <w:tcW w:w="37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60" w:type="dxa"/>
            <w:vAlign w:val="bottom"/>
            <w:gridSpan w:val="3"/>
            <w:vMerge w:val="continue"/>
          </w:tcPr>
          <w:p>
            <w:pPr>
              <w:spacing w:after="0"/>
              <w:rPr>
                <w:sz w:val="14"/>
                <w:szCs w:val="14"/>
                <w:color w:val="auto"/>
              </w:rPr>
            </w:pPr>
          </w:p>
        </w:tc>
        <w:tc>
          <w:tcPr>
            <w:tcW w:w="13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Awards</w:t>
            </w:r>
          </w:p>
        </w:tc>
        <w:tc>
          <w:tcPr>
            <w:tcW w:w="112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Payouts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4"/>
              </w:rPr>
              <w:t>------------------------------------------</w:t>
            </w:r>
          </w:p>
        </w:tc>
        <w:tc>
          <w:tcPr>
            <w:tcW w:w="160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Name and</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vMerge w:val="restart"/>
          </w:tcPr>
          <w:p>
            <w:pPr>
              <w:ind w:left="480"/>
              <w:spacing w:after="0"/>
              <w:rPr>
                <w:sz w:val="20"/>
                <w:szCs w:val="20"/>
                <w:color w:val="auto"/>
              </w:rPr>
            </w:pPr>
            <w:r>
              <w:rPr>
                <w:rFonts w:ascii="Courier New" w:cs="Courier New" w:eastAsia="Courier New" w:hAnsi="Courier New"/>
                <w:sz w:val="14"/>
                <w:szCs w:val="14"/>
                <w:color w:val="auto"/>
              </w:rPr>
              <w:t>Other</w:t>
            </w:r>
          </w:p>
        </w:tc>
        <w:tc>
          <w:tcPr>
            <w:tcW w:w="1380" w:type="dxa"/>
            <w:vAlign w:val="bottom"/>
            <w:vMerge w:val="restart"/>
          </w:tcPr>
          <w:p>
            <w:pPr>
              <w:jc w:val="center"/>
              <w:ind w:right="128"/>
              <w:spacing w:after="0"/>
              <w:rPr>
                <w:sz w:val="20"/>
                <w:szCs w:val="20"/>
                <w:color w:val="auto"/>
              </w:rPr>
            </w:pPr>
            <w:r>
              <w:rPr>
                <w:rFonts w:ascii="Courier New" w:cs="Courier New" w:eastAsia="Courier New" w:hAnsi="Courier New"/>
                <w:sz w:val="14"/>
                <w:szCs w:val="14"/>
                <w:color w:val="auto"/>
              </w:rPr>
              <w:t>Restricted</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spacing w:after="0"/>
              <w:rPr>
                <w:sz w:val="14"/>
                <w:szCs w:val="14"/>
                <w:color w:val="auto"/>
              </w:rPr>
            </w:pPr>
          </w:p>
        </w:tc>
        <w:tc>
          <w:tcPr>
            <w:tcW w:w="1540" w:type="dxa"/>
            <w:vAlign w:val="bottom"/>
            <w:vMerge w:val="restart"/>
          </w:tcPr>
          <w:p>
            <w:pPr>
              <w:jc w:val="right"/>
              <w:ind w:right="688"/>
              <w:spacing w:after="0"/>
              <w:rPr>
                <w:sz w:val="20"/>
                <w:szCs w:val="20"/>
                <w:color w:val="auto"/>
              </w:rPr>
            </w:pPr>
            <w:r>
              <w:rPr>
                <w:rFonts w:ascii="Courier New" w:cs="Courier New" w:eastAsia="Courier New" w:hAnsi="Courier New"/>
                <w:sz w:val="14"/>
                <w:szCs w:val="14"/>
                <w:color w:val="auto"/>
              </w:rPr>
              <w:t>All</w:t>
            </w:r>
          </w:p>
        </w:tc>
        <w:tc>
          <w:tcPr>
            <w:tcW w:w="0" w:type="dxa"/>
            <w:vAlign w:val="bottom"/>
          </w:tcPr>
          <w:p>
            <w:pPr>
              <w:spacing w:after="0"/>
              <w:rPr>
                <w:sz w:val="1"/>
                <w:szCs w:val="1"/>
                <w:color w:val="auto"/>
              </w:rPr>
            </w:pPr>
          </w:p>
        </w:tc>
      </w:tr>
      <w:tr>
        <w:trPr>
          <w:trHeight w:val="166"/>
        </w:trPr>
        <w:tc>
          <w:tcPr>
            <w:tcW w:w="14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Underlying</w:t>
            </w:r>
          </w:p>
        </w:tc>
        <w:tc>
          <w:tcPr>
            <w:tcW w:w="1200" w:type="dxa"/>
            <w:vAlign w:val="bottom"/>
            <w:vMerge w:val="restart"/>
          </w:tcPr>
          <w:p>
            <w:pPr>
              <w:jc w:val="center"/>
              <w:ind w:right="108"/>
              <w:spacing w:after="0"/>
              <w:rPr>
                <w:sz w:val="20"/>
                <w:szCs w:val="20"/>
                <w:color w:val="auto"/>
              </w:rPr>
            </w:pPr>
            <w:r>
              <w:rPr>
                <w:rFonts w:ascii="Courier New" w:cs="Courier New" w:eastAsia="Courier New" w:hAnsi="Courier New"/>
                <w:sz w:val="14"/>
                <w:szCs w:val="14"/>
                <w:color w:val="auto"/>
              </w:rPr>
              <w:t>LTIP</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Principal</w:t>
            </w:r>
          </w:p>
        </w:tc>
        <w:tc>
          <w:tcPr>
            <w:tcW w:w="760" w:type="dxa"/>
            <w:vAlign w:val="bottom"/>
            <w:vMerge w:val="restart"/>
          </w:tcPr>
          <w:p>
            <w:pPr>
              <w:ind w:left="160"/>
              <w:spacing w:after="0"/>
              <w:rPr>
                <w:sz w:val="20"/>
                <w:szCs w:val="20"/>
                <w:color w:val="auto"/>
              </w:rPr>
            </w:pPr>
            <w:r>
              <w:rPr>
                <w:rFonts w:ascii="Courier New" w:cs="Courier New" w:eastAsia="Courier New" w:hAnsi="Courier New"/>
                <w:sz w:val="14"/>
                <w:szCs w:val="14"/>
                <w:color w:val="auto"/>
              </w:rPr>
              <w:t>Year</w:t>
            </w:r>
          </w:p>
        </w:tc>
        <w:tc>
          <w:tcPr>
            <w:tcW w:w="14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Salary($)</w:t>
            </w:r>
          </w:p>
        </w:tc>
        <w:tc>
          <w:tcPr>
            <w:tcW w:w="9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w w:val="98"/>
              </w:rPr>
              <w:t>Bonus($)</w:t>
            </w: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Annual</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Options/</w:t>
            </w:r>
          </w:p>
        </w:tc>
        <w:tc>
          <w:tcPr>
            <w:tcW w:w="1200" w:type="dxa"/>
            <w:vAlign w:val="bottom"/>
            <w:vMerge w:val="continue"/>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Other</w:t>
            </w:r>
          </w:p>
        </w:tc>
        <w:tc>
          <w:tcPr>
            <w:tcW w:w="0" w:type="dxa"/>
            <w:vAlign w:val="bottom"/>
          </w:tcPr>
          <w:p>
            <w:pPr>
              <w:spacing w:after="0"/>
              <w:rPr>
                <w:sz w:val="1"/>
                <w:szCs w:val="1"/>
                <w:color w:val="auto"/>
              </w:rPr>
            </w:pPr>
          </w:p>
        </w:tc>
      </w:tr>
      <w:tr>
        <w:trPr>
          <w:trHeight w:val="166"/>
        </w:trPr>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Position</w:t>
            </w:r>
          </w:p>
        </w:tc>
        <w:tc>
          <w:tcPr>
            <w:tcW w:w="76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Award($)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SARs(#)</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Payouts($)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4"/>
                <w:szCs w:val="14"/>
                <w:color w:val="auto"/>
              </w:rPr>
              <w:t>DAVID LIN</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   (1)</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70,000(2)</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Chief Executive</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1992</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1480" w:type="dxa"/>
            <w:vAlign w:val="bottom"/>
          </w:tcPr>
          <w:p>
            <w:pPr>
              <w:spacing w:after="0"/>
              <w:rPr>
                <w:sz w:val="20"/>
                <w:szCs w:val="20"/>
                <w:color w:val="auto"/>
              </w:rPr>
            </w:pPr>
            <w:r>
              <w:rPr>
                <w:rFonts w:ascii="Courier New" w:cs="Courier New" w:eastAsia="Courier New" w:hAnsi="Courier New"/>
                <w:sz w:val="14"/>
                <w:szCs w:val="14"/>
                <w:color w:val="auto"/>
              </w:rPr>
              <w:t>PEDRO MORILLAS</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125,169</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71,504</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4,728(4)</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96,062(3)</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14,836</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13,051(4)</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50,000(5)</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1992</w:t>
            </w:r>
          </w:p>
        </w:tc>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1480" w:type="dxa"/>
            <w:vAlign w:val="bottom"/>
          </w:tcPr>
          <w:p>
            <w:pPr>
              <w:spacing w:after="0"/>
              <w:rPr>
                <w:sz w:val="20"/>
                <w:szCs w:val="20"/>
                <w:color w:val="auto"/>
              </w:rPr>
            </w:pPr>
            <w:r>
              <w:rPr>
                <w:rFonts w:ascii="Courier New" w:cs="Courier New" w:eastAsia="Courier New" w:hAnsi="Courier New"/>
                <w:sz w:val="14"/>
                <w:szCs w:val="14"/>
                <w:color w:val="auto"/>
              </w:rPr>
              <w:t>JOSEPH LIU</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115,560</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45,300</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3,528(6)</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40,000(7)</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115,776</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13,094</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20,000(8)</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1992</w:t>
            </w:r>
          </w:p>
        </w:tc>
        <w:tc>
          <w:tcPr>
            <w:tcW w:w="148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120,584</w:t>
            </w: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Chief Financial</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Officer and</w:t>
            </w: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Secretary</w:t>
            </w:r>
          </w:p>
        </w:tc>
        <w:tc>
          <w:tcPr>
            <w:tcW w:w="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780" w:right="4820" w:hanging="772"/>
        <w:spacing w:after="0" w:line="268"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Lin receives no direct cash compensation from the Company, other than issuance of the Company's stock options. However, Mr. Lin receives cash compensation directly from Silitek for his services as President of Silitek, which, through its subsidiary LPSC, supplies a significant volume of the semiconductors products distributed by the Company. As disclosed elsewhere in this Proxy Statement, Silitek is also the beneficial owner of 2,060,464 shares of Company Common Stock and 169,629 shares of voting, convertible Preferred Stock.</w:t>
      </w:r>
    </w:p>
    <w:p>
      <w:pPr>
        <w:spacing w:after="0" w:line="73" w:lineRule="exact"/>
        <w:rPr>
          <w:rFonts w:ascii="Courier New" w:cs="Courier New" w:eastAsia="Courier New" w:hAnsi="Courier New"/>
          <w:sz w:val="14"/>
          <w:szCs w:val="14"/>
          <w:color w:val="auto"/>
        </w:rPr>
      </w:pPr>
    </w:p>
    <w:p>
      <w:pPr>
        <w:ind w:left="780" w:right="4820" w:hanging="772"/>
        <w:spacing w:after="0" w:line="375"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pursuant to the Company's 1993 NQO Plan at an exercise price of $1.875.</w:t>
      </w:r>
    </w:p>
    <w:p>
      <w:pPr>
        <w:spacing w:after="0" w:line="1" w:lineRule="exact"/>
        <w:rPr>
          <w:rFonts w:ascii="Courier New" w:cs="Courier New" w:eastAsia="Courier New" w:hAnsi="Courier New"/>
          <w:sz w:val="14"/>
          <w:szCs w:val="14"/>
          <w:color w:val="auto"/>
        </w:rPr>
      </w:pPr>
    </w:p>
    <w:p>
      <w:pPr>
        <w:ind w:left="780" w:right="5160" w:hanging="772"/>
        <w:spacing w:after="0" w:line="376"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compensation was paid from the date of commencement of Mr. Morillas' employment on March 16, 1993 through December 31, 1993.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540"/>
          </w:cols>
          <w:pgMar w:left="220" w:top="259" w:right="139"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previous page)</w:t>
      </w:r>
    </w:p>
    <w:p>
      <w:pPr>
        <w:spacing w:after="0" w:line="173" w:lineRule="exact"/>
        <w:rPr>
          <w:sz w:val="20"/>
          <w:szCs w:val="20"/>
          <w:color w:val="auto"/>
        </w:rPr>
      </w:pPr>
    </w:p>
    <w:p>
      <w:pPr>
        <w:ind w:left="780" w:right="3519" w:hanging="772"/>
        <w:spacing w:after="0" w:line="258"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Morillas receives the benefit of a Company-owned automobile and a life insurance premium; the aggregate value is less than 10% of his total annual salary. Effective September 1, 1994, the Company implemented a Deferred Profit Sharing Plan ("401(k) Plan") whereby employees shall be permitted to make elective deferrals in any amount from 2% to 15% of their compensation. The Company contributes an additional and discretionary 50% of the employee's contribution, not to exceed 3% of the employee's compensation. Under the Company's 401(k) Plan, the employee then directs funds into selected investments. Mr. Morillas participates in the 401(k) Plan and the Company's discretionary contribution is 3% of his compensation from September 1, 1994. In addition, Mr. Morillas receives the benefit of the Company's group health insurance plan, which is partially funded by the Company and is not included in this total; the value of such benefit is less than 10% of his salary. Mr. Morillas also received a one time moving expense of $12,400 in connection with his and his family's move to the Los Angeles area, in the 1993 amount.</w:t>
      </w:r>
    </w:p>
    <w:p>
      <w:pPr>
        <w:spacing w:after="0" w:line="83" w:lineRule="exact"/>
        <w:rPr>
          <w:rFonts w:ascii="Courier New" w:cs="Courier New" w:eastAsia="Courier New" w:hAnsi="Courier New"/>
          <w:sz w:val="14"/>
          <w:szCs w:val="14"/>
          <w:color w:val="auto"/>
        </w:rPr>
      </w:pPr>
    </w:p>
    <w:p>
      <w:pPr>
        <w:ind w:left="780" w:right="3599" w:hanging="772"/>
        <w:spacing w:after="0" w:line="313"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Morillas' options were issued pursuant to the Company's 1993 ISO Plan at an exercise price of $1.875 and are exercisable annually in three equal amounts over a three year vesting period.</w:t>
      </w:r>
    </w:p>
    <w:p>
      <w:pPr>
        <w:spacing w:after="0" w:line="42" w:lineRule="exact"/>
        <w:rPr>
          <w:rFonts w:ascii="Courier New" w:cs="Courier New" w:eastAsia="Courier New" w:hAnsi="Courier New"/>
          <w:sz w:val="14"/>
          <w:szCs w:val="14"/>
          <w:color w:val="auto"/>
        </w:rPr>
      </w:pPr>
    </w:p>
    <w:p>
      <w:pPr>
        <w:ind w:left="780" w:right="3419" w:hanging="772"/>
        <w:spacing w:after="0" w:line="268"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Liu receives the benefit of a Company-owned automobile and a life insurance premium; the aggregate value is less than 10% of his total annual salary. Mr. Liu participates in the Company's 401(k) Plan and the Company's contribution is 3% of his compensation from September 1, 1994. In addition, Mr. Liu receives the benefit of the Company's group health insurance plan, which is partially funded by the Company, the value of which is less than 10% of his salary and is not included in this total.</w:t>
      </w:r>
    </w:p>
    <w:p>
      <w:pPr>
        <w:spacing w:after="0" w:line="73" w:lineRule="exact"/>
        <w:rPr>
          <w:rFonts w:ascii="Courier New" w:cs="Courier New" w:eastAsia="Courier New" w:hAnsi="Courier New"/>
          <w:sz w:val="14"/>
          <w:szCs w:val="14"/>
          <w:color w:val="auto"/>
        </w:rPr>
      </w:pPr>
    </w:p>
    <w:p>
      <w:pPr>
        <w:ind w:left="780" w:right="3679" w:hanging="772"/>
        <w:spacing w:after="0" w:line="292"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Liu's options granted in 1994 were issued pursuant to the Company's 1993 ISO Plan at an exercise price of $7.875 and become exercisable with respect to 50% of the options on June 17, 1995 and the remaining 50% of the options on June 17, 1996.</w:t>
      </w:r>
    </w:p>
    <w:p>
      <w:pPr>
        <w:spacing w:after="0" w:line="56" w:lineRule="exact"/>
        <w:rPr>
          <w:rFonts w:ascii="Courier New" w:cs="Courier New" w:eastAsia="Courier New" w:hAnsi="Courier New"/>
          <w:sz w:val="14"/>
          <w:szCs w:val="14"/>
          <w:color w:val="auto"/>
        </w:rPr>
      </w:pPr>
    </w:p>
    <w:p>
      <w:pPr>
        <w:ind w:left="780" w:right="3419" w:hanging="772"/>
        <w:spacing w:after="0" w:line="292"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granted to Mr. Liu in 1993 were issued pursuant to the Company's 1993 ISO Plan at an exercise price of $1.875. All 20,000 stock options were immediately exercisable upon their grant on July 6, 1993.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5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620" w:firstLine="1464"/>
        <w:spacing w:after="0" w:line="313" w:lineRule="auto"/>
        <w:rPr>
          <w:sz w:val="20"/>
          <w:szCs w:val="20"/>
          <w:color w:val="auto"/>
        </w:rPr>
      </w:pPr>
      <w:r>
        <w:rPr>
          <w:rFonts w:ascii="Courier New" w:cs="Courier New" w:eastAsia="Courier New" w:hAnsi="Courier New"/>
          <w:sz w:val="14"/>
          <w:szCs w:val="14"/>
          <w:color w:val="auto"/>
        </w:rPr>
        <w:t>The following table contains information concerning the grant of stock options during fiscal year ended December 31, 1994 to the Named Executives:</w:t>
      </w:r>
    </w:p>
    <w:p>
      <w:pPr>
        <w:spacing w:after="0" w:line="42"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OPTION/SAR GRANTS IN FISCAL YEAR 1994</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Potential Realizable</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Value at Assumed</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Annual Rates of</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Stock Price</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Individual Grants</w:t>
            </w: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Appreciation</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for Option Term (1)</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Courier New" w:cs="Courier New" w:eastAsia="Courier New" w:hAnsi="Courier New"/>
                <w:sz w:val="4"/>
                <w:szCs w:val="4"/>
                <w:color w:val="auto"/>
                <w:w w:val="86"/>
              </w:rPr>
              <w:t>- -----------------------------------------------------------------------------------------</w:t>
            </w:r>
          </w:p>
        </w:tc>
        <w:tc>
          <w:tcPr>
            <w:tcW w:w="134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800" w:type="dxa"/>
            <w:vAlign w:val="bottom"/>
            <w:vMerge w:val="restart"/>
          </w:tcPr>
          <w:p>
            <w:pPr>
              <w:jc w:val="right"/>
              <w:ind w:right="488"/>
              <w:spacing w:after="0"/>
              <w:rPr>
                <w:sz w:val="20"/>
                <w:szCs w:val="20"/>
                <w:color w:val="auto"/>
              </w:rPr>
            </w:pPr>
            <w:r>
              <w:rPr>
                <w:rFonts w:ascii="Courier New" w:cs="Courier New" w:eastAsia="Courier New" w:hAnsi="Courier New"/>
                <w:sz w:val="14"/>
                <w:szCs w:val="14"/>
                <w:color w:val="auto"/>
              </w:rPr>
              <w:t>Percent</w:t>
            </w:r>
          </w:p>
        </w:tc>
        <w:tc>
          <w:tcPr>
            <w:tcW w:w="1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of Total</w:t>
            </w: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Underlying</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Options/SARs</w:t>
            </w:r>
          </w:p>
        </w:tc>
        <w:tc>
          <w:tcPr>
            <w:tcW w:w="1560" w:type="dxa"/>
            <w:vAlign w:val="bottom"/>
            <w:vMerge w:val="restart"/>
          </w:tcPr>
          <w:p>
            <w:pPr>
              <w:jc w:val="center"/>
              <w:ind w:right="88"/>
              <w:spacing w:after="0"/>
              <w:rPr>
                <w:sz w:val="20"/>
                <w:szCs w:val="20"/>
                <w:color w:val="auto"/>
              </w:rPr>
            </w:pPr>
            <w:r>
              <w:rPr>
                <w:rFonts w:ascii="Courier New" w:cs="Courier New" w:eastAsia="Courier New" w:hAnsi="Courier New"/>
                <w:sz w:val="14"/>
                <w:szCs w:val="14"/>
                <w:color w:val="auto"/>
              </w:rPr>
              <w:t>Exercise or</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Options/SARs</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Granted to</w:t>
            </w:r>
          </w:p>
        </w:tc>
        <w:tc>
          <w:tcPr>
            <w:tcW w:w="1560" w:type="dxa"/>
            <w:vAlign w:val="bottom"/>
            <w:vMerge w:val="continue"/>
          </w:tcPr>
          <w:p>
            <w:pPr>
              <w:spacing w:after="0"/>
              <w:rPr>
                <w:sz w:val="14"/>
                <w:szCs w:val="14"/>
                <w:color w:val="auto"/>
              </w:rPr>
            </w:pPr>
          </w:p>
        </w:tc>
        <w:tc>
          <w:tcPr>
            <w:tcW w:w="1500" w:type="dxa"/>
            <w:vAlign w:val="bottom"/>
            <w:vMerge w:val="restart"/>
          </w:tcPr>
          <w:p>
            <w:pPr>
              <w:jc w:val="center"/>
              <w:ind w:right="128"/>
              <w:spacing w:after="0"/>
              <w:rPr>
                <w:sz w:val="20"/>
                <w:szCs w:val="20"/>
                <w:color w:val="auto"/>
              </w:rPr>
            </w:pPr>
            <w:r>
              <w:rPr>
                <w:rFonts w:ascii="Courier New" w:cs="Courier New" w:eastAsia="Courier New" w:hAnsi="Courier New"/>
                <w:sz w:val="14"/>
                <w:szCs w:val="14"/>
                <w:color w:val="auto"/>
              </w:rPr>
              <w:t>Expiration</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Employees</w:t>
            </w:r>
          </w:p>
        </w:tc>
        <w:tc>
          <w:tcPr>
            <w:tcW w:w="15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Base Price</w:t>
            </w:r>
          </w:p>
        </w:tc>
        <w:tc>
          <w:tcPr>
            <w:tcW w:w="1500" w:type="dxa"/>
            <w:vAlign w:val="bottom"/>
            <w:vMerge w:val="continue"/>
          </w:tcPr>
          <w:p>
            <w:pPr>
              <w:spacing w:after="0"/>
              <w:rPr>
                <w:sz w:val="14"/>
                <w:szCs w:val="14"/>
                <w:color w:val="auto"/>
              </w:rPr>
            </w:pPr>
          </w:p>
        </w:tc>
        <w:tc>
          <w:tcPr>
            <w:tcW w:w="12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5% ($)</w:t>
            </w:r>
          </w:p>
        </w:tc>
        <w:tc>
          <w:tcPr>
            <w:tcW w:w="98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rPr>
              <w:t>10% ($)</w:t>
            </w:r>
          </w:p>
        </w:tc>
        <w:tc>
          <w:tcPr>
            <w:tcW w:w="0" w:type="dxa"/>
            <w:vAlign w:val="bottom"/>
          </w:tcPr>
          <w:p>
            <w:pPr>
              <w:spacing w:after="0"/>
              <w:rPr>
                <w:sz w:val="1"/>
                <w:szCs w:val="1"/>
                <w:color w:val="auto"/>
              </w:rPr>
            </w:pPr>
          </w:p>
        </w:tc>
      </w:tr>
      <w:tr>
        <w:trPr>
          <w:trHeight w:val="166"/>
        </w:trPr>
        <w:tc>
          <w:tcPr>
            <w:tcW w:w="1900" w:type="dxa"/>
            <w:vAlign w:val="bottom"/>
            <w:vMerge w:val="continue"/>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in FY 1994</w:t>
            </w:r>
          </w:p>
        </w:tc>
        <w:tc>
          <w:tcPr>
            <w:tcW w:w="15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w:t>
            </w:r>
          </w:p>
        </w:tc>
        <w:tc>
          <w:tcPr>
            <w:tcW w:w="1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Date</w:t>
            </w:r>
          </w:p>
        </w:tc>
        <w:tc>
          <w:tcPr>
            <w:tcW w:w="12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DAVID LIN</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PEDRO MORILLAS</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56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Courier New" w:cs="Courier New" w:eastAsia="Courier New" w:hAnsi="Courier New"/>
                <w:sz w:val="14"/>
                <w:szCs w:val="14"/>
                <w:color w:val="auto"/>
              </w:rPr>
              <w:t>JOSEPH LIU</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40,000(2)</w:t>
            </w:r>
          </w:p>
        </w:tc>
        <w:tc>
          <w:tcPr>
            <w:tcW w:w="1800" w:type="dxa"/>
            <w:vAlign w:val="bottom"/>
          </w:tcPr>
          <w:p>
            <w:pPr>
              <w:jc w:val="center"/>
              <w:spacing w:after="0"/>
              <w:rPr>
                <w:sz w:val="20"/>
                <w:szCs w:val="20"/>
                <w:color w:val="auto"/>
              </w:rPr>
            </w:pPr>
            <w:r>
              <w:rPr>
                <w:rFonts w:ascii="Courier New" w:cs="Courier New" w:eastAsia="Courier New" w:hAnsi="Courier New"/>
                <w:sz w:val="14"/>
                <w:szCs w:val="14"/>
                <w:color w:val="auto"/>
              </w:rPr>
              <w:t>61.5</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7.875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6/17/2004</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198,102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502,029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780" w:right="3520" w:hanging="772"/>
        <w:spacing w:after="0" w:line="262"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is the product of (a) the difference between (i) the product of the closing sale price per share at the date of grant and the sum of (A) 1 plus (B) the assumed rate of appreciation of the Common Stock compounded annually over the term of the option and (ii) the per share exercise price of the option and (b) the number of shares of Common Stock underlying the option at December 31, 1994. These amounts represent certain assumed rates of appreciation only. Actual gains, if any, on stock option exercises are dependent upon a variety of factors, including market conditions and the price performance of the Common Stock. There can be no assurance that the rate of appreciation presented in this table can be achieved.</w:t>
      </w:r>
    </w:p>
    <w:p>
      <w:pPr>
        <w:spacing w:after="0" w:line="248" w:lineRule="exact"/>
        <w:rPr>
          <w:rFonts w:ascii="Courier New" w:cs="Courier New" w:eastAsia="Courier New" w:hAnsi="Courier New"/>
          <w:sz w:val="14"/>
          <w:szCs w:val="14"/>
          <w:color w:val="auto"/>
        </w:rPr>
      </w:pPr>
    </w:p>
    <w:p>
      <w:pPr>
        <w:ind w:left="780" w:right="3520" w:hanging="772"/>
        <w:spacing w:after="0" w:line="313"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Liu's options were granted pursuant to the Company's 1993 ISO Plan and become exercisable with respect to 50% of the options on June 17, 1995 and the remaining 50% of the options on June 17, 1996.</w:t>
      </w:r>
    </w:p>
    <w:p>
      <w:pPr>
        <w:spacing w:after="0" w:line="4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 EXERCISES AND HOLDINGS</w:t>
      </w:r>
    </w:p>
    <w:p>
      <w:pPr>
        <w:spacing w:after="0" w:line="173" w:lineRule="exact"/>
        <w:rPr>
          <w:sz w:val="20"/>
          <w:szCs w:val="20"/>
          <w:color w:val="auto"/>
        </w:rPr>
      </w:pPr>
    </w:p>
    <w:p>
      <w:pPr>
        <w:ind w:right="3520" w:firstLine="1464"/>
        <w:spacing w:after="0" w:line="292" w:lineRule="auto"/>
        <w:rPr>
          <w:sz w:val="20"/>
          <w:szCs w:val="20"/>
          <w:color w:val="auto"/>
        </w:rPr>
      </w:pPr>
      <w:r>
        <w:rPr>
          <w:rFonts w:ascii="Courier New" w:cs="Courier New" w:eastAsia="Courier New" w:hAnsi="Courier New"/>
          <w:sz w:val="14"/>
          <w:szCs w:val="14"/>
          <w:color w:val="auto"/>
        </w:rPr>
        <w:t>The following table contains information with respect to the Named Executives concerning the exercise of options during the fiscal year ended December 31, 1994 and unexercised options held by the Named Executives as of December 31, 1994:</w:t>
      </w:r>
    </w:p>
    <w:p>
      <w:pPr>
        <w:spacing w:after="0" w:line="56"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AGGREGATED OPTION EXERCISES IN FISCAL YEAR 1994</w:t>
      </w:r>
    </w:p>
    <w:p>
      <w:pPr>
        <w:spacing w:after="0" w:line="3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tcPr>
          <w:p>
            <w:pPr>
              <w:spacing w:after="0"/>
              <w:rPr>
                <w:sz w:val="14"/>
                <w:szCs w:val="14"/>
                <w:color w:val="auto"/>
              </w:rPr>
            </w:pP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112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Value</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0" w:type="dxa"/>
            <w:vAlign w:val="bottom"/>
            <w:gridSpan w:val="2"/>
            <w:vMerge w:val="restart"/>
          </w:tcPr>
          <w:p>
            <w:pPr>
              <w:jc w:val="right"/>
              <w:ind w:right="348"/>
              <w:spacing w:after="0"/>
              <w:rPr>
                <w:sz w:val="20"/>
                <w:szCs w:val="20"/>
                <w:color w:val="auto"/>
              </w:rPr>
            </w:pPr>
            <w:r>
              <w:rPr>
                <w:rFonts w:ascii="Courier New" w:cs="Courier New" w:eastAsia="Courier New" w:hAnsi="Courier New"/>
                <w:sz w:val="14"/>
                <w:szCs w:val="14"/>
                <w:color w:val="auto"/>
              </w:rPr>
              <w:t>Value of Unexercised</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Acquired</w:t>
            </w:r>
          </w:p>
        </w:tc>
        <w:tc>
          <w:tcPr>
            <w:tcW w:w="1120" w:type="dxa"/>
            <w:vAlign w:val="bottom"/>
            <w:vMerge w:val="continue"/>
          </w:tcPr>
          <w:p>
            <w:pPr>
              <w:spacing w:after="0"/>
              <w:rPr>
                <w:sz w:val="14"/>
                <w:szCs w:val="14"/>
                <w:color w:val="auto"/>
              </w:rPr>
            </w:pPr>
          </w:p>
        </w:tc>
        <w:tc>
          <w:tcPr>
            <w:tcW w:w="3060" w:type="dxa"/>
            <w:vAlign w:val="bottom"/>
            <w:gridSpan w:val="2"/>
            <w:vMerge w:val="restart"/>
          </w:tcPr>
          <w:p>
            <w:pPr>
              <w:jc w:val="right"/>
              <w:ind w:right="568"/>
              <w:spacing w:after="0"/>
              <w:rPr>
                <w:sz w:val="20"/>
                <w:szCs w:val="20"/>
                <w:color w:val="auto"/>
              </w:rPr>
            </w:pPr>
            <w:r>
              <w:rPr>
                <w:rFonts w:ascii="Courier New" w:cs="Courier New" w:eastAsia="Courier New" w:hAnsi="Courier New"/>
                <w:sz w:val="14"/>
                <w:szCs w:val="14"/>
                <w:color w:val="auto"/>
              </w:rPr>
              <w:t>Number of Unexercised</w:t>
            </w:r>
          </w:p>
        </w:tc>
        <w:tc>
          <w:tcPr>
            <w:tcW w:w="2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4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on Exercise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Realized</w:t>
            </w:r>
          </w:p>
        </w:tc>
        <w:tc>
          <w:tcPr>
            <w:tcW w:w="3060" w:type="dxa"/>
            <w:vAlign w:val="bottom"/>
            <w:gridSpan w:val="2"/>
            <w:vMerge w:val="continue"/>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"In-the-Money" Options/SAR at</w:t>
            </w:r>
          </w:p>
        </w:tc>
        <w:tc>
          <w:tcPr>
            <w:tcW w:w="0" w:type="dxa"/>
            <w:vAlign w:val="bottom"/>
          </w:tcPr>
          <w:p>
            <w:pPr>
              <w:spacing w:after="0"/>
              <w:rPr>
                <w:sz w:val="1"/>
                <w:szCs w:val="1"/>
                <w:color w:val="auto"/>
              </w:rPr>
            </w:pPr>
          </w:p>
        </w:tc>
      </w:tr>
      <w:tr>
        <w:trPr>
          <w:trHeight w:val="166"/>
        </w:trPr>
        <w:tc>
          <w:tcPr>
            <w:tcW w:w="1640" w:type="dxa"/>
            <w:vAlign w:val="bottom"/>
            <w:vMerge w:val="continue"/>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Options/SARs at 12/31/94(#)</w:t>
            </w:r>
          </w:p>
        </w:tc>
        <w:tc>
          <w:tcPr>
            <w:tcW w:w="280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12/31/94($)(1)</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Exercisable</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Unexercisable</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2"/>
        </w:trPr>
        <w:tc>
          <w:tcPr>
            <w:tcW w:w="16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1640" w:type="dxa"/>
            <w:vAlign w:val="bottom"/>
          </w:tcPr>
          <w:p>
            <w:pPr>
              <w:spacing w:after="0"/>
              <w:rPr>
                <w:sz w:val="20"/>
                <w:szCs w:val="20"/>
                <w:color w:val="auto"/>
              </w:rPr>
            </w:pPr>
            <w:r>
              <w:rPr>
                <w:rFonts w:ascii="Courier New" w:cs="Courier New" w:eastAsia="Courier New" w:hAnsi="Courier New"/>
                <w:sz w:val="14"/>
                <w:szCs w:val="14"/>
                <w:color w:val="auto"/>
              </w:rPr>
              <w:t>DAVID LIN</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68"/>
              <w:spacing w:after="0"/>
              <w:rPr>
                <w:sz w:val="20"/>
                <w:szCs w:val="20"/>
                <w:color w:val="auto"/>
              </w:rPr>
            </w:pPr>
            <w:r>
              <w:rPr>
                <w:rFonts w:ascii="Courier New" w:cs="Courier New" w:eastAsia="Courier New" w:hAnsi="Courier New"/>
                <w:sz w:val="14"/>
                <w:szCs w:val="14"/>
                <w:color w:val="auto"/>
                <w:w w:val="94"/>
              </w:rPr>
              <w:t>--</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23,333</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46,667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72,915</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145,834</w:t>
            </w:r>
          </w:p>
        </w:tc>
        <w:tc>
          <w:tcPr>
            <w:tcW w:w="0" w:type="dxa"/>
            <w:vAlign w:val="bottom"/>
          </w:tcPr>
          <w:p>
            <w:pPr>
              <w:spacing w:after="0"/>
              <w:rPr>
                <w:sz w:val="1"/>
                <w:szCs w:val="1"/>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PEDRO MORILLAS</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16,667</w:t>
            </w:r>
          </w:p>
        </w:tc>
        <w:tc>
          <w:tcPr>
            <w:tcW w:w="11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80,245</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33,333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104,165</w:t>
            </w:r>
          </w:p>
        </w:tc>
        <w:tc>
          <w:tcPr>
            <w:tcW w:w="0" w:type="dxa"/>
            <w:vAlign w:val="bottom"/>
          </w:tcPr>
          <w:p>
            <w:pPr>
              <w:spacing w:after="0"/>
              <w:rPr>
                <w:sz w:val="1"/>
                <w:szCs w:val="1"/>
                <w:color w:val="auto"/>
              </w:rPr>
            </w:pPr>
          </w:p>
        </w:tc>
      </w:tr>
      <w:tr>
        <w:trPr>
          <w:trHeight w:val="242"/>
        </w:trPr>
        <w:tc>
          <w:tcPr>
            <w:tcW w:w="1640" w:type="dxa"/>
            <w:vAlign w:val="bottom"/>
          </w:tcPr>
          <w:p>
            <w:pPr>
              <w:spacing w:after="0"/>
              <w:rPr>
                <w:sz w:val="20"/>
                <w:szCs w:val="20"/>
                <w:color w:val="auto"/>
              </w:rPr>
            </w:pPr>
            <w:r>
              <w:rPr>
                <w:rFonts w:ascii="Courier New" w:cs="Courier New" w:eastAsia="Courier New" w:hAnsi="Courier New"/>
                <w:sz w:val="14"/>
                <w:szCs w:val="14"/>
                <w:color w:val="auto"/>
              </w:rPr>
              <w:t>JOSEPH LIU</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10,000</w:t>
            </w:r>
          </w:p>
        </w:tc>
        <w:tc>
          <w:tcPr>
            <w:tcW w:w="11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72,393</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35,000</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40,000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115,000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780" w:right="3620" w:hanging="772"/>
        <w:spacing w:after="0" w:line="292" w:lineRule="auto"/>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is the difference between the market price of the Common Stock on December 31, 1994 ($5.00 per share) and the exercise price of the option, multiplied by the number of shares subject to the option.</w:t>
      </w:r>
    </w:p>
    <w:p>
      <w:pPr>
        <w:sectPr>
          <w:pgSz w:w="11900" w:h="16838" w:orient="portrait"/>
          <w:cols w:equalWidth="0" w:num="1">
            <w:col w:w="10340"/>
          </w:cols>
          <w:pgMar w:left="220" w:top="25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340"/>
          </w:cols>
          <w:pgMar w:left="220" w:top="259" w:right="133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4019"/>
        <w:spacing w:after="0" w:line="375" w:lineRule="auto"/>
        <w:rPr>
          <w:sz w:val="20"/>
          <w:szCs w:val="20"/>
          <w:color w:val="auto"/>
        </w:rPr>
      </w:pPr>
      <w:r>
        <w:rPr>
          <w:rFonts w:ascii="Courier New" w:cs="Courier New" w:eastAsia="Courier New" w:hAnsi="Courier New"/>
          <w:sz w:val="14"/>
          <w:szCs w:val="14"/>
          <w:color w:val="auto"/>
        </w:rPr>
        <w:t>EMPLOYMENT CONTRACTS AND TERMINATION OF EMPLOYMENT AND CHANGE IN CONTROL ARRANGEMENTS</w:t>
      </w:r>
    </w:p>
    <w:p>
      <w:pPr>
        <w:spacing w:after="0" w:line="1" w:lineRule="exact"/>
        <w:rPr>
          <w:sz w:val="20"/>
          <w:szCs w:val="20"/>
          <w:color w:val="auto"/>
        </w:rPr>
      </w:pPr>
    </w:p>
    <w:p>
      <w:pPr>
        <w:ind w:right="3519" w:firstLine="1464"/>
        <w:spacing w:after="0" w:line="262" w:lineRule="auto"/>
        <w:rPr>
          <w:sz w:val="20"/>
          <w:szCs w:val="20"/>
          <w:color w:val="auto"/>
        </w:rPr>
      </w:pPr>
      <w:r>
        <w:rPr>
          <w:rFonts w:ascii="Courier New" w:cs="Courier New" w:eastAsia="Courier New" w:hAnsi="Courier New"/>
          <w:sz w:val="14"/>
          <w:szCs w:val="14"/>
          <w:color w:val="auto"/>
        </w:rPr>
        <w:t>Effective March 16, 1993, the Company entered into an employment agreement with Pedro Morillas, the Company's Executive Vice President, for an indefinite term period, subject to termination upon not less than three months' written notice from either the Company or Mr. Morillas. Under such employment agreement, Mr. Morillas is entitled to, among other things, (i) receive an annual base salary and performance bonus subject to the determination and evaluation of the Company's Compensation Committee on a yearly basis, (ii) participate in all plans sponsored by the Company for employees in general, (iii) usage of a Company car, and (iv) receive an option to purchase from the Company up to 50,000 shares of the Company's Common Stock at $1.875 per share (exercisable in three equal installments commencing June 10, 1993, and expiring on the tenth anniversary of the date of grant).</w:t>
      </w: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COMPENSATION COMMITTEE OF THE BOARD OF DIRECTORS TO STOCKHOLDERS</w:t>
      </w:r>
    </w:p>
    <w:p>
      <w:pPr>
        <w:spacing w:after="0" w:line="173" w:lineRule="exact"/>
        <w:rPr>
          <w:sz w:val="20"/>
          <w:szCs w:val="20"/>
          <w:color w:val="auto"/>
        </w:rPr>
      </w:pPr>
    </w:p>
    <w:p>
      <w:pPr>
        <w:ind w:right="3679" w:firstLine="1464"/>
        <w:spacing w:after="0" w:line="271" w:lineRule="auto"/>
        <w:rPr>
          <w:sz w:val="20"/>
          <w:szCs w:val="20"/>
          <w:color w:val="auto"/>
        </w:rPr>
      </w:pPr>
      <w:r>
        <w:rPr>
          <w:rFonts w:ascii="Courier New" w:cs="Courier New" w:eastAsia="Courier New" w:hAnsi="Courier New"/>
          <w:sz w:val="14"/>
          <w:szCs w:val="14"/>
          <w:color w:val="auto"/>
        </w:rPr>
        <w:t>The report of the Compensation and Options Committee of the Board of Directors to Stockholders shall not be deemed incorporated by reference by any general statement incorporating by reference this Proxy Statement into any filing under the Securities Act of 1933 or under the Securities Exchange Act of 1934, except to the extent that the Company specifically incorporates this information by reference, and shall not otherwise be deemed filed under such Acts.</w:t>
      </w:r>
    </w:p>
    <w:p>
      <w:pPr>
        <w:spacing w:after="0" w:line="72" w:lineRule="exact"/>
        <w:rPr>
          <w:sz w:val="20"/>
          <w:szCs w:val="20"/>
          <w:color w:val="auto"/>
        </w:rPr>
      </w:pPr>
    </w:p>
    <w:p>
      <w:pPr>
        <w:ind w:right="3519" w:firstLine="1464"/>
        <w:spacing w:after="0" w:line="266" w:lineRule="auto"/>
        <w:rPr>
          <w:sz w:val="20"/>
          <w:szCs w:val="20"/>
          <w:color w:val="auto"/>
        </w:rPr>
      </w:pPr>
      <w:r>
        <w:rPr>
          <w:rFonts w:ascii="Courier New" w:cs="Courier New" w:eastAsia="Courier New" w:hAnsi="Courier New"/>
          <w:sz w:val="14"/>
          <w:szCs w:val="14"/>
          <w:color w:val="auto"/>
        </w:rPr>
        <w:t>The Compensation and Options Committee (the "Committee") consists of two directors, Michael A. Rosenberg and Michael R. Giordano, who are not employees or former employees of, or consultants to, the Company. The Committee approves salary practices for executive personnel, reviews the performance of the Company and the executive officers, sets performance objectives, establishes the compensation of executive officers, and authorizes the grant of options under the Company's various stock option plans. In May, 1994, the Committee set salary levels for the executive officers of the Company.</w:t>
      </w:r>
    </w:p>
    <w:p>
      <w:pPr>
        <w:spacing w:after="0" w:line="74" w:lineRule="exact"/>
        <w:rPr>
          <w:sz w:val="20"/>
          <w:szCs w:val="20"/>
          <w:color w:val="auto"/>
        </w:rPr>
      </w:pPr>
    </w:p>
    <w:p>
      <w:pPr>
        <w:ind w:right="3599" w:firstLine="1464"/>
        <w:spacing w:after="0" w:line="275" w:lineRule="auto"/>
        <w:rPr>
          <w:sz w:val="20"/>
          <w:szCs w:val="20"/>
          <w:color w:val="auto"/>
        </w:rPr>
      </w:pPr>
      <w:r>
        <w:rPr>
          <w:rFonts w:ascii="Courier New" w:cs="Courier New" w:eastAsia="Courier New" w:hAnsi="Courier New"/>
          <w:sz w:val="14"/>
          <w:szCs w:val="14"/>
          <w:color w:val="auto"/>
        </w:rPr>
        <w:t>The Company's general approach to compensating executive officers is to pay cash salaries which are competitive with salaries paid to executives of other companies in the Company's industry, which are of similar size and engaged in a similar line of business and to employ a subjective assessment of the individual's experience and past and potential contribution to the Company.</w:t>
      </w:r>
    </w:p>
    <w:p>
      <w:pPr>
        <w:spacing w:after="0" w:line="69" w:lineRule="exact"/>
        <w:rPr>
          <w:sz w:val="20"/>
          <w:szCs w:val="20"/>
          <w:color w:val="auto"/>
        </w:rPr>
      </w:pPr>
    </w:p>
    <w:p>
      <w:pPr>
        <w:ind w:right="3419" w:firstLine="1464"/>
        <w:spacing w:after="0" w:line="268" w:lineRule="auto"/>
        <w:rPr>
          <w:sz w:val="20"/>
          <w:szCs w:val="20"/>
          <w:color w:val="auto"/>
        </w:rPr>
      </w:pPr>
      <w:r>
        <w:rPr>
          <w:rFonts w:ascii="Courier New" w:cs="Courier New" w:eastAsia="Courier New" w:hAnsi="Courier New"/>
          <w:sz w:val="14"/>
          <w:szCs w:val="14"/>
          <w:color w:val="auto"/>
        </w:rPr>
        <w:t>The Company's policy in compensating executive officers is to establish methods and levels of compensation that will provide strong incentives to promote the profitability and growth of the Company and reward superior performance. Compensation of executive officers includes base salary, performance-based incentive bonuses and stock-based programs. Salaries are established by the Committee based on the Committee's subjective assessment of the executive's scope of responsibility, level of experience, individual performance, and contribution to the business.</w:t>
      </w:r>
    </w:p>
    <w:p>
      <w:pPr>
        <w:spacing w:after="0" w:line="74" w:lineRule="exact"/>
        <w:rPr>
          <w:sz w:val="20"/>
          <w:szCs w:val="20"/>
          <w:color w:val="auto"/>
        </w:rPr>
      </w:pPr>
    </w:p>
    <w:p>
      <w:pPr>
        <w:ind w:right="3419" w:firstLine="1464"/>
        <w:spacing w:after="0" w:line="264" w:lineRule="auto"/>
        <w:rPr>
          <w:sz w:val="20"/>
          <w:szCs w:val="20"/>
          <w:color w:val="auto"/>
        </w:rPr>
      </w:pPr>
      <w:r>
        <w:rPr>
          <w:rFonts w:ascii="Courier New" w:cs="Courier New" w:eastAsia="Courier New" w:hAnsi="Courier New"/>
          <w:sz w:val="14"/>
          <w:szCs w:val="14"/>
          <w:color w:val="auto"/>
        </w:rPr>
        <w:t>The Company believes that the emphasis on performance-based and stock-based compensation serves to align the interests of the executive officers with the interests of the Company's stockholders. The Company also seeks to establish overall compensation levels that are sufficiently competitive to attract, retain, and motivate highly competent management personnel. Mr. Morillas' base salary is paid in accordance with the terms and conditions of a compensation agreement based upon the aforementioned subjective criteria of the Committee See "Employment Contracts and Termination of Employment and Change in Control Arrangements." Mr. Liu's base salary is also paid in accordance with subjective criteria set by the Committee.</w:t>
      </w:r>
    </w:p>
    <w:p>
      <w:pPr>
        <w:spacing w:after="0" w:line="77" w:lineRule="exact"/>
        <w:rPr>
          <w:sz w:val="20"/>
          <w:szCs w:val="20"/>
          <w:color w:val="auto"/>
        </w:rPr>
      </w:pPr>
    </w:p>
    <w:p>
      <w:pPr>
        <w:ind w:right="3419" w:firstLine="1464"/>
        <w:spacing w:after="0" w:line="264" w:lineRule="auto"/>
        <w:rPr>
          <w:sz w:val="20"/>
          <w:szCs w:val="20"/>
          <w:color w:val="auto"/>
        </w:rPr>
      </w:pPr>
      <w:r>
        <w:rPr>
          <w:rFonts w:ascii="Courier New" w:cs="Courier New" w:eastAsia="Courier New" w:hAnsi="Courier New"/>
          <w:sz w:val="14"/>
          <w:szCs w:val="14"/>
          <w:color w:val="auto"/>
        </w:rPr>
        <w:t>The Company's performance, for purposes of compensation decisions, is measured under the annual bonus plan against goals established prior to the start of the fiscal year by the Committee, and is reviewed and approved by the Committee. The Company's annual bonus plan is based on specific financial performance results. Bonuses, set at a fixed amount and paid as a percentage of the total, are based upon reaching a percentage between 80 and 120% of the goal. Bonus compensation paid to Mr. Morillas is based upon goals set by the Committee for net sales and profit before tax. Mr. Liu's bonus is based on targets set by the Committee for net sales, and profit before tax, as well as, return on assets.</w:t>
      </w:r>
    </w:p>
    <w:p>
      <w:pPr>
        <w:sectPr>
          <w:pgSz w:w="11900" w:h="16838" w:orient="portrait"/>
          <w:cols w:equalWidth="0" w:num="1">
            <w:col w:w="102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5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COMPENSATION FOR THE PRESIDENT AND CHIEF EXECUTIVE OFFICER</w:t>
      </w:r>
    </w:p>
    <w:p>
      <w:pPr>
        <w:spacing w:after="0" w:line="173" w:lineRule="exact"/>
        <w:rPr>
          <w:sz w:val="20"/>
          <w:szCs w:val="20"/>
          <w:color w:val="auto"/>
        </w:rPr>
      </w:pPr>
    </w:p>
    <w:p>
      <w:pPr>
        <w:ind w:right="3519" w:firstLine="1464"/>
        <w:spacing w:after="0" w:line="271" w:lineRule="auto"/>
        <w:rPr>
          <w:sz w:val="20"/>
          <w:szCs w:val="20"/>
          <w:color w:val="auto"/>
        </w:rPr>
      </w:pPr>
      <w:r>
        <w:rPr>
          <w:rFonts w:ascii="Courier New" w:cs="Courier New" w:eastAsia="Courier New" w:hAnsi="Courier New"/>
          <w:sz w:val="14"/>
          <w:szCs w:val="14"/>
          <w:color w:val="auto"/>
        </w:rPr>
        <w:t>No cash compensation is paid by the Company to Mr. David Lin, the Company's President and Chief Executive Officer. Because Mr. Lin also serves as President of Silitek Corporation, he is compensated directly from Silitek. Mr. Lin, is however, eligible to participate in, and receive stock option grants through, the Company's 1993 Non-Qualified Stock Option Plan. Shares that have been granted to Mr. Lin were based upon the Committee's subjective assessment of the performance of Mr. Lin and the Company.</w:t>
      </w:r>
    </w:p>
    <w:p>
      <w:pPr>
        <w:spacing w:after="0" w:line="7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firstLine="2239"/>
        <w:spacing w:after="0" w:line="258" w:lineRule="auto"/>
        <w:rPr>
          <w:sz w:val="20"/>
          <w:szCs w:val="20"/>
          <w:color w:val="auto"/>
        </w:rPr>
      </w:pPr>
      <w:r>
        <w:rPr>
          <w:rFonts w:ascii="Courier New" w:cs="Courier New" w:eastAsia="Courier New" w:hAnsi="Courier New"/>
          <w:sz w:val="14"/>
          <w:szCs w:val="14"/>
          <w:color w:val="auto"/>
        </w:rPr>
        <w:t>The Committee strongly believes that the interests of senior management must be closely aligned with those of the stockholders. Stock options are granted to officers, other executives and selected employees whose contributions and skills are important to the long-term success of the Company. Stock options granted to executive officers are granted at the fair market value as of the date of grant with a ten year term. If employment is terminated, the term of the grant is 90 days from the termination date. To encourage retention, the ability to exercise options granted under the plans is subject to vesting restrictions. The Committee's policy is to award an initial grant at the date of employment, which vests over three years, and is in recognition of the executive officer's potential contribution to the Company. The three year vesting period may be increased or decreased at the Committee's discretion. After three years, it is at the Committee's discretion to award additional grants based upon future contribution. Decisions made by the Committee regarding the timing and size of other option grants take into consideration Company and individual performance, competitive market practices, and the size and term of option grants made in prior years. The Committee does not consider current option holdings when granting additional options.</w:t>
      </w:r>
    </w:p>
    <w:p>
      <w:pPr>
        <w:spacing w:after="0" w:line="78" w:lineRule="exact"/>
        <w:rPr>
          <w:sz w:val="20"/>
          <w:szCs w:val="20"/>
          <w:color w:val="auto"/>
        </w:rPr>
      </w:pPr>
    </w:p>
    <w:p>
      <w:pPr>
        <w:ind w:right="3419" w:firstLine="2239"/>
        <w:spacing w:after="0" w:line="292" w:lineRule="auto"/>
        <w:rPr>
          <w:sz w:val="20"/>
          <w:szCs w:val="20"/>
          <w:color w:val="auto"/>
        </w:rPr>
      </w:pPr>
      <w:r>
        <w:rPr>
          <w:rFonts w:ascii="Courier New" w:cs="Courier New" w:eastAsia="Courier New" w:hAnsi="Courier New"/>
          <w:sz w:val="14"/>
          <w:szCs w:val="14"/>
          <w:color w:val="auto"/>
        </w:rPr>
        <w:t>The Company's Stock Option Plans have been amended and approved by the shareholders so stock options that have been awarded can qualify for exclusion under Section 162(m) of the Internal Revenue Code of 1986 as performance-based compensation.</w:t>
      </w:r>
    </w:p>
    <w:p>
      <w:pPr>
        <w:spacing w:after="0" w:line="22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Dated April 15, 1995,</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MICHAEL A. ROSENBERG</w:t>
      </w:r>
    </w:p>
    <w:p>
      <w:pPr>
        <w:spacing w:after="0" w:line="3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MICHAEL R. GIORDANO</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Compensation Committee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of the Board of Directors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1464"/>
        <w:spacing w:after="0" w:line="271" w:lineRule="auto"/>
        <w:rPr>
          <w:sz w:val="20"/>
          <w:szCs w:val="20"/>
          <w:color w:val="auto"/>
        </w:rPr>
      </w:pPr>
      <w:r>
        <w:rPr>
          <w:rFonts w:ascii="Courier New" w:cs="Courier New" w:eastAsia="Courier New" w:hAnsi="Courier New"/>
          <w:sz w:val="14"/>
          <w:szCs w:val="14"/>
          <w:color w:val="auto"/>
        </w:rPr>
        <w:t>No person who served as a member of the Compensation Committee during the 1994 fiscal year has ever been an officer or employee of the Company or any of its subsidiaries. However, David Lin, the President, Chief Executive Officer and Director of the Company, during fiscal year 1994, was President and Director of Silitek. Silitek's entire Board of Directors participated in compensation decisions in the absence of a Compensation Committee during fiscal year 1994.</w:t>
      </w:r>
    </w:p>
    <w:p>
      <w:pPr>
        <w:spacing w:after="0" w:line="72" w:lineRule="exact"/>
        <w:rPr>
          <w:sz w:val="20"/>
          <w:szCs w:val="20"/>
          <w:color w:val="auto"/>
        </w:rPr>
      </w:pPr>
    </w:p>
    <w:p>
      <w:pPr>
        <w:ind w:right="3419" w:firstLine="1464"/>
        <w:spacing w:after="0" w:line="260" w:lineRule="auto"/>
        <w:rPr>
          <w:sz w:val="20"/>
          <w:szCs w:val="20"/>
          <w:color w:val="auto"/>
        </w:rPr>
      </w:pPr>
      <w:r>
        <w:rPr>
          <w:rFonts w:ascii="Courier New" w:cs="Courier New" w:eastAsia="Courier New" w:hAnsi="Courier New"/>
          <w:sz w:val="14"/>
          <w:szCs w:val="14"/>
          <w:color w:val="auto"/>
        </w:rPr>
        <w:t>Silitek controls LPSC, its subsidiary. LPSC is the record owner of 44.5% of the Company's issued and outstanding Common Stock, excluding Treasury Stock, and 100% of the Company's issued and outstanding Preferred Stock, which is convertible to Common Stock on a one share for one share basis, and has the same voting rights as holders of Common Stock, at December 31, 1994, and as of May 12, 1995, continues to be the record owner of 46.5% of all of the Company's issued and outstanding securities, excluding Treasury Stock. Thus, since LPSC is a controlled subsidiary of Silitek, Silitek is the beneficial owner of 46.5% of the Company's outstanding voting securities. However, although Silitek could be considered the ultimate beneficial owner of all of the Company's securities held of record by LPSC, Silitek has disclaimed beneficial ownership of the 2,060,464 shares of Common Stock and 169,269 shares of the convertible Preferred Stock held by LPSC. See "Security Ownership of Certain Beneficial Owners and Management."</w:t>
      </w:r>
    </w:p>
    <w:p>
      <w:pPr>
        <w:spacing w:after="0" w:line="251" w:lineRule="exact"/>
        <w:rPr>
          <w:sz w:val="20"/>
          <w:szCs w:val="20"/>
          <w:color w:val="auto"/>
        </w:rPr>
      </w:pPr>
    </w:p>
    <w:p>
      <w:pPr>
        <w:ind w:right="3679" w:firstLine="1464"/>
        <w:spacing w:after="0" w:line="282" w:lineRule="auto"/>
        <w:rPr>
          <w:sz w:val="20"/>
          <w:szCs w:val="20"/>
          <w:color w:val="auto"/>
        </w:rPr>
      </w:pPr>
      <w:r>
        <w:rPr>
          <w:rFonts w:ascii="Courier New" w:cs="Courier New" w:eastAsia="Courier New" w:hAnsi="Courier New"/>
          <w:sz w:val="14"/>
          <w:szCs w:val="14"/>
          <w:color w:val="auto"/>
        </w:rPr>
        <w:t>During the years ended December 31, 1994 and 1993, approximately 18% and 24%, respectively, of the purchases of products for resale by the Company, amounting to approximately $5,048,000 and $4,640,000, respectively, were from LPSC. These products, which were also available generally from other sources, were purchased in transactions</w:t>
      </w:r>
    </w:p>
    <w:p>
      <w:pPr>
        <w:sectPr>
          <w:pgSz w:w="11900" w:h="16838" w:orient="portrait"/>
          <w:cols w:equalWidth="0" w:num="1">
            <w:col w:w="10239"/>
          </w:cols>
          <w:pgMar w:left="22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59"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right="3859"/>
        <w:spacing w:after="0" w:line="313" w:lineRule="auto"/>
        <w:rPr>
          <w:sz w:val="20"/>
          <w:szCs w:val="20"/>
          <w:color w:val="auto"/>
        </w:rPr>
      </w:pPr>
      <w:r>
        <w:rPr>
          <w:rFonts w:ascii="Courier New" w:cs="Courier New" w:eastAsia="Courier New" w:hAnsi="Courier New"/>
          <w:sz w:val="14"/>
          <w:szCs w:val="14"/>
          <w:color w:val="auto"/>
        </w:rPr>
        <w:t>negotiated at prices competitive with prices charged by other vendors of similar products in similar quantities. There are no special or exclusive trading agreements or understandings between the Company and LPSC.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RETURN PERFORMANCE GRAPH</w:t>
      </w:r>
    </w:p>
    <w:p>
      <w:pPr>
        <w:spacing w:after="0" w:line="173" w:lineRule="exact"/>
        <w:rPr>
          <w:sz w:val="20"/>
          <w:szCs w:val="20"/>
          <w:color w:val="auto"/>
        </w:rPr>
      </w:pPr>
    </w:p>
    <w:p>
      <w:pPr>
        <w:ind w:right="3419" w:firstLine="1464"/>
        <w:spacing w:after="0" w:line="277" w:lineRule="auto"/>
        <w:rPr>
          <w:sz w:val="20"/>
          <w:szCs w:val="20"/>
          <w:color w:val="auto"/>
        </w:rPr>
      </w:pPr>
      <w:r>
        <w:rPr>
          <w:rFonts w:ascii="Courier New" w:cs="Courier New" w:eastAsia="Courier New" w:hAnsi="Courier New"/>
          <w:sz w:val="14"/>
          <w:szCs w:val="14"/>
          <w:color w:val="auto"/>
        </w:rPr>
        <w:t>Set forth below is a line graph comparing the yearly percentage change in the cumulative total stockholder return of the Company's Common Stock against the cumulative total return of the American Stock Exchange Market Index ("AMEX Market Index") and a Company-constructed electronics manufacturing and distribution peer group for the five fiscal years ending December 31, 1994.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COMPARISON OF FIVE YEAR CUMULATIVE TOTAL RETURN</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INDEX (1)</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5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AMONG DIODES INCORPORATED, AMEX MARKET INDEX AND PEER GROUP</w:t>
            </w:r>
          </w:p>
        </w:tc>
        <w:tc>
          <w:tcPr>
            <w:tcW w:w="90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3"/>
        </w:trPr>
        <w:tc>
          <w:tcPr>
            <w:tcW w:w="3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[Graph]</w:t>
            </w: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8"/>
        </w:trPr>
        <w:tc>
          <w:tcPr>
            <w:tcW w:w="3160" w:type="dxa"/>
            <w:vAlign w:val="bottom"/>
          </w:tcPr>
          <w:p>
            <w:pPr>
              <w:spacing w:after="0"/>
              <w:rPr>
                <w:sz w:val="24"/>
                <w:szCs w:val="24"/>
                <w:color w:val="auto"/>
              </w:rPr>
            </w:pP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55"/>
        </w:trPr>
        <w:tc>
          <w:tcPr>
            <w:tcW w:w="3160" w:type="dxa"/>
            <w:vAlign w:val="bottom"/>
          </w:tcPr>
          <w:p>
            <w:pPr>
              <w:spacing w:after="0"/>
              <w:rPr>
                <w:sz w:val="20"/>
                <w:szCs w:val="20"/>
                <w:color w:val="auto"/>
              </w:rPr>
            </w:pPr>
            <w:r>
              <w:rPr>
                <w:rFonts w:ascii="Courier New" w:cs="Courier New" w:eastAsia="Courier New" w:hAnsi="Courier New"/>
                <w:sz w:val="14"/>
                <w:szCs w:val="14"/>
                <w:color w:val="auto"/>
              </w:rPr>
              <w:t>Diodes Incorporated</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$60.00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$ 53.33</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$ 73.33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$286.67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$266.67</w:t>
            </w:r>
          </w:p>
        </w:tc>
        <w:tc>
          <w:tcPr>
            <w:tcW w:w="0" w:type="dxa"/>
            <w:vAlign w:val="bottom"/>
          </w:tcPr>
          <w:p>
            <w:pPr>
              <w:spacing w:after="0"/>
              <w:rPr>
                <w:sz w:val="1"/>
                <w:szCs w:val="1"/>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AMEX Market Index</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104.45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105.88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111.12</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Peer Group Index (Weighted Average)</w:t>
            </w:r>
          </w:p>
        </w:tc>
        <w:tc>
          <w:tcPr>
            <w:tcW w:w="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49.56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85.74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160.56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255.37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283.39</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780" w:right="3599" w:hanging="772"/>
        <w:spacing w:after="0" w:line="268"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$100 invested on December 31, 1989 in the Common Stock of Diodes Incorporated, the stock of the companies in the AMEX Market Index, and in the stocks of the peer group companies, and that all dividends received within a quarter, if any, were reinvested in that quarter. The peer group companies consist of Microsemi Corporation, Nu-Horizons Electronics Corporation, Siliconix, Inc., Semtech Corporation, Sterling Electronics Corporation, Unitrode Corporation, and Western Microtechnology, Inc.</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419" w:firstLine="1464"/>
        <w:spacing w:after="0" w:line="282" w:lineRule="auto"/>
        <w:rPr>
          <w:sz w:val="20"/>
          <w:szCs w:val="20"/>
          <w:color w:val="auto"/>
        </w:rPr>
      </w:pPr>
      <w:r>
        <w:rPr>
          <w:rFonts w:ascii="Courier New" w:cs="Courier New" w:eastAsia="Courier New" w:hAnsi="Courier New"/>
          <w:sz w:val="14"/>
          <w:szCs w:val="14"/>
          <w:color w:val="auto"/>
        </w:rPr>
        <w:t>LPSC is the record owner of 44.5% of the Company's issued and outstanding Common Stock, excluding Treasury Stock, and 100% of the Company's issued and outstanding Preferred Stock, which is convertible to Common Stock on a one share for one share basis, and has the same voting rights as holders of Common Stock, at December 31,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5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4"/>
          <w:szCs w:val="14"/>
          <w:color w:val="auto"/>
        </w:rPr>
        <w:t>1994, and as of May 12, 1995, continues to be the record owner of 46.5% of all of the Company's issued and outstanding securities, excluding Treasury Stock. Thus, since LPSC is a controlled subsidiary of Silitek, Silitek is the beneficial owner of 46.5% of the Company's outstanding voting securities. However, although Silitek could be considered the ultimate beneficial owner of all of the Company's securities held of record by LPSC, Silitek has disclaimed beneficial ownership of the 2,060,464 shares of Common Stock and 169,269 shares of the convertible Preferred Stock held by LPSC. See "Security Ownership of Certain Beneficial Owners and Management."</w:t>
      </w:r>
    </w:p>
    <w:p>
      <w:pPr>
        <w:spacing w:after="0" w:line="74" w:lineRule="exact"/>
        <w:rPr>
          <w:sz w:val="20"/>
          <w:szCs w:val="20"/>
          <w:color w:val="auto"/>
        </w:rPr>
      </w:pPr>
    </w:p>
    <w:p>
      <w:pPr>
        <w:ind w:right="3519" w:firstLine="1464"/>
        <w:spacing w:after="0" w:line="268" w:lineRule="auto"/>
        <w:rPr>
          <w:sz w:val="20"/>
          <w:szCs w:val="20"/>
          <w:color w:val="auto"/>
        </w:rPr>
      </w:pPr>
      <w:r>
        <w:rPr>
          <w:rFonts w:ascii="Courier New" w:cs="Courier New" w:eastAsia="Courier New" w:hAnsi="Courier New"/>
          <w:sz w:val="14"/>
          <w:szCs w:val="14"/>
          <w:color w:val="auto"/>
        </w:rPr>
        <w:t>During the years ended December 31, 1994 and 1993, approximately 18% and 24%, respectively, of the purchases of products for resale by the Company, amounting to approximately $5,048,000 and $4,640,000, respectively, were from LPSC. These products, which were also available generally from other sources, were purchased in transactions negotiated at prices competitive with prices charged by other vendors of similar products in similar quantities. There are no special or exclusive trading agreements or understandings between the Company and LPSC.</w:t>
      </w:r>
    </w:p>
    <w:p>
      <w:pPr>
        <w:spacing w:after="0" w:line="74" w:lineRule="exact"/>
        <w:rPr>
          <w:sz w:val="20"/>
          <w:szCs w:val="20"/>
          <w:color w:val="auto"/>
        </w:rPr>
      </w:pPr>
    </w:p>
    <w:p>
      <w:pPr>
        <w:ind w:right="3519" w:firstLine="1464"/>
        <w:spacing w:after="0" w:line="292" w:lineRule="auto"/>
        <w:rPr>
          <w:sz w:val="20"/>
          <w:szCs w:val="20"/>
          <w:color w:val="auto"/>
        </w:rPr>
      </w:pPr>
      <w:r>
        <w:rPr>
          <w:rFonts w:ascii="Courier New" w:cs="Courier New" w:eastAsia="Courier New" w:hAnsi="Courier New"/>
          <w:sz w:val="14"/>
          <w:szCs w:val="14"/>
          <w:color w:val="auto"/>
        </w:rPr>
        <w:t>Mr. David Lin, who has been a director of the Company since 1991 and effective March 16, 1993 became President and Chief Executive Officer of the Company, is also the President and a director of Silitek and his salary is fully paid by Silitek. See "Executive Compensation."</w:t>
      </w:r>
    </w:p>
    <w:p>
      <w:pPr>
        <w:spacing w:after="0" w:line="56" w:lineRule="exact"/>
        <w:rPr>
          <w:sz w:val="20"/>
          <w:szCs w:val="20"/>
          <w:color w:val="auto"/>
        </w:rPr>
      </w:pPr>
    </w:p>
    <w:p>
      <w:pPr>
        <w:ind w:right="3599" w:firstLine="1464"/>
        <w:spacing w:after="0" w:line="313" w:lineRule="auto"/>
        <w:rPr>
          <w:sz w:val="20"/>
          <w:szCs w:val="20"/>
          <w:color w:val="auto"/>
        </w:rPr>
      </w:pPr>
      <w:r>
        <w:rPr>
          <w:rFonts w:ascii="Courier New" w:cs="Courier New" w:eastAsia="Courier New" w:hAnsi="Courier New"/>
          <w:sz w:val="14"/>
          <w:szCs w:val="14"/>
          <w:color w:val="auto"/>
        </w:rPr>
        <w:t>Mr. Raymond Soong, who became a director and Chairman of the Board of the Company effective March 16, 1993, is also the Chairman of the Board of Silitek, LPSC, and Taiwan Liton.</w:t>
      </w:r>
    </w:p>
    <w:p>
      <w:pPr>
        <w:spacing w:after="0" w:line="42" w:lineRule="exact"/>
        <w:rPr>
          <w:sz w:val="20"/>
          <w:szCs w:val="20"/>
          <w:color w:val="auto"/>
        </w:rPr>
      </w:pPr>
    </w:p>
    <w:p>
      <w:pPr>
        <w:ind w:right="3519" w:firstLine="1464"/>
        <w:spacing w:after="0" w:line="271" w:lineRule="auto"/>
        <w:rPr>
          <w:sz w:val="20"/>
          <w:szCs w:val="20"/>
          <w:color w:val="auto"/>
        </w:rPr>
      </w:pPr>
      <w:r>
        <w:rPr>
          <w:rFonts w:ascii="Courier New" w:cs="Courier New" w:eastAsia="Courier New" w:hAnsi="Courier New"/>
          <w:sz w:val="14"/>
          <w:szCs w:val="14"/>
          <w:color w:val="auto"/>
        </w:rPr>
        <w:t>Silitek is affiliated through common ownership and control with Taiwan Liton, and both companies are members of the Lite-On Group of companies in Taiwan. Both Silitek and Taiwan Liton are public corporations in Taiwan with stock registered on the Taipei Stock Exchange. Taiwan Liton owns 100% of the voting shares of Lite-On Milpitas. Dr. Shing Mao, who is a director of the Company, is Chairman of the Board of Lite-On Milpitas. Dr. Shing Mao is also a director of LPSC.</w:t>
      </w:r>
    </w:p>
    <w:p>
      <w:pPr>
        <w:spacing w:after="0" w:line="72" w:lineRule="exact"/>
        <w:rPr>
          <w:sz w:val="20"/>
          <w:szCs w:val="20"/>
          <w:color w:val="auto"/>
        </w:rPr>
      </w:pPr>
    </w:p>
    <w:p>
      <w:pPr>
        <w:ind w:right="3419" w:firstLine="1464"/>
        <w:spacing w:after="0" w:line="271" w:lineRule="auto"/>
        <w:rPr>
          <w:sz w:val="20"/>
          <w:szCs w:val="20"/>
          <w:color w:val="auto"/>
        </w:rPr>
      </w:pPr>
      <w:r>
        <w:rPr>
          <w:rFonts w:ascii="Courier New" w:cs="Courier New" w:eastAsia="Courier New" w:hAnsi="Courier New"/>
          <w:sz w:val="14"/>
          <w:szCs w:val="14"/>
          <w:color w:val="auto"/>
        </w:rPr>
        <w:t>During 1994, Mr. Michael R. Giordano, a member of the Company's Board of Directors and Senior Vice President-Investments at the investment banking firm of PaineWebber, Inc., assisted members of the Board of Directors and Executive Officers of the Company in stock option exercises and subsequent stock sales of the Company's Common Stock. Mr. Giordano also assisted LPSC in stock transactions. Compensation received by Mr. Giordano for services rendered to the Company and LPSC was less than $1,000.</w:t>
      </w:r>
    </w:p>
    <w:p>
      <w:pPr>
        <w:spacing w:after="0" w:line="72" w:lineRule="exact"/>
        <w:rPr>
          <w:sz w:val="20"/>
          <w:szCs w:val="20"/>
          <w:color w:val="auto"/>
        </w:rPr>
      </w:pPr>
    </w:p>
    <w:p>
      <w:pPr>
        <w:ind w:right="3519" w:firstLine="1464"/>
        <w:spacing w:after="0" w:line="313" w:lineRule="auto"/>
        <w:rPr>
          <w:sz w:val="20"/>
          <w:szCs w:val="20"/>
          <w:color w:val="auto"/>
        </w:rPr>
      </w:pPr>
      <w:r>
        <w:rPr>
          <w:rFonts w:ascii="Courier New" w:cs="Courier New" w:eastAsia="Courier New" w:hAnsi="Courier New"/>
          <w:sz w:val="14"/>
          <w:szCs w:val="14"/>
          <w:color w:val="auto"/>
        </w:rPr>
        <w:t>Mr. M.K. Lu, who is a first-time director nominee, has been President and a director of LPSC from 1991 to present. From 1983 to 1990, Mr. Lu was General Manager/Vice President of Silitek.</w:t>
      </w:r>
    </w:p>
    <w:p>
      <w:pPr>
        <w:spacing w:after="0" w:line="42"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PROPOSALS OF STOCKHOLDERS</w:t>
      </w:r>
    </w:p>
    <w:p>
      <w:pPr>
        <w:spacing w:after="0" w:line="173" w:lineRule="exact"/>
        <w:rPr>
          <w:sz w:val="20"/>
          <w:szCs w:val="20"/>
          <w:color w:val="auto"/>
        </w:rPr>
      </w:pPr>
    </w:p>
    <w:p>
      <w:pPr>
        <w:ind w:right="3419" w:firstLine="1464"/>
        <w:spacing w:after="0" w:line="282" w:lineRule="auto"/>
        <w:rPr>
          <w:sz w:val="20"/>
          <w:szCs w:val="20"/>
          <w:color w:val="auto"/>
        </w:rPr>
      </w:pPr>
      <w:r>
        <w:rPr>
          <w:rFonts w:ascii="Courier New" w:cs="Courier New" w:eastAsia="Courier New" w:hAnsi="Courier New"/>
          <w:sz w:val="14"/>
          <w:szCs w:val="14"/>
          <w:color w:val="auto"/>
        </w:rPr>
        <w:t>Under certain circumstances, Stockholders are entitled to present proposals at stockholder meetings. Any such proposal to be included in the Proxy Statement for the Company's 1996 Annual Meeting of Stockholders must be submitted by a Stockholder prior to January 15, 1996, in a form that complies with applicable regulations.</w:t>
      </w:r>
    </w:p>
    <w:p>
      <w:pPr>
        <w:spacing w:after="0" w:line="22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ANNUAL REPORT AND FORM 10-K</w:t>
      </w:r>
    </w:p>
    <w:p>
      <w:pPr>
        <w:spacing w:after="0" w:line="173" w:lineRule="exact"/>
        <w:rPr>
          <w:sz w:val="20"/>
          <w:szCs w:val="20"/>
          <w:color w:val="auto"/>
        </w:rPr>
      </w:pPr>
    </w:p>
    <w:p>
      <w:pPr>
        <w:ind w:right="3419" w:firstLine="1464"/>
        <w:spacing w:after="0" w:line="275" w:lineRule="auto"/>
        <w:rPr>
          <w:sz w:val="20"/>
          <w:szCs w:val="20"/>
          <w:color w:val="auto"/>
        </w:rPr>
      </w:pPr>
      <w:r>
        <w:rPr>
          <w:rFonts w:ascii="Courier New" w:cs="Courier New" w:eastAsia="Courier New" w:hAnsi="Courier New"/>
          <w:sz w:val="14"/>
          <w:szCs w:val="14"/>
          <w:color w:val="auto"/>
        </w:rPr>
        <w:t>The Company's Annual Report of the fiscal year ended December 31, 1994 accompanies this Proxy Statement. The Annual Report contains consolidated financial statements of the Company and its subsidiaries and the report thereon of Moss Adams, the Company's independent auditors for the fiscal years ended December 31, 1994, and 1993 and Grant Thornton, independent auditors, for the fiscal year ended December 31, 1992.</w:t>
      </w:r>
    </w:p>
    <w:p>
      <w:pPr>
        <w:spacing w:after="0" w:line="69" w:lineRule="exact"/>
        <w:rPr>
          <w:sz w:val="20"/>
          <w:szCs w:val="20"/>
          <w:color w:val="auto"/>
        </w:rPr>
      </w:pPr>
    </w:p>
    <w:p>
      <w:pPr>
        <w:ind w:right="3419" w:firstLine="1464"/>
        <w:spacing w:after="0" w:line="282" w:lineRule="auto"/>
        <w:rPr>
          <w:sz w:val="20"/>
          <w:szCs w:val="20"/>
          <w:color w:val="auto"/>
        </w:rPr>
      </w:pPr>
      <w:r>
        <w:rPr>
          <w:rFonts w:ascii="Courier New" w:cs="Courier New" w:eastAsia="Courier New" w:hAnsi="Courier New"/>
          <w:sz w:val="14"/>
          <w:szCs w:val="14"/>
          <w:color w:val="auto"/>
        </w:rPr>
        <w:t>STOCKHOLDERS MAY OBTAIN WITHOUT CHARGE A COPY OF THE COMPANY'S ANNUAL REPORT ON FORM 10-K, INCLUDING FINANCIAL STATEMENTS REQUIRED TO BE FILED WITH THE SECURITIES AND EXCHANGE COMMISSION PURSUANT TO THE EXCHANGE ACT, FOR THE FISCAL YEAR ENDED DECEMBER 31, 1994, BY WRITING TO THE COMPANY AT 3050 EAST HILLCREST DRIVE, WESTLAKE VILLAGE, CALIFORNIA 91362, ATTN: JOSEPH LIU.</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5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599" w:firstLine="1464"/>
        <w:spacing w:after="0" w:line="275" w:lineRule="auto"/>
        <w:rPr>
          <w:sz w:val="20"/>
          <w:szCs w:val="20"/>
          <w:color w:val="auto"/>
        </w:rPr>
      </w:pPr>
      <w:r>
        <w:rPr>
          <w:rFonts w:ascii="Courier New" w:cs="Courier New" w:eastAsia="Courier New" w:hAnsi="Courier New"/>
          <w:sz w:val="14"/>
          <w:szCs w:val="14"/>
          <w:color w:val="auto"/>
        </w:rPr>
        <w:t>Management knows of no business which will be presented for consideration at the Meeting other than as stated in the Notice of Meeting. If, however, other matters are properly brought before the Meeting, it is the intention of the Proxyholders to vote the shares represented thereby on such matters in accordance with the recommendation of the Board of Directors and authority to do so is included in the Proxy.</w:t>
      </w: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Dated at Westlake Village, California, this 19th day of May,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312"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 JOSEPH LIU</w:t>
      </w:r>
    </w:p>
    <w:p>
      <w:pPr>
        <w:spacing w:after="0" w:line="17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Joseph Liu,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5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200"/>
          </w:cols>
          <w:pgMar w:left="220" w:top="259" w:right="479" w:bottom="998"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REVOCABLE PROXY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4"/>
          <w:szCs w:val="14"/>
          <w:color w:val="auto"/>
        </w:rPr>
        <w:t>DIODES INCORPORATED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REVOCABLE PROXY</w:t>
      </w:r>
    </w:p>
    <w:p>
      <w:pPr>
        <w:spacing w:after="0" w:line="173" w:lineRule="exact"/>
        <w:rPr>
          <w:sz w:val="20"/>
          <w:szCs w:val="20"/>
          <w:color w:val="auto"/>
        </w:rPr>
      </w:pPr>
    </w:p>
    <w:p>
      <w:pPr>
        <w:sectPr>
          <w:pgSz w:w="11900" w:h="16838" w:orient="portrait"/>
          <w:cols w:equalWidth="0" w:num="3">
            <w:col w:w="1960" w:space="720"/>
            <w:col w:w="2200" w:space="720"/>
            <w:col w:w="5600"/>
          </w:cols>
          <w:pgMar w:left="220" w:top="259" w:right="479" w:bottom="998"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ANNUAL MEETING OF STOCKHOLDERS -- JUNE 30, 1995</w:t>
      </w:r>
    </w:p>
    <w:p>
      <w:pPr>
        <w:sectPr>
          <w:pgSz w:w="11900" w:h="16838" w:orient="portrait"/>
          <w:cols w:equalWidth="0" w:num="1">
            <w:col w:w="11200"/>
          </w:cols>
          <w:pgMar w:left="220" w:top="259" w:right="479" w:bottom="998" w:gutter="0" w:footer="0" w:header="0"/>
          <w:type w:val="continuous"/>
        </w:sectPr>
      </w:pP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THIS PROXY IS SOLICITED BY THE BOARD OF DIRECTORS</w:t>
      </w:r>
    </w:p>
    <w:p>
      <w:pPr>
        <w:spacing w:after="0" w:line="173" w:lineRule="exact"/>
        <w:rPr>
          <w:sz w:val="20"/>
          <w:szCs w:val="20"/>
          <w:color w:val="auto"/>
        </w:rPr>
      </w:pPr>
    </w:p>
    <w:p>
      <w:pPr>
        <w:ind w:right="4300" w:firstLine="258"/>
        <w:spacing w:after="0" w:line="266" w:lineRule="auto"/>
        <w:rPr>
          <w:sz w:val="20"/>
          <w:szCs w:val="20"/>
          <w:color w:val="auto"/>
        </w:rPr>
      </w:pPr>
      <w:r>
        <w:rPr>
          <w:rFonts w:ascii="Courier New" w:cs="Courier New" w:eastAsia="Courier New" w:hAnsi="Courier New"/>
          <w:sz w:val="14"/>
          <w:szCs w:val="14"/>
          <w:color w:val="auto"/>
        </w:rPr>
        <w:t>The undersigned stockholder(s) of Diodes Incorporated (the "Company") hereby nominates, constitutes and appoints David Lin and Joseph Liu, and each of them, the attorney, agent and proxy of the undersigned, with full power of substitution, to vote all stock of the Company which the undersigned is entitled to vote at the Annual Meeting of Stockholders of the Company (the "Meeting") to be held at The Radisson Hotel, 30100 Agoura Road, Agoura Hills, California 91301, on June 30, 1995 at 10:00 a.m., and any adjournments thereof, as fully and with the same force and effect as the undersigned might or could do if personally thereat, as follows: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ectPr>
          <w:pgSz w:w="11900" w:h="16838" w:orient="portrait"/>
          <w:cols w:equalWidth="0" w:num="1">
            <w:col w:w="11200"/>
          </w:cols>
          <w:pgMar w:left="220" w:top="259" w:right="479" w:bottom="99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right="820"/>
        <w:spacing w:after="0" w:line="375" w:lineRule="auto"/>
        <w:rPr>
          <w:sz w:val="20"/>
          <w:szCs w:val="20"/>
          <w:color w:val="auto"/>
        </w:rPr>
      </w:pPr>
      <w:r>
        <w:rPr>
          <w:rFonts w:ascii="Courier New" w:cs="Courier New" w:eastAsia="Courier New" w:hAnsi="Courier New"/>
          <w:sz w:val="14"/>
          <w:szCs w:val="14"/>
          <w:color w:val="auto"/>
        </w:rPr>
        <w:t>FOR all Company nominees listed below / / (except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 AUTHORITY to vote for all</w:t>
      </w:r>
    </w:p>
    <w:p>
      <w:pPr>
        <w:spacing w:after="0" w:line="3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nominees listed below</w:t>
        <w:tab/>
        <w:t>/ /</w:t>
      </w:r>
    </w:p>
    <w:p>
      <w:pPr>
        <w:spacing w:after="0" w:line="146" w:lineRule="exact"/>
        <w:rPr>
          <w:sz w:val="20"/>
          <w:szCs w:val="20"/>
          <w:color w:val="auto"/>
        </w:rPr>
      </w:pPr>
    </w:p>
    <w:p>
      <w:pPr>
        <w:sectPr>
          <w:pgSz w:w="11900" w:h="16838" w:orient="portrait"/>
          <w:cols w:equalWidth="0" w:num="2">
            <w:col w:w="5140" w:space="720"/>
            <w:col w:w="5340"/>
          </w:cols>
          <w:pgMar w:left="220" w:top="259" w:right="479" w:bottom="998"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Discretionary Authority to cumulate votes is granted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Nominees: Michael R. Giordano; David Lin; Shing Mao; Michael A. Rosenberg; Raymond Soong; M.K. Lu and Leonard M. Silverman</w:t>
      </w:r>
    </w:p>
    <w:p>
      <w:pPr>
        <w:spacing w:after="0" w:line="338"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(Instructions: To withhold authority to vote for any one or more nominees, write</w:t>
      </w:r>
    </w:p>
    <w:p>
      <w:pPr>
        <w:spacing w:after="0" w:line="33"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that nominee's or nominees' name(s) in the space provided below)</w:t>
      </w:r>
    </w:p>
    <w:p>
      <w:pPr>
        <w:spacing w:after="0" w:line="14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Sign And Date On Reverse Side</w:t>
      </w:r>
    </w:p>
    <w:p>
      <w:pPr>
        <w:spacing w:after="0" w:line="200" w:lineRule="exact"/>
        <w:rPr>
          <w:sz w:val="20"/>
          <w:szCs w:val="20"/>
          <w:color w:val="auto"/>
        </w:rPr>
      </w:pPr>
    </w:p>
    <w:p>
      <w:pPr>
        <w:spacing w:after="0" w:line="278" w:lineRule="exact"/>
        <w:rPr>
          <w:sz w:val="20"/>
          <w:szCs w:val="20"/>
          <w:color w:val="auto"/>
        </w:rPr>
      </w:pPr>
    </w:p>
    <w:p>
      <w:pPr>
        <w:ind w:right="4300" w:firstLine="258"/>
        <w:spacing w:after="0" w:line="282" w:lineRule="auto"/>
        <w:rPr>
          <w:sz w:val="20"/>
          <w:szCs w:val="20"/>
          <w:color w:val="auto"/>
        </w:rPr>
      </w:pPr>
      <w:r>
        <w:rPr>
          <w:rFonts w:ascii="Courier New" w:cs="Courier New" w:eastAsia="Courier New" w:hAnsi="Courier New"/>
          <w:sz w:val="14"/>
          <w:szCs w:val="14"/>
          <w:color w:val="auto"/>
        </w:rPr>
        <w:t>THE BOARD OF DIRECTORS RECOMMENDS A VOTE OF "FOR" THE ELECTION OF EACH OF THE NOMINEES LISTED ABOVE. ALL PROPOSALS TO BE ACTED UPON ARE PROPOSALS OF THE COMPANY. IF ANY OTHER BUSINESS IS PRESENTED AT THE MEETING, THIS PROXY SHALL BE VOTED BY THE PROXYHOLDERS IN ACCORDANCE WITH THE RECOMMENDATIONS OF A MAJORITY OF THE BOARD OF DIRECTORS.</w:t>
      </w:r>
    </w:p>
    <w:p>
      <w:pPr>
        <w:spacing w:after="0" w:line="62" w:lineRule="exact"/>
        <w:rPr>
          <w:sz w:val="20"/>
          <w:szCs w:val="20"/>
          <w:color w:val="auto"/>
        </w:rPr>
      </w:pPr>
    </w:p>
    <w:p>
      <w:pPr>
        <w:ind w:right="4740" w:firstLine="258"/>
        <w:spacing w:after="0" w:line="275" w:lineRule="auto"/>
        <w:rPr>
          <w:sz w:val="20"/>
          <w:szCs w:val="20"/>
          <w:color w:val="auto"/>
        </w:rPr>
      </w:pPr>
      <w:r>
        <w:rPr>
          <w:rFonts w:ascii="Courier New" w:cs="Courier New" w:eastAsia="Courier New" w:hAnsi="Courier New"/>
          <w:sz w:val="14"/>
          <w:szCs w:val="14"/>
          <w:color w:val="auto"/>
        </w:rPr>
        <w:t>The undersigned hereby ratifies and confirms all that said attorneys and proxyholders, or either of them, or their substitutes, shall lawfully do or cause to be done by virtue hereof, and hereby revokes any and all proxies heretofore given by the undersigned to vote at the Meeting. The undersigned hereby acknowledges receipt of the Notice of Annual Meeting and the Proxy Statement accompanying said notice.</w:t>
      </w:r>
    </w:p>
    <w:p>
      <w:pPr>
        <w:spacing w:after="0" w:line="69"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Date:____________________</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(Number of Shares)</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(Name of Stockholder,</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Printed)</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(Signature of</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Stockholder)</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(Name of Stockholder,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Printed)</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w:t>
      </w:r>
    </w:p>
    <w:p>
      <w:pPr>
        <w:spacing w:after="0" w:line="33"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(Signature of</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Stockholder)</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(Please date this Proxy</w:t>
      </w:r>
    </w:p>
    <w:p>
      <w:pPr>
        <w:spacing w:after="0" w:line="3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and sign your name as it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appears on your stock</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certificate(s). Executors,</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administrators, trustees,</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etc., should give their</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full titles. All joint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owners should sign.)</w:t>
      </w:r>
    </w:p>
    <w:p>
      <w:pPr>
        <w:spacing w:after="0" w:line="14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I (We) do / / do not / /</w:t>
      </w:r>
    </w:p>
    <w:p>
      <w:pPr>
        <w:spacing w:after="0" w:line="3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expect to attend the</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Meeting.</w:t>
      </w:r>
    </w:p>
    <w:p>
      <w:pPr>
        <w:spacing w:after="0" w:line="147" w:lineRule="exact"/>
        <w:rPr>
          <w:sz w:val="20"/>
          <w:szCs w:val="20"/>
          <w:color w:val="auto"/>
        </w:rPr>
      </w:pPr>
    </w:p>
    <w:p>
      <w:pPr>
        <w:ind w:right="4380" w:firstLine="258"/>
        <w:spacing w:after="0" w:line="292" w:lineRule="auto"/>
        <w:rPr>
          <w:sz w:val="20"/>
          <w:szCs w:val="20"/>
          <w:color w:val="auto"/>
        </w:rPr>
      </w:pPr>
      <w:r>
        <w:rPr>
          <w:rFonts w:ascii="Courier New" w:cs="Courier New" w:eastAsia="Courier New" w:hAnsi="Courier New"/>
          <w:sz w:val="14"/>
          <w:szCs w:val="14"/>
          <w:color w:val="auto"/>
        </w:rPr>
        <w:t>This Proxy will be voted "FOR" the election of all nominees unless authority to do so is withheld for all nominees or for any individual nominees. PLEASE SIGN, DATE AND RETURN THIS PROXY AS PROMPTLY AS POSSIBLE IN THE POSTAGE PREPAID ENVELOPE PROVIDED.</w:t>
      </w:r>
    </w:p>
    <w:sectPr>
      <w:pgSz w:w="11900" w:h="16838" w:orient="portrait"/>
      <w:cols w:equalWidth="0" w:num="1">
        <w:col w:w="11200"/>
      </w:cols>
      <w:pgMar w:left="220" w:top="259" w:right="479" w:bottom="9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805"/>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4"/>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2019-12-13T00:09:17Z</dcterms:created>
  <dcterms:modified xsi:type="dcterms:W3CDTF">2019-12-13T00:09:17Z</dcterms:modified>
</cp:coreProperties>
</file>