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812.htm"/>
      <w:bookmarkStart w:id="1" w:name="ksdiod202608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Amendment No. 1 to Third Amended and Restated 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Effective August 12, 2026, Diodes Incorporated (the “Company”), Diodes Holdings UK Limited (the “Foreign Borrower” and, collectively with the Company, the “Borrowers”), and certain subsidiaries of the Company as guarantors, entered into the Amendment No. 1 to Third Amended and Restated Credit Agreement (the “Amendment”) that amends that certain Third Amended and Restated Credit Agreement dated as of May 26, 2023 (as amended, modified and/or supplemented from time to time prior to the date of the Amendment, the “Existing Credit Agreement”), among the Borrowers, the guarantors party thereto, the lenders party thereto, and Bank of America, N.A., as administrative agent (the “Administrative Agent”). Certain capitalized terms used in this description of the Amendment have the meanings given to them in the Amendment or the Existing Credit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Amendment amends and modifies the Company’s existing senior credit facilities under the Existing Credit Agreement to, among other things: (i) extend the maturity date of the revolving credit facility to August 12, 2031; (ii) modify the pricing grid applicable to drawn and undrawn amounts under the revolving credit facility; (iii) permit the additional indebtedness contemplated by the Company’s offering of convertible senior notes described below; (iv) amend certain financial covenants; and (v) amend certain negative covenants, in each case as more particularly described in the Amendment.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foregoing summary does not purport to be a complete summary of the Amendment and is qualified in its entirety by reference to the Amendment, a copy of which is filed herewith as Exhibit 10.1 and is incorporated by reference herein.</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Convertible Senior Notes, Capped Call Transactions and Share Repurchase</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Indenture and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18, 2026, the Company completed its previously announced private offering (the “Offering”) of $375 million aggregate principal amount of 0.00% Convertible Senior Notes due 2031 (the “Notes”), which includes the exercise in full of the initial purchasers’ option to purchase up to an additional $50.0 million principal amount of Notes. The Notes were issued pursuant to an indenture, dated August 18, 2026 (the “Indenture”), between the Company and U.S. Bank Trust Company, National Association, as trustee (the “Trustee”).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Notes are general senior unsecured obligations of the Company and will mature on August 15, 2031, unless earlier converted, redeemed or repurchased. The Notes will not bear regular interest, and the principal amount of the Notes will not accrete. Special interest will accrue on the Notes in the circumstances and at the rates provided in the Indenture. Holders may convert all or any portion of their Notes at their option at any time prior to the close of business on the business day immediately preceding May 15, 2031 only under the following circumstances: (1) at any time during the 30 consecutive trading day period beginning on, and including, the 21st trading day of any calendar quarter commencing after the calendar quarter ending on September 30, 2026, if the last reported sale price of the Company’s common stock, par value $0.66 2/3 per share (the “Common Stock”), exceeds 130% of the conversion price for each of at least five trading days (whether or not consecutive) during the first 20 consecutive trading days of such calendar quarter; (2) during the five business day period after any 10 consecutive trading day period (the “measurement period”) in which the “trading price” (as defined in the Indenture) per $1,000 principal amount of the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second scheduled trading day immediately preceding the redemption date, but only with respect to the Notes called (or deemed called) for redemption; or (4) upon the occurrence of specified corporate events as set forth in the Indenture. On or after May 15, 2031 until the close of business on the second scheduled trading day immediately preceding the maturity date, holders of the Notes may convert all or any portion of their Notes at any time, regardless of the foregoing circumstances. Upon conversion, the Company will pay cash up to the aggregate principal amount of the Notes to be converted and pay or deliver, as the case may be, cash, shares of Common Stock or a combination of cash and shares of Common Stock, at the Company’s election, in respect of the remainder, if any, of the Company’s conversion obligation in excess of the aggregate principal amount of the Notes being converted, in the manner and subject to the terms and conditions provided in the Indenture.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conversion rate for the Notes will initially be 6.8594 shares of Common Stock per $1,000 principal amount of Notes (equivalent to an initial conversion price of approximately $145.79 per share of Common Stock). The initial conversion price of the Notes represents a premium of approximately 50.0% over the last reported sale price of $97.19 per share of the Common Stock on the Nasdaq Global Select Market on August 13, 2026. The conversion rate for the Notes is subject to adjustment in some events in accordance with the terms of the Indenture but will not be adjusted for any accrued and unpaid special interest. In addition, following certain corporate events that occur prior to the maturity date of the Notes or if the Company delivers a notice of redemption, the Company will, in certain circumstances, increase the conversion rate of the Notes for a holder who elects to convert its Notes in connection with such a corporate event or convert its Notes called (or deemed called) for redemption in connection with such notice of redemption, as the case may be.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Company may not redeem the Notes prior to August 20, 2029. The Company may redeem for cash all or any portion of the Notes (subject to certain limitations described in the Indenture), at its option, on a redemption date on or after August 20, 2029 and before </w:t>
      </w:r>
    </w:p>
    <w:p>
      <w:pPr>
        <w:pStyle w:val="HorizontalLine"/>
        <w:pBdr>
          <w:bottom w:val="double" w:sz="2" w:space="0" w:color="808080"/>
        </w:pBdr>
        <w:bidi w:val="0"/>
        <w:spacing w:before="0" w:after="283"/>
        <w:jc w:val="left"/>
        <w:rPr/>
      </w:pPr>
      <w:r>
        <w:rPr/>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31st scheduled trading day immediately prior to the maturity date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special interest to, but excluding, the redemption date. No sinking fund is provided for the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any accrued and unpaid special interest to, but excluding, the fundamental change repurchase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Indenture includes customary covenants and sets forth certain events of default after which the Notes may be declared immediately due and payable, including: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default in any payment of special interest on any Note when due and payable and the default continues for a period of 30 days;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default in the payment of principal of any Note when due and payable at its stated maturity, upon optional redemption, upon any required repurchase, upon declaration of acceleration or otherwise;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failure by the Company to comply with its obligation to convert the Notes in accordance with the Indenture upon exercise of a holder’s conversion right, and such failure continues for three business days;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failure by the Company to give (i) a fundamental change notice or notice of a make-whole fundamental change, in either case when due and such failure continues for five business days, or (ii) notice of a specified corporate transaction when due and such failure continues for three business days;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failure by the Company to comply with its obligations in respect of any consolidation, merger or sale of assets;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failure by the Company to comply with any of the other agreements in the Notes or the Indenture for 60 days after receipt of written notice of such failure from the Trustee or the holders of at least 25% in principal amount of the Notes then outstanding;</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$25,000,000 (or its foreign currency equivalent), in the aggregate of the Company and/or any of the Company’s significant subsidiaries,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the Notes then outstanding in accordance with the Indenture; and</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certain events of bankruptcy, insolvency or reorganization of the Company or any of the Company’s significant subsidiaries.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certain bankruptcy and insolvency-related events of default occur with respect to the Company, the principal of, and accrued and unpaid special interest, if any,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special interest, if any, on, all the outstanding Notes to be due and payable. Notwithstanding the foregoing, the Indenture provides that, to the extent the Company so elects, the sole remedy for an event of default relating to the Company’s failure to comply with certain reporting covenants in the Indenture will, for the first 365 days after the occurrence of such an event of default, consist exclusively of the right to receive special interest on the Notes as set forth in the Indenture.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(such qualified successor entity, the “successor entity”) organized and existing under the laws of the United States of America, any State thereof or the District of Columbia, and such successor entity (if not the Company) expressly assumes by </w:t>
      </w:r>
    </w:p>
    <w:p>
      <w:pPr>
        <w:pStyle w:val="HorizontalLine"/>
        <w:pBdr>
          <w:bottom w:val="double" w:sz="2" w:space="0" w:color="808080"/>
        </w:pBdr>
        <w:bidi w:val="0"/>
        <w:spacing w:before="0" w:after="283"/>
        <w:jc w:val="left"/>
        <w:rPr/>
      </w:pPr>
      <w:r>
        <w:rPr/>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supplemental indenture all of the Company’s obligations under the Notes and the Indenture; and (ii) immediately after giving effect to such transaction, no default or event of default has occurred and is continuing under the Indenture.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copy of the Indenture is attached hereto as Exhibit 4.1 (including the form of the Notes attached hereto as Exhibit 4.2) and is incorporated herein by reference. The foregoing description of the Indenture and the Notes is qualified in its entirety by reference to such exhibit.</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13, 2026, in connection with the pricing of the Notes, and on August 14, 2026, in connection with the exercise in full by the initial purchasers of their option to purchase additional Notes, the Company entered into privately negotiated capped call transactions (the “Capped Call Transactions”) with certain of the initial purchasers of the Notes or their respective affiliates and other financial institutions (the “Option Counterparties”), pursuant to capped call confirmations in substantially in the form filed as Exhibit 10.2 to this Current Report on Form 8-K, which is incorporated herein by reference. The Capped Call Transactions cover, subject to customary adjustments substantially similar to those applicable to the Notes, the number of shares of Common Stock initially underlying the Notes. The Capped Call Transactions are expected generally to reduce the potential dilution to the Common Stock upon any conversion of the Notes and/or offset any cash payments the Company is required to make in excess of the principal amount of converted Notes, as the case may be, with such reduction and/or offset subject to a cap based on a cap price initially equal to $194.38 per share (which represents a premium of 100.0% over the last reported sale price of the Common Stock of $97.19 per share on the Nasdaq Global Select Market on August 13, 2026), and is subject to certain adjustments under the terms of the Capped Call Transactions.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Share Repurchase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Concurrently with the pricing of the Notes, the Company entered into share repurchase transactions (the “Share Repurchases”) with one of the initial purchasers (or its affiliate) (the “Repurchase Counterparty”) pursuant to which the Company repurchased approximately 0.36 million shares of Common Stock from the Repurchase Counterparty at a purchase price of $97.19 per share (which equals the last reported sale price of the Common Stock on the Nasdaq Global Select Market on August 13, 2026) for an aggregate purchase price of approximately $35.0 million.</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Proceeds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Company’s net proceeds from the Offering were approximately $364.6 million, after deducting the initial purchasers’ discounts and commissions and estimated offering expenses payable by the Company. The Company used $21.9 million of the net proceeds to pay the cost of the Capped Call Transactions and approximately $35.0 million to fund the Share Repurchases. The Company expects to use the remaining net proceeds for general corporate purposes, including potential future acquisitions.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disclosure set forth above in Item 1.01 is incorporated by reference into this Item 2.03.</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disclosure set forth above in Item 1.01 is incorporated by reference into this Item 3.02.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Company offered and sold the Notes to the initial purchasers in reliance on the exemption from registration provided by Section 4(a)(2) of the Securities Act of 1933, as amended (the “Securities Act”), and for resale by the initial purchasers to persons reasonably believed to be qualified institutional buyers pursuant to the exemption from registration provided by Section 4(a)(2) and Rule 144A under the Securities Act. The Company relied on these exemptions from registration based in part on representations made by the initial purchasers in the purchase agreement.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Notes and the shares of Common Stock issuable upon conversion of the Notes, if any, have not been registered under the Securities Act and may not be offered or sold in the United States absent registration or an applicable exemption from registration requirements. The Company does not intend to file a registration statement for the resale of the Notes or any shares of Common Stock issuable upon conversion of the Notes.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Based on the initial conversion rate, the Notes are initially convertible into 2,572,275 shares of Common Stock and, in limited circumstances, are convertible into a maximum of 3,858,413 shares of Common Stock. The Notes are subject to customary anti-dilution adjustment provisions. 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w:t>
      </w:r>
    </w:p>
    <w:p>
      <w:pPr>
        <w:pStyle w:val="HorizontalLine"/>
        <w:pBdr>
          <w:bottom w:val="double" w:sz="2" w:space="0" w:color="808080"/>
        </w:pBdr>
        <w:bidi w:val="0"/>
        <w:spacing w:before="0" w:after="283"/>
        <w:jc w:val="left"/>
        <w:rPr/>
      </w:pPr>
      <w:r>
        <w:rPr/>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Press Releases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13, 2026, the Company issued a press release announcing the proposed Offering. A copy of the press release is attached hereto as Exhibit 99.1 and incorporated herein by reference.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On August 14, 2026, the Company issued a press release announcing the pricing of the Notes. A copy of the press release is attached hereto as Exhibit 99.2 and is incorporated herein by reference.</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Forward-Looking Statements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Any statements made in this Current Report on Form 8-K that are not based on historical fact are forward-looking statements, including statements concerning Capped Call Transactions, including the potential dilution reduction, the conversion of the Notes, the anticipated use of proceeds from the Offering, the share repurchase, and the amendment to the Company’s credit agreement. The words “believe,” “may,” “will,” “estimate,” “continue,” “anticipate,” “intend,” “expect,” “plan,” “project,” and similar expressions are intended to identify forward-looking statements. Any forward-looking statements made in this report represent management’s best judgment as to what may occur in the future. However, the Company’s actual outcome and results are not guaranteed and are subject to certain risks, uncertainties and assumptions, and may differ materially from what is expressed. For a description of factors that could cause actual results to differ materially from such forward-looking statements, see the discussion under the section “Risk Factors” included in the Company’s most recent Annual Report on Form 10-K and Quarterly Reports on Form 10-Q filed with the Securities and Exchange Commission. All forward-looking statements contained in this report speak only as of the date on which they were made. The Company undertakes no obligation to update such statements to reflect events that occur or circumstances that exist after the date on which they were made.</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88"/>
        <w:gridCol w:w="9217"/>
      </w:tblGrid>
      <w:tr>
        <w:trPr/>
        <w:tc>
          <w:tcPr>
            <w:tcW w:w="988" w:type="dxa"/>
            <w:tcBorders/>
            <w:vAlign w:val="center"/>
          </w:tcPr>
          <w:p>
            <w:pPr>
              <w:pStyle w:val="TableContents"/>
              <w:bidi w:val="0"/>
              <w:spacing w:before="0" w:after="283"/>
              <w:jc w:val="left"/>
              <w:rPr>
                <w:sz w:val="4"/>
                <w:szCs w:val="4"/>
              </w:rPr>
            </w:pPr>
            <w:r>
              <w:rPr>
                <w:sz w:val="4"/>
                <w:szCs w:val="4"/>
              </w:rPr>
            </w:r>
          </w:p>
        </w:tc>
        <w:tc>
          <w:tcPr>
            <w:tcW w:w="9217" w:type="dxa"/>
            <w:tcBorders/>
            <w:vAlign w:val="center"/>
          </w:tcPr>
          <w:p>
            <w:pPr>
              <w:pStyle w:val="TableContents"/>
              <w:bidi w:val="0"/>
              <w:spacing w:before="0" w:after="283"/>
              <w:jc w:val="left"/>
              <w:rPr>
                <w:sz w:val="4"/>
                <w:szCs w:val="4"/>
              </w:rPr>
            </w:pPr>
            <w:r>
              <w:rPr>
                <w:sz w:val="4"/>
                <w:szCs w:val="4"/>
              </w:rPr>
            </w:r>
          </w:p>
        </w:tc>
      </w:tr>
      <w:tr>
        <w:trPr/>
        <w:tc>
          <w:tcPr>
            <w:tcW w:w="9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92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w:t>
            </w:r>
          </w:p>
        </w:tc>
        <w:tc>
          <w:tcPr>
            <w:tcW w:w="9217" w:type="dxa"/>
            <w:tcBorders/>
            <w:tcMar>
              <w:top w:w="0" w:type="dxa"/>
              <w:left w:w="0" w:type="dxa"/>
              <w:bottom w:w="0" w:type="dxa"/>
              <w:right w:w="0" w:type="dxa"/>
            </w:tcMar>
            <w:vAlign w:val="center"/>
          </w:tcPr>
          <w:p>
            <w:pPr>
              <w:pStyle w:val="TableContents"/>
              <w:bidi w:val="0"/>
              <w:spacing w:before="0" w:after="60"/>
              <w:jc w:val="left"/>
              <w:rPr/>
            </w:pPr>
            <w:hyperlink w:anchor="diod-ex4_1.htm">
              <w:r>
                <w:rPr>
                  <w:rStyle w:val="InternetLink"/>
                  <w:rFonts w:ascii="Times New Roman" w:hAnsi="Times New Roman"/>
                  <w:color w:val="0000FF"/>
                  <w:sz w:val="20"/>
                  <w:u w:val="single"/>
                </w:rPr>
                <w:t>Indenture, dated as of August 18, 2026, by and between Diodes Incorporated and U.S. Bank Trust Company, National Association, as Trustee (including the form of the Notes attached thereto as Exhibit A).</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w:t>
            </w:r>
          </w:p>
        </w:tc>
        <w:tc>
          <w:tcPr>
            <w:tcW w:w="9217" w:type="dxa"/>
            <w:tcBorders/>
            <w:tcMar>
              <w:top w:w="0" w:type="dxa"/>
              <w:left w:w="0" w:type="dxa"/>
              <w:bottom w:w="0" w:type="dxa"/>
              <w:right w:w="0" w:type="dxa"/>
            </w:tcMar>
            <w:vAlign w:val="center"/>
          </w:tcPr>
          <w:p>
            <w:pPr>
              <w:pStyle w:val="TableContents"/>
              <w:bidi w:val="0"/>
              <w:spacing w:before="0" w:after="283"/>
              <w:jc w:val="left"/>
              <w:rPr/>
            </w:pPr>
            <w:hyperlink w:anchor="diod-ex4_1.htm">
              <w:r>
                <w:rPr>
                  <w:rStyle w:val="InternetLink"/>
                  <w:rFonts w:ascii="Times New Roman" w:hAnsi="Times New Roman"/>
                  <w:color w:val="0000FF"/>
                  <w:sz w:val="20"/>
                  <w:u w:val="single"/>
                </w:rPr>
                <w:t>Form of Global Note representing Diodes Incorporated’s 0.00% Convertible Senior Notes due 2031 (included as Exhibit A to the Indenture filed as Exhibit 4.1).</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9217" w:type="dxa"/>
            <w:tcBorders/>
            <w:tcMar>
              <w:top w:w="0" w:type="dxa"/>
              <w:left w:w="0" w:type="dxa"/>
              <w:bottom w:w="0" w:type="dxa"/>
              <w:right w:w="0" w:type="dxa"/>
            </w:tcMar>
            <w:vAlign w:val="center"/>
          </w:tcPr>
          <w:p>
            <w:pPr>
              <w:pStyle w:val="TableContents"/>
              <w:bidi w:val="0"/>
              <w:spacing w:before="0" w:after="60"/>
              <w:jc w:val="left"/>
              <w:rPr/>
            </w:pPr>
            <w:hyperlink w:anchor="diod-ex10_1.htm">
              <w:r>
                <w:rPr>
                  <w:rStyle w:val="InternetLink"/>
                  <w:rFonts w:ascii="Times New Roman" w:hAnsi="Times New Roman"/>
                  <w:color w:val="0000FF"/>
                  <w:sz w:val="20"/>
                  <w:u w:val="single"/>
                </w:rPr>
                <w:t>Amendment No. 1 to Third Amended and Restated Credit Agreement, dated as of August 12, 2026, by and among Diodes Incorporated, Diodes Holding UK Limited, certain subsidiaries of Diodes Incorporated party thereto, Bank of America, N.A., as Administrative Agent, and the Lenders party thereto.*</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10.2</w:t>
            </w:r>
          </w:p>
        </w:tc>
        <w:tc>
          <w:tcPr>
            <w:tcW w:w="9217" w:type="dxa"/>
            <w:tcBorders/>
            <w:tcMar>
              <w:top w:w="0" w:type="dxa"/>
              <w:left w:w="0" w:type="dxa"/>
              <w:bottom w:w="0" w:type="dxa"/>
              <w:right w:w="0" w:type="dxa"/>
            </w:tcMar>
            <w:vAlign w:val="center"/>
          </w:tcPr>
          <w:p>
            <w:pPr>
              <w:pStyle w:val="TableContents"/>
              <w:bidi w:val="0"/>
              <w:spacing w:before="0" w:after="60"/>
              <w:jc w:val="left"/>
              <w:rPr/>
            </w:pPr>
            <w:hyperlink w:anchor="diod-ex10_2.htm">
              <w:r>
                <w:rPr>
                  <w:rStyle w:val="InternetLink"/>
                  <w:rFonts w:ascii="Times New Roman" w:hAnsi="Times New Roman"/>
                  <w:color w:val="0000FF"/>
                  <w:sz w:val="20"/>
                  <w:u w:val="single"/>
                </w:rPr>
                <w:t>Form of Confirmation for Capped Call Transactions.</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9217" w:type="dxa"/>
            <w:tcBorders/>
            <w:tcMar>
              <w:top w:w="0" w:type="dxa"/>
              <w:left w:w="0" w:type="dxa"/>
              <w:bottom w:w="0" w:type="dxa"/>
              <w:right w:w="0" w:type="dxa"/>
            </w:tcMar>
            <w:vAlign w:val="center"/>
          </w:tcPr>
          <w:p>
            <w:pPr>
              <w:pStyle w:val="TableContents"/>
              <w:bidi w:val="0"/>
              <w:spacing w:before="0" w:after="60"/>
              <w:jc w:val="left"/>
              <w:rPr/>
            </w:pPr>
            <w:hyperlink w:anchor="diod-ex99_1.htm">
              <w:r>
                <w:rPr>
                  <w:rStyle w:val="InternetLink"/>
                  <w:rFonts w:ascii="Times New Roman" w:hAnsi="Times New Roman"/>
                  <w:color w:val="0000FF"/>
                  <w:sz w:val="20"/>
                  <w:u w:val="single"/>
                </w:rPr>
                <w:t>Press release titled “Diodes Incorporated Announces Proposed Private Placement of $325 Million of Convertible Senior Notes” dated August 13, 2026.</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99.2</w:t>
            </w:r>
          </w:p>
        </w:tc>
        <w:tc>
          <w:tcPr>
            <w:tcW w:w="9217" w:type="dxa"/>
            <w:tcBorders/>
            <w:tcMar>
              <w:top w:w="0" w:type="dxa"/>
              <w:left w:w="0" w:type="dxa"/>
              <w:bottom w:w="0" w:type="dxa"/>
              <w:right w:w="0" w:type="dxa"/>
            </w:tcMar>
            <w:vAlign w:val="center"/>
          </w:tcPr>
          <w:p>
            <w:pPr>
              <w:pStyle w:val="TableContents"/>
              <w:bidi w:val="0"/>
              <w:spacing w:before="0" w:after="283"/>
              <w:jc w:val="left"/>
              <w:rPr/>
            </w:pPr>
            <w:hyperlink w:anchor="diod-ex99_2.htm">
              <w:r>
                <w:rPr>
                  <w:rStyle w:val="InternetLink"/>
                  <w:rFonts w:ascii="Times New Roman" w:hAnsi="Times New Roman"/>
                  <w:color w:val="0000FF"/>
                  <w:sz w:val="20"/>
                  <w:u w:val="single"/>
                </w:rPr>
                <w:t>Press release titled “Diodes Incorporated Announces Pricing of Private Placement of Convertible Senior Notes,” dated August 14, 2026</w:t>
              </w:r>
            </w:hyperlink>
          </w:p>
        </w:tc>
      </w:tr>
      <w:tr>
        <w:trPr/>
        <w:tc>
          <w:tcPr>
            <w:tcW w:w="98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921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both"/>
        <w:rPr>
          <w:rFonts w:ascii="Times New Roman" w:hAnsi="Times New Roman"/>
          <w:color w:val="000000"/>
          <w:sz w:val="20"/>
        </w:rPr>
      </w:pPr>
      <w:r>
        <w:rPr>
          <w:rFonts w:ascii="Times New Roman" w:hAnsi="Times New Roman"/>
          <w:color w:val="000000"/>
          <w:sz w:val="20"/>
        </w:rPr>
        <w:t>* Schedules and similar attachments have been omitted pursuant to Item 601(a)(5) of Regulation S-K. A copy of any omitted</w:t>
      </w:r>
    </w:p>
    <w:p>
      <w:pPr>
        <w:pStyle w:val="TextBody"/>
        <w:bidi w:val="0"/>
        <w:jc w:val="both"/>
        <w:rPr>
          <w:rFonts w:ascii="Times New Roman" w:hAnsi="Times New Roman"/>
          <w:color w:val="000000"/>
          <w:sz w:val="20"/>
        </w:rPr>
      </w:pPr>
      <w:r>
        <w:rPr>
          <w:rFonts w:ascii="Times New Roman" w:hAnsi="Times New Roman"/>
          <w:color w:val="000000"/>
          <w:sz w:val="20"/>
        </w:rPr>
        <w:t>schedule will be furnished supplementally to the SEC upon request.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834" w:type="dxa"/>
        <w:jc w:val="left"/>
        <w:tblInd w:w="0" w:type="dxa"/>
        <w:tblLayout w:type="fixed"/>
        <w:tblCellMar>
          <w:top w:w="28" w:type="dxa"/>
          <w:left w:w="28" w:type="dxa"/>
          <w:bottom w:w="28" w:type="dxa"/>
          <w:right w:w="28" w:type="dxa"/>
        </w:tblCellMar>
      </w:tblPr>
      <w:tblGrid>
        <w:gridCol w:w="556"/>
        <w:gridCol w:w="145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2" w:name="diod-ex4_1.htm"/>
      <w:bookmarkStart w:id="3" w:name="ksdiodex4_1"/>
      <w:bookmarkEnd w:id="2"/>
      <w:bookmarkEnd w:id="3"/>
      <w:r>
        <w:rPr>
          <w:rFonts w:ascii="Times New Roman" w:hAnsi="Times New Roman"/>
          <w:b/>
          <w:color w:val="000000"/>
          <w:sz w:val="24"/>
        </w:rPr>
        <w:t>Exhibit 4.1</w:t>
      </w:r>
      <w:r>
        <w:br w:type="page"/>
      </w:r>
    </w:p>
    <w:p>
      <w:pPr>
        <w:pStyle w:val="TextBody"/>
        <w:bidi w:val="0"/>
        <w:spacing w:before="0" w:after="240"/>
        <w:jc w:val="right"/>
        <w:rPr>
          <w:rFonts w:ascii="Times New Roman" w:hAnsi="Times New Roman"/>
          <w:b/>
          <w:i/>
          <w:color w:val="000000"/>
          <w:sz w:val="24"/>
        </w:rPr>
      </w:pPr>
      <w:r>
        <w:rPr>
          <w:rFonts w:ascii="Times New Roman" w:hAnsi="Times New Roman"/>
          <w:b/>
          <w:i/>
          <w:color w:val="000000"/>
          <w:sz w:val="24"/>
        </w:rPr>
        <w:t>Execution Version</w:t>
      </w:r>
    </w:p>
    <w:p>
      <w:pPr>
        <w:pStyle w:val="TextBody"/>
        <w:pBdr>
          <w:bottom w:val="double" w:sz="4" w:space="1" w:color="000000"/>
        </w:pBdr>
        <w:bidi w:val="0"/>
        <w:spacing w:before="0" w:after="56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560"/>
        <w:jc w:val="center"/>
        <w:rPr>
          <w:rFonts w:ascii="Times New Roman" w:hAnsi="Times New Roman"/>
          <w:color w:val="000000"/>
          <w:sz w:val="24"/>
        </w:rPr>
      </w:pPr>
      <w:r>
        <w:rPr>
          <w:rFonts w:ascii="Times New Roman" w:hAnsi="Times New Roman"/>
          <w:color w:val="000000"/>
          <w:sz w:val="24"/>
        </w:rPr>
        <w:t>DIODES INCORPORATED</w:t>
        <w:br/>
        <w:br/>
        <w:br/>
        <w:br/>
        <w:t>AND</w:t>
        <w:br/>
        <w:br/>
        <w:br/>
        <w:br/>
        <w:t>U.S. BANK TRUST COMPANY, NATIONAL ASSOCIATION,</w:t>
        <w:br/>
        <w:br/>
        <w:br/>
        <w:br/>
        <w:t>as Trustee</w:t>
        <w:br/>
        <w:br/>
        <w:br/>
        <w:br/>
        <w:t>INDENTURE</w:t>
        <w:br/>
        <w:br/>
        <w:br/>
        <w:br/>
        <w:t>Dated as of August 18, 2026</w:t>
      </w:r>
    </w:p>
    <w:p>
      <w:pPr>
        <w:pStyle w:val="TextBody"/>
        <w:bidi w:val="0"/>
        <w:spacing w:before="160" w:after="400"/>
        <w:jc w:val="center"/>
        <w:rPr>
          <w:rFonts w:ascii="Times New Roman" w:hAnsi="Times New Roman"/>
          <w:color w:val="000000"/>
          <w:sz w:val="24"/>
        </w:rPr>
      </w:pPr>
      <w:r>
        <w:rPr>
          <w:rFonts w:ascii="Times New Roman" w:hAnsi="Times New Roman"/>
          <w:color w:val="000000"/>
          <w:sz w:val="24"/>
        </w:rPr>
        <w:t>0.00% Convertible Senior Notes due 2031</w:t>
      </w:r>
    </w:p>
    <w:p>
      <w:pPr>
        <w:pStyle w:val="TextBody"/>
        <w:pBdr>
          <w:bottom w:val="double" w:sz="4" w:space="1" w:color="000000"/>
        </w:pBdr>
        <w:bidi w:val="0"/>
        <w:spacing w:before="0" w:after="56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TABLE OF CONTENTS</w:t>
      </w:r>
    </w:p>
    <w:p>
      <w:pPr>
        <w:pStyle w:val="TextBody"/>
        <w:pBdr>
          <w:top w:val="single" w:sz="4" w:space="1" w:color="000000"/>
        </w:pBdr>
        <w:bidi w:val="0"/>
        <w:jc w:val="center"/>
        <w:rPr/>
      </w:pPr>
      <w:r>
        <w:rPr/>
        <w:t> </w:t>
      </w:r>
    </w:p>
    <w:p>
      <w:pPr>
        <w:pStyle w:val="TextBody"/>
        <w:bidi w:val="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8432"/>
        <w:gridCol w:w="1773"/>
      </w:tblGrid>
      <w:tr>
        <w:trPr/>
        <w:tc>
          <w:tcPr>
            <w:tcW w:w="843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w:t>
              <w:br/>
              <w:t>Definitions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1.01 </w:t>
            </w:r>
            <w:r>
              <w:rPr>
                <w:rFonts w:ascii="Times New Roman" w:hAnsi="Times New Roman"/>
                <w:i/>
                <w:color w:val="000000"/>
                <w:sz w:val="24"/>
              </w:rPr>
              <w:t>. Definitions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1.02 </w:t>
            </w:r>
            <w:r>
              <w:rPr>
                <w:rFonts w:ascii="Times New Roman" w:hAnsi="Times New Roman"/>
                <w:i/>
                <w:color w:val="000000"/>
                <w:sz w:val="24"/>
              </w:rPr>
              <w:t>. References to Interest</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2</w:t>
              <w:br/>
              <w:t>Issue, Description, Execution, Registration and Exchange of Notes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2.01 </w:t>
            </w:r>
            <w:r>
              <w:rPr>
                <w:rFonts w:ascii="Times New Roman" w:hAnsi="Times New Roman"/>
                <w:i/>
                <w:color w:val="000000"/>
                <w:sz w:val="24"/>
              </w:rPr>
              <w:t>. Designation and Amount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2.02 </w:t>
            </w:r>
            <w:r>
              <w:rPr>
                <w:rFonts w:ascii="Times New Roman" w:hAnsi="Times New Roman"/>
                <w:i/>
                <w:color w:val="000000"/>
                <w:sz w:val="24"/>
              </w:rPr>
              <w:t>. Form of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2.03 </w:t>
            </w:r>
            <w:r>
              <w:rPr>
                <w:rFonts w:ascii="Times New Roman" w:hAnsi="Times New Roman"/>
                <w:i/>
                <w:color w:val="000000"/>
                <w:sz w:val="24"/>
              </w:rPr>
              <w:t>. Date and Denomination of Notes; No Regular Interest; Special Interest and Defaulted Amounts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2.04 </w:t>
            </w:r>
            <w:r>
              <w:rPr>
                <w:rFonts w:ascii="Times New Roman" w:hAnsi="Times New Roman"/>
                <w:i/>
                <w:color w:val="000000"/>
                <w:sz w:val="24"/>
              </w:rPr>
              <w:t>. Execution, Authentication and Delivery of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2.05 </w:t>
            </w:r>
            <w:r>
              <w:rPr>
                <w:rFonts w:ascii="Times New Roman" w:hAnsi="Times New Roman"/>
                <w:i/>
                <w:color w:val="000000"/>
                <w:sz w:val="24"/>
              </w:rPr>
              <w:t>. Exchange and Registration of Transfer of Notes; Restrictions on Transfer; Depositary.</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19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2.06 </w:t>
            </w:r>
            <w:r>
              <w:rPr>
                <w:rFonts w:ascii="Times New Roman" w:hAnsi="Times New Roman"/>
                <w:i/>
                <w:color w:val="000000"/>
                <w:sz w:val="24"/>
              </w:rPr>
              <w:t>. Mutilated, Destroyed, Lost or Stolen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2.07 </w:t>
            </w:r>
            <w:r>
              <w:rPr>
                <w:rFonts w:ascii="Times New Roman" w:hAnsi="Times New Roman"/>
                <w:i/>
                <w:color w:val="000000"/>
                <w:sz w:val="24"/>
              </w:rPr>
              <w:t>. Temporary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2.08 </w:t>
            </w:r>
            <w:r>
              <w:rPr>
                <w:rFonts w:ascii="Times New Roman" w:hAnsi="Times New Roman"/>
                <w:i/>
                <w:color w:val="000000"/>
                <w:sz w:val="24"/>
              </w:rPr>
              <w:t>. Cancellation of Notes Paid, Converted,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2.09 </w:t>
            </w:r>
            <w:r>
              <w:rPr>
                <w:rFonts w:ascii="Times New Roman" w:hAnsi="Times New Roman"/>
                <w:i/>
                <w:color w:val="000000"/>
                <w:sz w:val="24"/>
              </w:rPr>
              <w:t>. CUSIP Numbers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2.10 </w:t>
            </w:r>
            <w:r>
              <w:rPr>
                <w:rFonts w:ascii="Times New Roman" w:hAnsi="Times New Roman"/>
                <w:i/>
                <w:color w:val="000000"/>
                <w:sz w:val="24"/>
              </w:rPr>
              <w:t>. Additional Notes; Repurchases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3</w:t>
              <w:br/>
              <w:t>Satisfaction and Discharge</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3.01 </w:t>
            </w:r>
            <w:r>
              <w:rPr>
                <w:rFonts w:ascii="Times New Roman" w:hAnsi="Times New Roman"/>
                <w:i/>
                <w:color w:val="000000"/>
                <w:sz w:val="24"/>
              </w:rPr>
              <w:t>. Satisfaction and Discharge</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4</w:t>
              <w:br/>
              <w:t>Particular Covenants of the Company</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4.01 </w:t>
            </w:r>
            <w:r>
              <w:rPr>
                <w:rFonts w:ascii="Times New Roman" w:hAnsi="Times New Roman"/>
                <w:i/>
                <w:color w:val="000000"/>
                <w:sz w:val="24"/>
              </w:rPr>
              <w:t>. Payment of Principal and Special Interest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4.02 </w:t>
            </w:r>
            <w:r>
              <w:rPr>
                <w:rFonts w:ascii="Times New Roman" w:hAnsi="Times New Roman"/>
                <w:i/>
                <w:color w:val="000000"/>
                <w:sz w:val="24"/>
              </w:rPr>
              <w:t>. Maintenance of Office or Agency</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29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4.03 </w:t>
            </w:r>
            <w:r>
              <w:rPr>
                <w:rFonts w:ascii="Times New Roman" w:hAnsi="Times New Roman"/>
                <w:i/>
                <w:color w:val="000000"/>
                <w:sz w:val="24"/>
              </w:rPr>
              <w:t>. Appointments to Fill Vacancies in Trustee’s Office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4.04 </w:t>
            </w:r>
            <w:r>
              <w:rPr>
                <w:rFonts w:ascii="Times New Roman" w:hAnsi="Times New Roman"/>
                <w:i/>
                <w:color w:val="000000"/>
                <w:sz w:val="24"/>
              </w:rPr>
              <w:t>. Provisions as to Paying Agent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4.05 </w:t>
            </w:r>
            <w:r>
              <w:rPr>
                <w:rFonts w:ascii="Times New Roman" w:hAnsi="Times New Roman"/>
                <w:i/>
                <w:color w:val="000000"/>
                <w:sz w:val="24"/>
              </w:rPr>
              <w:t>. Existence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4.06 </w:t>
            </w:r>
            <w:r>
              <w:rPr>
                <w:rFonts w:ascii="Times New Roman" w:hAnsi="Times New Roman"/>
                <w:i/>
                <w:color w:val="000000"/>
                <w:sz w:val="24"/>
              </w:rPr>
              <w:t>. Rule 144A Information Requirement and Annual Reports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4.07 </w:t>
            </w:r>
            <w:r>
              <w:rPr>
                <w:rFonts w:ascii="Times New Roman" w:hAnsi="Times New Roman"/>
                <w:i/>
                <w:color w:val="000000"/>
                <w:sz w:val="24"/>
              </w:rPr>
              <w:t>. Stay, Extension and Usury Laws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4.08 </w:t>
            </w:r>
            <w:r>
              <w:rPr>
                <w:rFonts w:ascii="Times New Roman" w:hAnsi="Times New Roman"/>
                <w:i/>
                <w:color w:val="000000"/>
                <w:sz w:val="24"/>
              </w:rPr>
              <w:t>. Compliance Certificate; Statements as to Defaults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4.09 </w:t>
            </w:r>
            <w:r>
              <w:rPr>
                <w:rFonts w:ascii="Times New Roman" w:hAnsi="Times New Roman"/>
                <w:i/>
                <w:color w:val="000000"/>
                <w:sz w:val="24"/>
              </w:rPr>
              <w:t>. Further Instruments and Acts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432"/>
        <w:gridCol w:w="1773"/>
      </w:tblGrid>
      <w:tr>
        <w:trPr/>
        <w:tc>
          <w:tcPr>
            <w:tcW w:w="843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5</w:t>
              <w:br/>
              <w:t>Lists of Holders and Reports by the Company and the Trustee</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5.01 </w:t>
            </w:r>
            <w:r>
              <w:rPr>
                <w:rFonts w:ascii="Times New Roman" w:hAnsi="Times New Roman"/>
                <w:i/>
                <w:color w:val="000000"/>
                <w:sz w:val="24"/>
              </w:rPr>
              <w:t>. Lists of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5.02 </w:t>
            </w:r>
            <w:r>
              <w:rPr>
                <w:rFonts w:ascii="Times New Roman" w:hAnsi="Times New Roman"/>
                <w:i/>
                <w:color w:val="000000"/>
                <w:sz w:val="24"/>
              </w:rPr>
              <w:t>. Preservation and Disclosure of Lists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6</w:t>
              <w:br/>
              <w:t>Defaults and Remedies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6.01 </w:t>
            </w:r>
            <w:r>
              <w:rPr>
                <w:rFonts w:ascii="Times New Roman" w:hAnsi="Times New Roman"/>
                <w:i/>
                <w:color w:val="000000"/>
                <w:sz w:val="24"/>
              </w:rPr>
              <w:t>. Events of Default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6.02 . </w:t>
            </w:r>
            <w:r>
              <w:rPr>
                <w:rFonts w:ascii="Times New Roman" w:hAnsi="Times New Roman"/>
                <w:i/>
                <w:color w:val="000000"/>
                <w:sz w:val="24"/>
              </w:rPr>
              <w:t>Acceleration; Rescission and Annulment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6.03 . </w:t>
            </w:r>
            <w:r>
              <w:rPr>
                <w:rFonts w:ascii="Times New Roman" w:hAnsi="Times New Roman"/>
                <w:i/>
                <w:color w:val="000000"/>
                <w:sz w:val="24"/>
              </w:rPr>
              <w:t>Special Interest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6.04 </w:t>
            </w:r>
            <w:r>
              <w:rPr>
                <w:rFonts w:ascii="Times New Roman" w:hAnsi="Times New Roman"/>
                <w:i/>
                <w:color w:val="000000"/>
                <w:sz w:val="24"/>
              </w:rPr>
              <w:t>. Payments of Notes on Default; Suit Therefor</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39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6.05 </w:t>
            </w:r>
            <w:r>
              <w:rPr>
                <w:rFonts w:ascii="Times New Roman" w:hAnsi="Times New Roman"/>
                <w:i/>
                <w:color w:val="000000"/>
                <w:sz w:val="24"/>
              </w:rPr>
              <w:t>. Application of Monies Collected by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6.06 </w:t>
            </w:r>
            <w:r>
              <w:rPr>
                <w:rFonts w:ascii="Times New Roman" w:hAnsi="Times New Roman"/>
                <w:i/>
                <w:color w:val="000000"/>
                <w:sz w:val="24"/>
              </w:rPr>
              <w:t>. Proceedings by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6.07 </w:t>
            </w:r>
            <w:r>
              <w:rPr>
                <w:rFonts w:ascii="Times New Roman" w:hAnsi="Times New Roman"/>
                <w:i/>
                <w:color w:val="000000"/>
                <w:sz w:val="24"/>
              </w:rPr>
              <w:t>. Proceedings by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6.08 </w:t>
            </w:r>
            <w:r>
              <w:rPr>
                <w:rFonts w:ascii="Times New Roman" w:hAnsi="Times New Roman"/>
                <w:i/>
                <w:color w:val="000000"/>
                <w:sz w:val="24"/>
              </w:rPr>
              <w:t>. Remedies Cumulative and Continuing</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6.09 </w:t>
            </w:r>
            <w:r>
              <w:rPr>
                <w:rFonts w:ascii="Times New Roman" w:hAnsi="Times New Roman"/>
                <w:i/>
                <w:color w:val="000000"/>
                <w:sz w:val="24"/>
              </w:rPr>
              <w:t>. Direction of Proceedings and Waiver of Defaults by Majority of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6.10 </w:t>
            </w:r>
            <w:r>
              <w:rPr>
                <w:rFonts w:ascii="Times New Roman" w:hAnsi="Times New Roman"/>
                <w:i/>
                <w:color w:val="000000"/>
                <w:sz w:val="24"/>
              </w:rPr>
              <w:t>. Notice of Defaults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6.11 </w:t>
            </w:r>
            <w:r>
              <w:rPr>
                <w:rFonts w:ascii="Times New Roman" w:hAnsi="Times New Roman"/>
                <w:i/>
                <w:color w:val="000000"/>
                <w:sz w:val="24"/>
              </w:rPr>
              <w:t>. Undertaking to Pay Costs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7</w:t>
              <w:br/>
              <w:t>Concerning the Trustee</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7.01 </w:t>
            </w:r>
            <w:r>
              <w:rPr>
                <w:rFonts w:ascii="Times New Roman" w:hAnsi="Times New Roman"/>
                <w:i/>
                <w:color w:val="000000"/>
                <w:sz w:val="24"/>
              </w:rPr>
              <w:t>. Duties and Responsibilities of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7.02 </w:t>
            </w:r>
            <w:r>
              <w:rPr>
                <w:rFonts w:ascii="Times New Roman" w:hAnsi="Times New Roman"/>
                <w:i/>
                <w:color w:val="000000"/>
                <w:sz w:val="24"/>
              </w:rPr>
              <w:t>. Reliance on Documents, Opinions,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7.03 </w:t>
            </w:r>
            <w:r>
              <w:rPr>
                <w:rFonts w:ascii="Times New Roman" w:hAnsi="Times New Roman"/>
                <w:i/>
                <w:color w:val="000000"/>
                <w:sz w:val="24"/>
              </w:rPr>
              <w:t>. No Responsibility for Recitals,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7.04 </w:t>
            </w:r>
            <w:r>
              <w:rPr>
                <w:rFonts w:ascii="Times New Roman" w:hAnsi="Times New Roman"/>
                <w:i/>
                <w:color w:val="000000"/>
                <w:sz w:val="24"/>
              </w:rPr>
              <w:t>. Trustee, Paying Agents, Conversion Agents, Bid Solicitation Agent or Note Registrar May Own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7.05 </w:t>
            </w:r>
            <w:r>
              <w:rPr>
                <w:rFonts w:ascii="Times New Roman" w:hAnsi="Times New Roman"/>
                <w:i/>
                <w:color w:val="000000"/>
                <w:sz w:val="24"/>
              </w:rPr>
              <w:t>. Monies and Shares of Common Stock To Be Held in Trust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7.06 </w:t>
            </w:r>
            <w:r>
              <w:rPr>
                <w:rFonts w:ascii="Times New Roman" w:hAnsi="Times New Roman"/>
                <w:i/>
                <w:color w:val="000000"/>
                <w:sz w:val="24"/>
              </w:rPr>
              <w:t>. Compensation and Expenses of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7.07 </w:t>
            </w:r>
            <w:r>
              <w:rPr>
                <w:rFonts w:ascii="Times New Roman" w:hAnsi="Times New Roman"/>
                <w:i/>
                <w:color w:val="000000"/>
                <w:sz w:val="24"/>
              </w:rPr>
              <w:t>. Officer’s Certificate as Evidence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49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7.08 </w:t>
            </w:r>
            <w:r>
              <w:rPr>
                <w:rFonts w:ascii="Times New Roman" w:hAnsi="Times New Roman"/>
                <w:i/>
                <w:color w:val="000000"/>
                <w:sz w:val="24"/>
              </w:rPr>
              <w:t>. Eligibility of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7.09 </w:t>
            </w:r>
            <w:r>
              <w:rPr>
                <w:rFonts w:ascii="Times New Roman" w:hAnsi="Times New Roman"/>
                <w:i/>
                <w:color w:val="000000"/>
                <w:sz w:val="24"/>
              </w:rPr>
              <w:t>. Resignation or Removal of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7.10 </w:t>
            </w:r>
            <w:r>
              <w:rPr>
                <w:rFonts w:ascii="Times New Roman" w:hAnsi="Times New Roman"/>
                <w:i/>
                <w:color w:val="000000"/>
                <w:sz w:val="24"/>
              </w:rPr>
              <w:t>. Acceptance by Successor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7.11 </w:t>
            </w:r>
            <w:r>
              <w:rPr>
                <w:rFonts w:ascii="Times New Roman" w:hAnsi="Times New Roman"/>
                <w:i/>
                <w:color w:val="000000"/>
                <w:sz w:val="24"/>
              </w:rPr>
              <w:t>. Succession by Merger,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7.12 </w:t>
            </w:r>
            <w:r>
              <w:rPr>
                <w:rFonts w:ascii="Times New Roman" w:hAnsi="Times New Roman"/>
                <w:i/>
                <w:color w:val="000000"/>
                <w:sz w:val="24"/>
              </w:rPr>
              <w:t>. Trustee’s Application for Instructions from the Company</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8</w:t>
              <w:br/>
              <w:t>Concerning the Holders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8.01 </w:t>
            </w:r>
            <w:r>
              <w:rPr>
                <w:rFonts w:ascii="Times New Roman" w:hAnsi="Times New Roman"/>
                <w:i/>
                <w:color w:val="000000"/>
                <w:sz w:val="24"/>
              </w:rPr>
              <w:t>. Action by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8.02 </w:t>
            </w:r>
            <w:r>
              <w:rPr>
                <w:rFonts w:ascii="Times New Roman" w:hAnsi="Times New Roman"/>
                <w:i/>
                <w:color w:val="000000"/>
                <w:sz w:val="24"/>
              </w:rPr>
              <w:t>. Proof of Execution by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8.03 </w:t>
            </w:r>
            <w:r>
              <w:rPr>
                <w:rFonts w:ascii="Times New Roman" w:hAnsi="Times New Roman"/>
                <w:i/>
                <w:color w:val="000000"/>
                <w:sz w:val="24"/>
              </w:rPr>
              <w:t>. Who Are Deemed Absolute Owners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8.04 </w:t>
            </w:r>
            <w:r>
              <w:rPr>
                <w:rFonts w:ascii="Times New Roman" w:hAnsi="Times New Roman"/>
                <w:i/>
                <w:color w:val="000000"/>
                <w:sz w:val="24"/>
              </w:rPr>
              <w:t>. Company-Owned Notes Disregarded</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432"/>
        <w:gridCol w:w="1773"/>
      </w:tblGrid>
      <w:tr>
        <w:trPr/>
        <w:tc>
          <w:tcPr>
            <w:tcW w:w="843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ind w:left="0" w:right="0" w:firstLine="1382"/>
              <w:jc w:val="left"/>
              <w:rPr>
                <w:sz w:val="4"/>
                <w:szCs w:val="4"/>
              </w:rPr>
            </w:pPr>
            <w:r>
              <w:rPr>
                <w:sz w:val="4"/>
                <w:szCs w:val="4"/>
              </w:rPr>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8.05 </w:t>
            </w:r>
            <w:r>
              <w:rPr>
                <w:rFonts w:ascii="Times New Roman" w:hAnsi="Times New Roman"/>
                <w:i/>
                <w:color w:val="000000"/>
                <w:sz w:val="24"/>
              </w:rPr>
              <w:t>. Revocation of Consents; Future Holders Bound</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9</w:t>
              <w:br/>
              <w:t>Holders’ Meetings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9.01 </w:t>
            </w:r>
            <w:r>
              <w:rPr>
                <w:rFonts w:ascii="Times New Roman" w:hAnsi="Times New Roman"/>
                <w:i/>
                <w:color w:val="000000"/>
                <w:sz w:val="24"/>
              </w:rPr>
              <w:t>. Purpose of Meetings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9.02 </w:t>
            </w:r>
            <w:r>
              <w:rPr>
                <w:rFonts w:ascii="Times New Roman" w:hAnsi="Times New Roman"/>
                <w:i/>
                <w:color w:val="000000"/>
                <w:sz w:val="24"/>
              </w:rPr>
              <w:t>. Call of Meetings by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9.03 </w:t>
            </w:r>
            <w:r>
              <w:rPr>
                <w:rFonts w:ascii="Times New Roman" w:hAnsi="Times New Roman"/>
                <w:i/>
                <w:color w:val="000000"/>
                <w:sz w:val="24"/>
              </w:rPr>
              <w:t>. Call of Meetings by Company or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9.04 </w:t>
            </w:r>
            <w:r>
              <w:rPr>
                <w:rFonts w:ascii="Times New Roman" w:hAnsi="Times New Roman"/>
                <w:i/>
                <w:color w:val="000000"/>
                <w:sz w:val="24"/>
              </w:rPr>
              <w:t>. Qualifications for Voting</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9.05 </w:t>
            </w:r>
            <w:r>
              <w:rPr>
                <w:rFonts w:ascii="Times New Roman" w:hAnsi="Times New Roman"/>
                <w:i/>
                <w:color w:val="000000"/>
                <w:sz w:val="24"/>
              </w:rPr>
              <w:t>. Regulations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9.06 </w:t>
            </w:r>
            <w:r>
              <w:rPr>
                <w:rFonts w:ascii="Times New Roman" w:hAnsi="Times New Roman"/>
                <w:i/>
                <w:color w:val="000000"/>
                <w:sz w:val="24"/>
              </w:rPr>
              <w:t>. Voting</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9.07 </w:t>
            </w:r>
            <w:r>
              <w:rPr>
                <w:rFonts w:ascii="Times New Roman" w:hAnsi="Times New Roman"/>
                <w:i/>
                <w:color w:val="000000"/>
                <w:sz w:val="24"/>
              </w:rPr>
              <w:t>. No Delay of Rights by Meeting</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10</w:t>
              <w:br/>
              <w:t>Supplemental Indentures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10.01 </w:t>
            </w:r>
            <w:r>
              <w:rPr>
                <w:rFonts w:ascii="Times New Roman" w:hAnsi="Times New Roman"/>
                <w:i/>
                <w:color w:val="000000"/>
                <w:sz w:val="24"/>
              </w:rPr>
              <w:t>. Supplemental Indentures Without Consent of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10.02 </w:t>
            </w:r>
            <w:r>
              <w:rPr>
                <w:rFonts w:ascii="Times New Roman" w:hAnsi="Times New Roman"/>
                <w:i/>
                <w:color w:val="000000"/>
                <w:sz w:val="24"/>
              </w:rPr>
              <w:t>. Supplemental Indentures with Consent of Holders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58</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10.03 </w:t>
            </w:r>
            <w:r>
              <w:rPr>
                <w:rFonts w:ascii="Times New Roman" w:hAnsi="Times New Roman"/>
                <w:i/>
                <w:color w:val="000000"/>
                <w:sz w:val="24"/>
              </w:rPr>
              <w:t>. Effect of Supplemental Indentures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10.04 </w:t>
            </w:r>
            <w:r>
              <w:rPr>
                <w:rFonts w:ascii="Times New Roman" w:hAnsi="Times New Roman"/>
                <w:i/>
                <w:color w:val="000000"/>
                <w:sz w:val="24"/>
              </w:rPr>
              <w:t>. Notation on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59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10.05 </w:t>
            </w:r>
            <w:r>
              <w:rPr>
                <w:rFonts w:ascii="Times New Roman" w:hAnsi="Times New Roman"/>
                <w:i/>
                <w:color w:val="000000"/>
                <w:sz w:val="24"/>
              </w:rPr>
              <w:t>. Evidence of Compliance of Supplemental Indenture To Be Furnished to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11</w:t>
              <w:br/>
              <w:t>Consolidation, Merger, Sale, Conveyance and Lease</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11.01 </w:t>
            </w:r>
            <w:r>
              <w:rPr>
                <w:rFonts w:ascii="Times New Roman" w:hAnsi="Times New Roman"/>
                <w:i/>
                <w:color w:val="000000"/>
                <w:sz w:val="24"/>
              </w:rPr>
              <w:t>. Company May Consolidate, Etc. on Certain Terms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60</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11.02 </w:t>
            </w:r>
            <w:r>
              <w:rPr>
                <w:rFonts w:ascii="Times New Roman" w:hAnsi="Times New Roman"/>
                <w:i/>
                <w:color w:val="000000"/>
                <w:sz w:val="24"/>
              </w:rPr>
              <w:t>. Successor Entity To Be Substituted</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12</w:t>
              <w:br/>
              <w:t>Immunity of Incorporators, Stockholders, Officers and Directors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12.01 </w:t>
            </w:r>
            <w:r>
              <w:rPr>
                <w:rFonts w:ascii="Times New Roman" w:hAnsi="Times New Roman"/>
                <w:i/>
                <w:color w:val="000000"/>
                <w:sz w:val="24"/>
              </w:rPr>
              <w:t>. Indenture and Notes Solely Corporate Obligations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smallCaps/>
                <w:color w:val="000000"/>
                <w:sz w:val="24"/>
              </w:rPr>
            </w:pPr>
            <w:r>
              <w:rPr>
                <w:rFonts w:ascii="Times New Roman" w:hAnsi="Times New Roman"/>
                <w:smallCaps/>
                <w:color w:val="000000"/>
                <w:sz w:val="24"/>
              </w:rPr>
              <w:t>Article 13</w:t>
              <w:br/>
              <w:t>[Intentionally Omitted]</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14</w:t>
              <w:br/>
              <w:t>Conversion of Notes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14.01 </w:t>
            </w:r>
            <w:r>
              <w:rPr>
                <w:rFonts w:ascii="Times New Roman" w:hAnsi="Times New Roman"/>
                <w:i/>
                <w:color w:val="000000"/>
                <w:sz w:val="24"/>
              </w:rPr>
              <w:t>. Conversion Privilege.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62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14.02 </w:t>
            </w:r>
            <w:r>
              <w:rPr>
                <w:rFonts w:ascii="Times New Roman" w:hAnsi="Times New Roman"/>
                <w:i/>
                <w:color w:val="000000"/>
                <w:sz w:val="24"/>
              </w:rPr>
              <w:t>. Conversion Procedure; Settlement Upon Conversion.</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66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14.03 </w:t>
            </w:r>
            <w:r>
              <w:rPr>
                <w:rFonts w:ascii="Times New Roman" w:hAnsi="Times New Roman"/>
                <w:i/>
                <w:color w:val="000000"/>
                <w:sz w:val="24"/>
              </w:rPr>
              <w:t>. Increased Conversion Rate Applicable to Certain Notes Surrendered in Connection with Make-Whole Fundamental Changes or a Notice of Redemption.</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8432"/>
        <w:gridCol w:w="1773"/>
      </w:tblGrid>
      <w:tr>
        <w:trPr/>
        <w:tc>
          <w:tcPr>
            <w:tcW w:w="843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ind w:left="0" w:right="0" w:firstLine="1382"/>
              <w:jc w:val="left"/>
              <w:rPr>
                <w:sz w:val="4"/>
                <w:szCs w:val="4"/>
              </w:rPr>
            </w:pPr>
            <w:r>
              <w:rPr>
                <w:sz w:val="4"/>
                <w:szCs w:val="4"/>
              </w:rPr>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14.04 </w:t>
            </w:r>
            <w:r>
              <w:rPr>
                <w:rFonts w:ascii="Times New Roman" w:hAnsi="Times New Roman"/>
                <w:i/>
                <w:color w:val="000000"/>
                <w:sz w:val="24"/>
              </w:rPr>
              <w:t>. Adjustment of Conversion Rate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72</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14.05 </w:t>
            </w:r>
            <w:r>
              <w:rPr>
                <w:rFonts w:ascii="Times New Roman" w:hAnsi="Times New Roman"/>
                <w:i/>
                <w:color w:val="000000"/>
                <w:sz w:val="24"/>
              </w:rPr>
              <w:t>. Adjustments of Prices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14.06 </w:t>
            </w:r>
            <w:r>
              <w:rPr>
                <w:rFonts w:ascii="Times New Roman" w:hAnsi="Times New Roman"/>
                <w:i/>
                <w:color w:val="000000"/>
                <w:sz w:val="24"/>
              </w:rPr>
              <w:t>. Shares To Be Fully Paid</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14.07 </w:t>
            </w:r>
            <w:r>
              <w:rPr>
                <w:rFonts w:ascii="Times New Roman" w:hAnsi="Times New Roman"/>
                <w:i/>
                <w:color w:val="000000"/>
                <w:sz w:val="24"/>
              </w:rPr>
              <w:t>. Effect of Recapitalizations, Reclassifications and Changes of the Common Stock.</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14.08 </w:t>
            </w:r>
            <w:r>
              <w:rPr>
                <w:rFonts w:ascii="Times New Roman" w:hAnsi="Times New Roman"/>
                <w:i/>
                <w:color w:val="000000"/>
                <w:sz w:val="24"/>
              </w:rPr>
              <w:t>. Certain Covenants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14.09 </w:t>
            </w:r>
            <w:r>
              <w:rPr>
                <w:rFonts w:ascii="Times New Roman" w:hAnsi="Times New Roman"/>
                <w:i/>
                <w:color w:val="000000"/>
                <w:sz w:val="24"/>
              </w:rPr>
              <w:t>. Responsibility of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14.10 </w:t>
            </w:r>
            <w:r>
              <w:rPr>
                <w:rFonts w:ascii="Times New Roman" w:hAnsi="Times New Roman"/>
                <w:i/>
                <w:color w:val="000000"/>
                <w:sz w:val="24"/>
              </w:rPr>
              <w:t>. [Reserved.]</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14.11 </w:t>
            </w:r>
            <w:r>
              <w:rPr>
                <w:rFonts w:ascii="Times New Roman" w:hAnsi="Times New Roman"/>
                <w:i/>
                <w:color w:val="000000"/>
                <w:sz w:val="24"/>
              </w:rPr>
              <w:t>. Stockholder Rights Plans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14.12 </w:t>
            </w:r>
            <w:r>
              <w:rPr>
                <w:rFonts w:ascii="Times New Roman" w:hAnsi="Times New Roman"/>
                <w:i/>
                <w:color w:val="000000"/>
                <w:sz w:val="24"/>
              </w:rPr>
              <w:t>. Exchange in Lieu of Conversion.</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15</w:t>
              <w:br/>
              <w:t>Repurchase of Notes at Option of Holders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15.01 </w:t>
            </w:r>
            <w:r>
              <w:rPr>
                <w:rFonts w:ascii="Times New Roman" w:hAnsi="Times New Roman"/>
                <w:i/>
                <w:color w:val="000000"/>
                <w:sz w:val="24"/>
              </w:rPr>
              <w:t>. [Intentionally Omitted].</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15.02 </w:t>
            </w:r>
            <w:r>
              <w:rPr>
                <w:rFonts w:ascii="Times New Roman" w:hAnsi="Times New Roman"/>
                <w:i/>
                <w:color w:val="000000"/>
                <w:sz w:val="24"/>
              </w:rPr>
              <w:t>. Repurchase</w:t>
            </w:r>
            <w:r>
              <w:rPr>
                <w:rFonts w:ascii="Times New Roman" w:hAnsi="Times New Roman"/>
                <w:color w:val="000000"/>
                <w:sz w:val="24"/>
              </w:rPr>
              <w:t xml:space="preserve"> </w:t>
            </w:r>
            <w:r>
              <w:rPr>
                <w:rFonts w:ascii="Times New Roman" w:hAnsi="Times New Roman"/>
                <w:i/>
                <w:color w:val="000000"/>
                <w:sz w:val="24"/>
              </w:rPr>
              <w:t>at Option of Holders Upon a Fundamental Change.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15.03 </w:t>
            </w:r>
            <w:r>
              <w:rPr>
                <w:rFonts w:ascii="Times New Roman" w:hAnsi="Times New Roman"/>
                <w:i/>
                <w:color w:val="000000"/>
                <w:sz w:val="24"/>
              </w:rPr>
              <w:t>. Withdrawal of Fundamental Change Repurchase Notice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15.04 </w:t>
            </w:r>
            <w:r>
              <w:rPr>
                <w:rFonts w:ascii="Times New Roman" w:hAnsi="Times New Roman"/>
                <w:i/>
                <w:color w:val="000000"/>
                <w:sz w:val="24"/>
              </w:rPr>
              <w:t>. Deposit of Fundamental Change Repurchase Price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89</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15.05 . </w:t>
            </w:r>
            <w:r>
              <w:rPr>
                <w:rFonts w:ascii="Times New Roman" w:hAnsi="Times New Roman"/>
                <w:i/>
                <w:color w:val="000000"/>
                <w:sz w:val="24"/>
              </w:rPr>
              <w:t>Covenant to Comply with Applicable Laws Upon Repurchase of Notes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16</w:t>
              <w:br/>
              <w:t>Optional Redemption</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16.01 . </w:t>
            </w:r>
            <w:r>
              <w:rPr>
                <w:rFonts w:ascii="Times New Roman" w:hAnsi="Times New Roman"/>
                <w:i/>
                <w:color w:val="000000"/>
                <w:sz w:val="24"/>
              </w:rPr>
              <w:t>Optional Redemption</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16.02 . </w:t>
            </w:r>
            <w:r>
              <w:rPr>
                <w:rFonts w:ascii="Times New Roman" w:hAnsi="Times New Roman"/>
                <w:i/>
                <w:color w:val="000000"/>
                <w:sz w:val="24"/>
              </w:rPr>
              <w:t>Notice of Optional Redemption; Selection of Notes</w:t>
            </w:r>
            <w:r>
              <w:rPr>
                <w:rFonts w:ascii="Times New Roman" w:hAnsi="Times New Roman"/>
                <w:color w:val="000000"/>
                <w:sz w:val="24"/>
              </w:rPr>
              <w: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91</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16.03 . </w:t>
            </w:r>
            <w:r>
              <w:rPr>
                <w:rFonts w:ascii="Times New Roman" w:hAnsi="Times New Roman"/>
                <w:i/>
                <w:color w:val="000000"/>
                <w:sz w:val="24"/>
              </w:rPr>
              <w:t>Payment of Notes Called for Redemption</w:t>
            </w:r>
            <w:r>
              <w:rPr>
                <w:rFonts w:ascii="Times New Roman" w:hAnsi="Times New Roman"/>
                <w:color w:val="000000"/>
                <w:sz w:val="24"/>
              </w:rPr>
              <w: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16.04 . </w:t>
            </w:r>
            <w:r>
              <w:rPr>
                <w:rFonts w:ascii="Times New Roman" w:hAnsi="Times New Roman"/>
                <w:i/>
                <w:color w:val="000000"/>
                <w:sz w:val="24"/>
              </w:rPr>
              <w:t>Restrictions on Redemption</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93</w:t>
            </w:r>
          </w:p>
        </w:tc>
      </w:tr>
      <w:tr>
        <w:trPr/>
        <w:tc>
          <w:tcPr>
            <w:tcW w:w="10205" w:type="dxa"/>
            <w:gridSpan w:val="2"/>
            <w:tcBorders/>
            <w:shd w:fill="FFFFFF" w:val="clear"/>
            <w:tcMar>
              <w:top w:w="0" w:type="dxa"/>
              <w:left w:w="0" w:type="dxa"/>
              <w:bottom w:w="0" w:type="dxa"/>
              <w:right w:w="0" w:type="dxa"/>
            </w:tcMar>
            <w:vAlign w:val="center"/>
          </w:tcPr>
          <w:p>
            <w:pPr>
              <w:pStyle w:val="TableContents"/>
              <w:bidi w:val="0"/>
              <w:spacing w:before="240" w:after="240"/>
              <w:ind w:left="0" w:right="0" w:firstLine="1382"/>
              <w:jc w:val="center"/>
              <w:rPr>
                <w:rFonts w:ascii="Times New Roman" w:hAnsi="Times New Roman"/>
                <w:smallCaps/>
                <w:color w:val="000000"/>
                <w:sz w:val="24"/>
              </w:rPr>
            </w:pPr>
            <w:r>
              <w:rPr>
                <w:rFonts w:ascii="Times New Roman" w:hAnsi="Times New Roman"/>
                <w:smallCaps/>
                <w:color w:val="000000"/>
                <w:sz w:val="24"/>
              </w:rPr>
              <w:t>Article 17</w:t>
              <w:br/>
              <w:t>Miscellaneous Provisions</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17.01 </w:t>
            </w:r>
            <w:r>
              <w:rPr>
                <w:rFonts w:ascii="Times New Roman" w:hAnsi="Times New Roman"/>
                <w:i/>
                <w:color w:val="000000"/>
                <w:sz w:val="24"/>
              </w:rPr>
              <w:t>. Provisions Binding on Company’s Successors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17.02 </w:t>
            </w:r>
            <w:r>
              <w:rPr>
                <w:rFonts w:ascii="Times New Roman" w:hAnsi="Times New Roman"/>
                <w:i/>
                <w:color w:val="000000"/>
                <w:sz w:val="24"/>
              </w:rPr>
              <w:t>. Official Acts by Successor Entity</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17.03 </w:t>
            </w:r>
            <w:r>
              <w:rPr>
                <w:rFonts w:ascii="Times New Roman" w:hAnsi="Times New Roman"/>
                <w:i/>
                <w:color w:val="000000"/>
                <w:sz w:val="24"/>
              </w:rPr>
              <w:t>. Addresses for Notices,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93</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17.04 </w:t>
            </w:r>
            <w:r>
              <w:rPr>
                <w:rFonts w:ascii="Times New Roman" w:hAnsi="Times New Roman"/>
                <w:i/>
                <w:color w:val="000000"/>
                <w:sz w:val="24"/>
              </w:rPr>
              <w:t>. Governing Law; Jurisdiction</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94</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17.05 </w:t>
            </w:r>
            <w:r>
              <w:rPr>
                <w:rFonts w:ascii="Times New Roman" w:hAnsi="Times New Roman"/>
                <w:i/>
                <w:color w:val="000000"/>
                <w:sz w:val="24"/>
              </w:rPr>
              <w:t>. Evidence of Compliance with Conditions Precedent; Certificates and Opinions of Counsel to Trustee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95</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17.06 </w:t>
            </w:r>
            <w:r>
              <w:rPr>
                <w:rFonts w:ascii="Times New Roman" w:hAnsi="Times New Roman"/>
                <w:i/>
                <w:color w:val="000000"/>
                <w:sz w:val="24"/>
              </w:rPr>
              <w:t>. Legal Holidays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17.07 </w:t>
            </w:r>
            <w:r>
              <w:rPr>
                <w:rFonts w:ascii="Times New Roman" w:hAnsi="Times New Roman"/>
                <w:i/>
                <w:color w:val="000000"/>
                <w:sz w:val="24"/>
              </w:rPr>
              <w:t>. No Security Interest Created</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17.08 </w:t>
            </w:r>
            <w:r>
              <w:rPr>
                <w:rFonts w:ascii="Times New Roman" w:hAnsi="Times New Roman"/>
                <w:i/>
                <w:color w:val="000000"/>
                <w:sz w:val="24"/>
              </w:rPr>
              <w:t>. Benefits of Indenture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17.09 </w:t>
            </w:r>
            <w:r>
              <w:rPr>
                <w:rFonts w:ascii="Times New Roman" w:hAnsi="Times New Roman"/>
                <w:i/>
                <w:color w:val="000000"/>
                <w:sz w:val="24"/>
              </w:rPr>
              <w:t>. Table of Contents, Headings, Etc</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17.10 </w:t>
            </w:r>
            <w:r>
              <w:rPr>
                <w:rFonts w:ascii="Times New Roman" w:hAnsi="Times New Roman"/>
                <w:i/>
                <w:color w:val="000000"/>
                <w:sz w:val="24"/>
              </w:rPr>
              <w:t>. Authenticating Agent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96</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17.11 </w:t>
            </w:r>
            <w:r>
              <w:rPr>
                <w:rFonts w:ascii="Times New Roman" w:hAnsi="Times New Roman"/>
                <w:i/>
                <w:color w:val="000000"/>
                <w:sz w:val="24"/>
              </w:rPr>
              <w:t>. Execution in Counterparts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17.12 </w:t>
            </w:r>
            <w:r>
              <w:rPr>
                <w:rFonts w:ascii="Times New Roman" w:hAnsi="Times New Roman"/>
                <w:i/>
                <w:color w:val="000000"/>
                <w:sz w:val="24"/>
              </w:rPr>
              <w:t>. Severability</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97</w:t>
            </w:r>
          </w:p>
        </w:tc>
      </w:tr>
      <w:tr>
        <w:trPr/>
        <w:tc>
          <w:tcPr>
            <w:tcW w:w="8432"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17.13 </w:t>
            </w:r>
            <w:r>
              <w:rPr>
                <w:rFonts w:ascii="Times New Roman" w:hAnsi="Times New Roman"/>
                <w:i/>
                <w:color w:val="000000"/>
                <w:sz w:val="24"/>
              </w:rPr>
              <w:t>. Waiver of Jury Trial</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98</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tbl>
      <w:tblPr>
        <w:tblW w:w="6801" w:type="dxa"/>
        <w:jc w:val="left"/>
        <w:tblInd w:w="0" w:type="dxa"/>
        <w:tblLayout w:type="fixed"/>
        <w:tblCellMar>
          <w:top w:w="28" w:type="dxa"/>
          <w:left w:w="28" w:type="dxa"/>
          <w:bottom w:w="28" w:type="dxa"/>
          <w:right w:w="28" w:type="dxa"/>
        </w:tblCellMar>
      </w:tblPr>
      <w:tblGrid>
        <w:gridCol w:w="5028"/>
        <w:gridCol w:w="1773"/>
      </w:tblGrid>
      <w:tr>
        <w:trPr/>
        <w:tc>
          <w:tcPr>
            <w:tcW w:w="5028"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ind w:left="0" w:right="0" w:firstLine="1382"/>
              <w:jc w:val="left"/>
              <w:rPr>
                <w:sz w:val="4"/>
                <w:szCs w:val="4"/>
              </w:rPr>
            </w:pPr>
            <w:r>
              <w:rPr>
                <w:sz w:val="4"/>
                <w:szCs w:val="4"/>
              </w:rPr>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17.14 </w:t>
            </w:r>
            <w:r>
              <w:rPr>
                <w:rFonts w:ascii="Times New Roman" w:hAnsi="Times New Roman"/>
                <w:i/>
                <w:color w:val="000000"/>
                <w:sz w:val="24"/>
              </w:rPr>
              <w:t>. Force Majeure</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98</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Section 17.15 </w:t>
            </w:r>
            <w:r>
              <w:rPr>
                <w:rFonts w:ascii="Times New Roman" w:hAnsi="Times New Roman"/>
                <w:i/>
                <w:color w:val="000000"/>
                <w:sz w:val="24"/>
              </w:rPr>
              <w:t>. Calculations</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98</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17.16 . </w:t>
            </w:r>
            <w:r>
              <w:rPr>
                <w:rFonts w:ascii="Times New Roman" w:hAnsi="Times New Roman"/>
                <w:i/>
                <w:color w:val="000000"/>
                <w:sz w:val="24"/>
              </w:rPr>
              <w:t>USA PATRIOT Act</w:t>
            </w:r>
          </w:p>
        </w:tc>
        <w:tc>
          <w:tcPr>
            <w:tcW w:w="1773"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right"/>
              <w:rPr>
                <w:rFonts w:ascii="Times New Roman" w:hAnsi="Times New Roman"/>
                <w:color w:val="000000"/>
                <w:sz w:val="24"/>
              </w:rPr>
            </w:pPr>
            <w:r>
              <w:rPr>
                <w:rFonts w:ascii="Times New Roman" w:hAnsi="Times New Roman"/>
                <w:color w:val="000000"/>
                <w:sz w:val="24"/>
              </w:rPr>
              <w:t>98</w:t>
            </w:r>
          </w:p>
        </w:tc>
      </w:tr>
      <w:tr>
        <w:trPr/>
        <w:tc>
          <w:tcPr>
            <w:tcW w:w="5028" w:type="dxa"/>
            <w:tcBorders/>
            <w:shd w:fill="FFFFFF" w:val="clear"/>
            <w:tcMar>
              <w:top w:w="0" w:type="dxa"/>
              <w:left w:w="0" w:type="dxa"/>
              <w:bottom w:w="0" w:type="dxa"/>
              <w:right w:w="0" w:type="dxa"/>
            </w:tcMar>
            <w:vAlign w:val="center"/>
          </w:tcPr>
          <w:p>
            <w:pPr>
              <w:pStyle w:val="TableContents"/>
              <w:bidi w:val="0"/>
              <w:spacing w:before="0" w:after="283"/>
              <w:ind w:left="0" w:right="0" w:firstLine="1382"/>
              <w:jc w:val="left"/>
              <w:rPr>
                <w:rFonts w:ascii="Times New Roman" w:hAnsi="Times New Roman"/>
                <w:sz w:val="24"/>
              </w:rPr>
            </w:pPr>
            <w:r>
              <w:rPr>
                <w:rFonts w:ascii="Times New Roman" w:hAnsi="Times New Roman"/>
                <w:color w:val="000000"/>
                <w:sz w:val="24"/>
              </w:rPr>
              <w:t xml:space="preserve">Section 17.17 . </w:t>
            </w:r>
            <w:r>
              <w:rPr>
                <w:rFonts w:ascii="Times New Roman" w:hAnsi="Times New Roman"/>
                <w:i/>
                <w:color w:val="000000"/>
                <w:sz w:val="24"/>
              </w:rPr>
              <w:t>Electronic Signatures</w:t>
            </w:r>
          </w:p>
        </w:tc>
        <w:tc>
          <w:tcPr>
            <w:tcW w:w="1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99</w:t>
            </w:r>
          </w:p>
        </w:tc>
      </w:tr>
    </w:tbl>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2401"/>
        <w:gridCol w:w="526"/>
      </w:tblGrid>
      <w:tr>
        <w:trPr/>
        <w:tc>
          <w:tcPr>
            <w:tcW w:w="240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EXHIBIT</w:t>
            </w:r>
          </w:p>
        </w:tc>
      </w:tr>
      <w:tr>
        <w:trPr/>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A Form of Note</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A-1</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INDENTURE dated as of August 18, 2026 between DIODES INCORPORATED, a Delaware corporation, as issuer (the “</w:t>
      </w:r>
      <w:r>
        <w:rPr>
          <w:rFonts w:ascii="Times New Roman" w:hAnsi="Times New Roman"/>
          <w:b/>
          <w:color w:val="000000"/>
          <w:sz w:val="24"/>
        </w:rPr>
        <w:t>Company</w:t>
      </w:r>
      <w:r>
        <w:rPr>
          <w:rFonts w:ascii="Times New Roman" w:hAnsi="Times New Roman"/>
          <w:color w:val="000000"/>
          <w:sz w:val="24"/>
        </w:rPr>
        <w:t>,” as more fully set forth in ‎Section 1.01) and U.S. BANK TRUST COMPANY, NATIONAL ASSOCIATION, a national banking association, as trustee (the “</w:t>
      </w:r>
      <w:r>
        <w:rPr>
          <w:rFonts w:ascii="Times New Roman" w:hAnsi="Times New Roman"/>
          <w:b/>
          <w:color w:val="000000"/>
          <w:sz w:val="24"/>
        </w:rPr>
        <w:t>Trustee</w:t>
      </w:r>
      <w:r>
        <w:rPr>
          <w:rFonts w:ascii="Times New Roman" w:hAnsi="Times New Roman"/>
          <w:color w:val="000000"/>
          <w:sz w:val="24"/>
        </w:rPr>
        <w:t>,” as more fully set forth in ‎Section 1.01).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jc w:val="left"/>
        <w:rPr>
          <w:rFonts w:ascii="Times New Roman" w:hAnsi="Times New Roman"/>
          <w:sz w:val="20"/>
        </w:rPr>
      </w:pPr>
      <w:r>
        <w:rPr>
          <w:rFonts w:ascii="Times New Roman" w:hAnsi="Times New Roman"/>
          <w:color w:val="000000"/>
          <w:sz w:val="24"/>
        </w:rPr>
        <w:t>WHEREAS, for its lawful corporate purposes, the Company has duly authorized the issuance of its 0.00% Convertible Senior Notes due 2031 (the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initially in an aggregate principal amount not to exceed $375,000,000, and in order to provide the terms and conditions upon which the Notes are to be authenticated, issued and delivered, the Company has duly authorized the execution and delivery of this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NOW, THEREFORE, THIS INDENTURE WITNESSETH: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w:t>
      </w:r>
      <w:r>
        <w:rPr>
          <w:rFonts w:ascii="Times New Roman" w:hAnsi="Times New Roman"/>
          <w:smallCaps/>
          <w:color w:val="000000"/>
          <w:sz w:val="24"/>
        </w:rPr>
        <w:br/>
        <w:t>Definitions</w:t>
      </w:r>
    </w:p>
    <w:p>
      <w:pPr>
        <w:pStyle w:val="TextBody"/>
        <w:bidi w:val="0"/>
        <w:spacing w:before="0" w:after="240"/>
        <w:jc w:val="left"/>
        <w:rPr>
          <w:rFonts w:ascii="Times New Roman" w:hAnsi="Times New Roman"/>
          <w:sz w:val="20"/>
        </w:rPr>
      </w:pPr>
      <w:r>
        <w:rPr>
          <w:rFonts w:ascii="Times New Roman" w:hAnsi="Times New Roman"/>
          <w:color w:val="000000"/>
          <w:sz w:val="24"/>
        </w:rPr>
        <w:t>Section 1.01</w:t>
      </w:r>
      <w:r>
        <w:rPr>
          <w:rFonts w:ascii="Times New Roman" w:hAnsi="Times New Roman"/>
          <w:i/>
          <w:color w:val="000000"/>
          <w:sz w:val="24"/>
        </w:rPr>
        <w:t>. Definitions.</w:t>
      </w:r>
      <w:r>
        <w:rPr>
          <w:rFonts w:ascii="Times New Roman" w:hAnsi="Times New Roman"/>
          <w:color w:val="000000"/>
          <w:sz w:val="20"/>
        </w:rPr>
        <w:t xml:space="preserve"> </w:t>
      </w:r>
      <w:r>
        <w:rPr>
          <w:rFonts w:ascii="Times New Roman" w:hAnsi="Times New Roman"/>
          <w:color w:val="000000"/>
          <w:sz w:val="24"/>
        </w:rPr>
        <w:t>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pStyle w:val="TextBody"/>
        <w:bidi w:val="0"/>
        <w:spacing w:before="0" w:after="240"/>
        <w:jc w:val="left"/>
        <w:rPr/>
      </w:pPr>
      <w:r>
        <w:rPr>
          <w:color w:val="000000"/>
        </w:rPr>
        <w:t>“</w:t>
      </w:r>
      <w:r>
        <w:rPr>
          <w:rFonts w:ascii="Times New Roman" w:hAnsi="Times New Roman"/>
          <w:b/>
          <w:color w:val="000000"/>
          <w:sz w:val="24"/>
        </w:rPr>
        <w:t>Additional Shares</w:t>
      </w:r>
      <w:r>
        <w:rPr>
          <w:rFonts w:ascii="Times New Roman" w:hAnsi="Times New Roman"/>
          <w:color w:val="000000"/>
          <w:sz w:val="20"/>
        </w:rPr>
        <w:t xml:space="preserve">” </w:t>
      </w:r>
      <w:r>
        <w:rPr>
          <w:rFonts w:ascii="Times New Roman" w:hAnsi="Times New Roman"/>
          <w:color w:val="000000"/>
          <w:sz w:val="24"/>
        </w:rPr>
        <w:t>shall have the meaning specified in ‎Section 14.03(a).</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of another Person for purposes of this Indenture shall be made based on the facts at the time such determination is made or required to be made, as the case may be, hereunder.</w:t>
      </w:r>
    </w:p>
    <w:p>
      <w:pPr>
        <w:pStyle w:val="TextBody"/>
        <w:bidi w:val="0"/>
        <w:spacing w:before="0" w:after="240"/>
        <w:jc w:val="left"/>
        <w:rPr/>
      </w:pPr>
      <w:r>
        <w:rPr>
          <w:color w:val="000000"/>
        </w:rPr>
        <w:t>“</w:t>
      </w:r>
      <w:r>
        <w:rPr>
          <w:rFonts w:ascii="Times New Roman" w:hAnsi="Times New Roman"/>
          <w:b/>
          <w:color w:val="000000"/>
          <w:sz w:val="24"/>
        </w:rPr>
        <w:t>Bid Solicitation Agent</w:t>
      </w:r>
      <w:r>
        <w:rPr>
          <w:rFonts w:ascii="Times New Roman" w:hAnsi="Times New Roman"/>
          <w:color w:val="000000"/>
          <w:sz w:val="20"/>
        </w:rPr>
        <w:t xml:space="preserve">” </w:t>
      </w:r>
      <w:r>
        <w:rPr>
          <w:rFonts w:ascii="Times New Roman" w:hAnsi="Times New Roman"/>
          <w:color w:val="000000"/>
          <w:sz w:val="24"/>
        </w:rPr>
        <w:t>means the Company or the Person appointed by the Company to solicit bids for the Trading Price of the Notes in accordance with ‎Section 14.01(b)(i). The Company shall initially act as the Bid Solicitation Agent.</w:t>
      </w:r>
    </w:p>
    <w:p>
      <w:pPr>
        <w:pStyle w:val="TextBody"/>
        <w:bidi w:val="0"/>
        <w:spacing w:before="0" w:after="240"/>
        <w:jc w:val="left"/>
        <w:rPr/>
      </w:pPr>
      <w:r>
        <w:rPr>
          <w:color w:val="000000"/>
        </w:rPr>
        <w:t>“</w:t>
      </w:r>
      <w:r>
        <w:rPr>
          <w:rFonts w:ascii="Times New Roman" w:hAnsi="Times New Roman"/>
          <w:b/>
          <w:color w:val="000000"/>
          <w:sz w:val="24"/>
        </w:rPr>
        <w:t>Board of Directors</w:t>
      </w:r>
      <w:r>
        <w:rPr>
          <w:rFonts w:ascii="Times New Roman" w:hAnsi="Times New Roman"/>
          <w:color w:val="000000"/>
          <w:sz w:val="20"/>
        </w:rPr>
        <w:t xml:space="preserve">” </w:t>
      </w:r>
      <w:r>
        <w:rPr>
          <w:rFonts w:ascii="Times New Roman" w:hAnsi="Times New Roman"/>
          <w:color w:val="000000"/>
          <w:sz w:val="24"/>
        </w:rPr>
        <w:t>means the board of directors of the Company or a committee of such board duly authorized to act for it hereunder.</w:t>
      </w:r>
    </w:p>
    <w:p>
      <w:pPr>
        <w:pStyle w:val="TextBody"/>
        <w:bidi w:val="0"/>
        <w:spacing w:before="0" w:after="240"/>
        <w:jc w:val="left"/>
        <w:rPr/>
      </w:pPr>
      <w:r>
        <w:rPr>
          <w:color w:val="000000"/>
        </w:rPr>
        <w:t>“</w:t>
      </w:r>
      <w:r>
        <w:rPr>
          <w:rFonts w:ascii="Times New Roman" w:hAnsi="Times New Roman"/>
          <w:b/>
          <w:color w:val="000000"/>
          <w:sz w:val="24"/>
        </w:rPr>
        <w:t>Board Resolution</w:t>
      </w:r>
      <w:r>
        <w:rPr>
          <w:rFonts w:ascii="Times New Roman" w:hAnsi="Times New Roman"/>
          <w:color w:val="000000"/>
          <w:sz w:val="20"/>
        </w:rPr>
        <w:t xml:space="preserve">” </w:t>
      </w:r>
      <w:r>
        <w:rPr>
          <w:rFonts w:ascii="Times New Roman" w:hAnsi="Times New Roman"/>
          <w:color w:val="000000"/>
          <w:sz w:val="24"/>
        </w:rPr>
        <w:t>means a copy of a resolution certified by the Secretary or an Assistant Secretary of the Company to have been duly adopted by the Board of Directors, and to be in full force and effect on the date of such certification, and delivered to the Trustee.</w:t>
      </w:r>
    </w:p>
    <w:p>
      <w:pPr>
        <w:pStyle w:val="TextBody"/>
        <w:bidi w:val="0"/>
        <w:spacing w:before="0" w:after="240"/>
        <w:jc w:val="left"/>
        <w:rPr/>
      </w:pPr>
      <w:r>
        <w:rPr>
          <w:color w:val="000000"/>
        </w:rPr>
        <w:t>“</w:t>
      </w:r>
      <w:r>
        <w:rPr>
          <w:rFonts w:ascii="Times New Roman" w:hAnsi="Times New Roman"/>
          <w:b/>
          <w:color w:val="000000"/>
          <w:sz w:val="24"/>
        </w:rPr>
        <w:t>Business Combination Event</w:t>
      </w:r>
      <w:r>
        <w:rPr>
          <w:rFonts w:ascii="Times New Roman" w:hAnsi="Times New Roman"/>
          <w:color w:val="000000"/>
          <w:sz w:val="20"/>
        </w:rPr>
        <w:t xml:space="preserve">” </w:t>
      </w:r>
      <w:r>
        <w:rPr>
          <w:rFonts w:ascii="Times New Roman" w:hAnsi="Times New Roman"/>
          <w:color w:val="000000"/>
          <w:sz w:val="24"/>
        </w:rPr>
        <w:t>shall have the meaning specified in ‎Section 11.01.</w:t>
      </w:r>
    </w:p>
    <w:p>
      <w:pPr>
        <w:pStyle w:val="TextBody"/>
        <w:bidi w:val="0"/>
        <w:spacing w:before="0" w:after="240"/>
        <w:jc w:val="left"/>
        <w:rPr/>
      </w:pPr>
      <w:r>
        <w:rPr>
          <w:color w:val="000000"/>
        </w:rPr>
        <w:t>“</w:t>
      </w:r>
      <w:r>
        <w:rPr>
          <w:rFonts w:ascii="Times New Roman" w:hAnsi="Times New Roman"/>
          <w:b/>
          <w:color w:val="000000"/>
          <w:sz w:val="24"/>
        </w:rPr>
        <w:t>Business Day</w:t>
      </w:r>
      <w:r>
        <w:rPr>
          <w:rFonts w:ascii="Times New Roman" w:hAnsi="Times New Roman"/>
          <w:color w:val="000000"/>
          <w:sz w:val="20"/>
        </w:rPr>
        <w:t xml:space="preserve">” </w:t>
      </w:r>
      <w:r>
        <w:rPr>
          <w:rFonts w:ascii="Times New Roman" w:hAnsi="Times New Roman"/>
          <w:color w:val="000000"/>
          <w:sz w:val="24"/>
        </w:rPr>
        <w:t>means, with respect to any Note, any day other than a Saturday, a Sunday or a day on which the Federal Reserve Bank of New York is authorized or required by law or executive order to close or be closed.</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color w:val="000000"/>
          <w:sz w:val="24"/>
        </w:rPr>
        <w:t>Called Notes</w:t>
      </w:r>
      <w:r>
        <w:rPr>
          <w:rFonts w:ascii="Times New Roman" w:hAnsi="Times New Roman"/>
          <w:color w:val="000000"/>
          <w:sz w:val="20"/>
        </w:rPr>
        <w:t xml:space="preserve">” </w:t>
      </w:r>
      <w:r>
        <w:rPr>
          <w:rFonts w:ascii="Times New Roman" w:hAnsi="Times New Roman"/>
          <w:color w:val="000000"/>
          <w:sz w:val="24"/>
        </w:rPr>
        <w:t>means Notes called for Optional Redemption pursuant to ‎Article 16 or subject to a Deemed Redemption.</w:t>
      </w:r>
    </w:p>
    <w:p>
      <w:pPr>
        <w:pStyle w:val="TextBody"/>
        <w:bidi w:val="0"/>
        <w:spacing w:before="0" w:after="240"/>
        <w:jc w:val="left"/>
        <w:rPr/>
      </w:pPr>
      <w:r>
        <w:rPr>
          <w:color w:val="000000"/>
        </w:rPr>
        <w:t>“</w:t>
      </w:r>
      <w:r>
        <w:rPr>
          <w:rFonts w:ascii="Times New Roman" w:hAnsi="Times New Roman"/>
          <w:b/>
          <w:color w:val="000000"/>
          <w:sz w:val="24"/>
        </w:rPr>
        <w:t>Capital Stock</w:t>
      </w:r>
      <w:r>
        <w:rPr>
          <w:rFonts w:ascii="Times New Roman" w:hAnsi="Times New Roman"/>
          <w:color w:val="000000"/>
          <w:sz w:val="20"/>
        </w:rPr>
        <w:t xml:space="preserve">” </w:t>
      </w:r>
      <w:r>
        <w:rPr>
          <w:rFonts w:ascii="Times New Roman" w:hAnsi="Times New Roman"/>
          <w:color w:val="000000"/>
          <w:sz w:val="24"/>
        </w:rPr>
        <w:t>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pStyle w:val="TextBody"/>
        <w:bidi w:val="0"/>
        <w:spacing w:before="0" w:after="240"/>
        <w:jc w:val="left"/>
        <w:rPr/>
      </w:pPr>
      <w:r>
        <w:rPr>
          <w:color w:val="000000"/>
        </w:rPr>
        <w:t>“</w:t>
      </w:r>
      <w:r>
        <w:rPr>
          <w:rFonts w:ascii="Times New Roman" w:hAnsi="Times New Roman"/>
          <w:b/>
          <w:color w:val="000000"/>
          <w:sz w:val="24"/>
        </w:rPr>
        <w:t>Cash Percentage</w:t>
      </w:r>
      <w:r>
        <w:rPr>
          <w:rFonts w:ascii="Times New Roman" w:hAnsi="Times New Roman"/>
          <w:color w:val="000000"/>
          <w:sz w:val="20"/>
        </w:rPr>
        <w:t xml:space="preserve">” </w:t>
      </w:r>
      <w:r>
        <w:rPr>
          <w:rFonts w:ascii="Times New Roman" w:hAnsi="Times New Roman"/>
          <w:color w:val="000000"/>
          <w:sz w:val="24"/>
        </w:rPr>
        <w:t>shall have the meaning specified in Section 14.02(a)(iii).</w:t>
      </w:r>
    </w:p>
    <w:p>
      <w:pPr>
        <w:pStyle w:val="TextBody"/>
        <w:bidi w:val="0"/>
        <w:spacing w:before="0" w:after="240"/>
        <w:jc w:val="left"/>
        <w:rPr/>
      </w:pPr>
      <w:r>
        <w:rPr>
          <w:color w:val="000000"/>
        </w:rPr>
        <w:t>“</w:t>
      </w:r>
      <w:r>
        <w:rPr>
          <w:rFonts w:ascii="Times New Roman" w:hAnsi="Times New Roman"/>
          <w:b/>
          <w:color w:val="000000"/>
          <w:sz w:val="24"/>
        </w:rPr>
        <w:t>Clause A Distribution</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Clause B Distribution</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Clause C Distribution</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close of business</w:t>
      </w:r>
      <w:r>
        <w:rPr>
          <w:rFonts w:ascii="Times New Roman" w:hAnsi="Times New Roman"/>
          <w:color w:val="000000"/>
          <w:sz w:val="20"/>
        </w:rPr>
        <w:t xml:space="preserve">” </w:t>
      </w:r>
      <w:r>
        <w:rPr>
          <w:rFonts w:ascii="Times New Roman" w:hAnsi="Times New Roman"/>
          <w:color w:val="000000"/>
          <w:sz w:val="24"/>
        </w:rPr>
        <w:t>means 5:00 p.m. (New York City time).</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left"/>
        <w:rPr/>
      </w:pPr>
      <w:r>
        <w:rPr>
          <w:color w:val="000000"/>
        </w:rPr>
        <w:t>“</w:t>
      </w:r>
      <w:r>
        <w:rPr>
          <w:rFonts w:ascii="Times New Roman" w:hAnsi="Times New Roman"/>
          <w:b/>
          <w:color w:val="000000"/>
          <w:sz w:val="24"/>
        </w:rPr>
        <w:t>Commission</w:t>
      </w:r>
      <w:r>
        <w:rPr>
          <w:rFonts w:ascii="Times New Roman" w:hAnsi="Times New Roman"/>
          <w:color w:val="000000"/>
          <w:sz w:val="20"/>
        </w:rPr>
        <w:t xml:space="preserve">” </w:t>
      </w:r>
      <w:r>
        <w:rPr>
          <w:rFonts w:ascii="Times New Roman" w:hAnsi="Times New Roman"/>
          <w:color w:val="000000"/>
          <w:sz w:val="24"/>
        </w:rPr>
        <w:t>means the U.S. Securities and Exchange Commission.</w:t>
      </w:r>
    </w:p>
    <w:p>
      <w:pPr>
        <w:pStyle w:val="TextBody"/>
        <w:bidi w:val="0"/>
        <w:spacing w:before="0" w:after="240"/>
        <w:jc w:val="left"/>
        <w:rPr/>
      </w:pPr>
      <w:r>
        <w:rPr>
          <w:color w:val="000000"/>
        </w:rPr>
        <w:t>“</w:t>
      </w:r>
      <w:r>
        <w:rPr>
          <w:rFonts w:ascii="Times New Roman" w:hAnsi="Times New Roman"/>
          <w:b/>
          <w:color w:val="000000"/>
          <w:sz w:val="24"/>
        </w:rPr>
        <w:t>Common Equity</w:t>
      </w:r>
      <w:r>
        <w:rPr>
          <w:rFonts w:ascii="Times New Roman" w:hAnsi="Times New Roman"/>
          <w:color w:val="000000"/>
          <w:sz w:val="20"/>
        </w:rPr>
        <w:t xml:space="preserve">” </w:t>
      </w:r>
      <w:r>
        <w:rPr>
          <w:rFonts w:ascii="Times New Roman" w:hAnsi="Times New Roman"/>
          <w:color w:val="000000"/>
          <w:sz w:val="24"/>
        </w:rPr>
        <w:t>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240"/>
        <w:jc w:val="left"/>
        <w:rPr/>
      </w:pPr>
      <w:r>
        <w:rPr>
          <w:color w:val="000000"/>
        </w:rPr>
        <w:t>“</w:t>
      </w:r>
      <w:r>
        <w:rPr>
          <w:rFonts w:ascii="Times New Roman" w:hAnsi="Times New Roman"/>
          <w:b/>
          <w:color w:val="000000"/>
          <w:sz w:val="24"/>
        </w:rPr>
        <w:t>Common Stock</w:t>
      </w:r>
      <w:r>
        <w:rPr>
          <w:rFonts w:ascii="Times New Roman" w:hAnsi="Times New Roman"/>
          <w:color w:val="000000"/>
          <w:sz w:val="20"/>
        </w:rPr>
        <w:t xml:space="preserve">” </w:t>
      </w:r>
      <w:r>
        <w:rPr>
          <w:rFonts w:ascii="Times New Roman" w:hAnsi="Times New Roman"/>
          <w:color w:val="000000"/>
          <w:sz w:val="24"/>
        </w:rPr>
        <w:t>means the common stock of the Company, par value $0.66 2/3 per share, at the date of this Indenture, subject to ‎Section 14.07.</w:t>
      </w:r>
    </w:p>
    <w:p>
      <w:pPr>
        <w:pStyle w:val="TextBody"/>
        <w:bidi w:val="0"/>
        <w:spacing w:before="0" w:after="240"/>
        <w:jc w:val="left"/>
        <w:rPr/>
      </w:pPr>
      <w:r>
        <w:rPr>
          <w:color w:val="000000"/>
        </w:rPr>
        <w:t>“</w:t>
      </w:r>
      <w:r>
        <w:rPr>
          <w:rFonts w:ascii="Times New Roman" w:hAnsi="Times New Roman"/>
          <w:b/>
          <w:color w:val="000000"/>
          <w:sz w:val="24"/>
        </w:rPr>
        <w:t>Company</w:t>
      </w:r>
      <w:r>
        <w:rPr>
          <w:rFonts w:ascii="Times New Roman" w:hAnsi="Times New Roman"/>
          <w:color w:val="000000"/>
          <w:sz w:val="20"/>
        </w:rPr>
        <w:t xml:space="preserve">” </w:t>
      </w:r>
      <w:r>
        <w:rPr>
          <w:rFonts w:ascii="Times New Roman" w:hAnsi="Times New Roman"/>
          <w:color w:val="000000"/>
          <w:sz w:val="24"/>
        </w:rPr>
        <w:t>shall have the meaning specified in the first paragraph of this Indenture, and subject to the provisions of ‎Article 11, shall include its successors and assigns.</w:t>
      </w:r>
    </w:p>
    <w:p>
      <w:pPr>
        <w:pStyle w:val="TextBody"/>
        <w:bidi w:val="0"/>
        <w:spacing w:before="0" w:after="240"/>
        <w:jc w:val="left"/>
        <w:rPr/>
      </w:pPr>
      <w:r>
        <w:rPr>
          <w:color w:val="000000"/>
        </w:rPr>
        <w:t>“</w:t>
      </w:r>
      <w:r>
        <w:rPr>
          <w:rFonts w:ascii="Times New Roman" w:hAnsi="Times New Roman"/>
          <w:b/>
          <w:color w:val="000000"/>
          <w:sz w:val="24"/>
        </w:rPr>
        <w:t>Company Order</w:t>
      </w:r>
      <w:r>
        <w:rPr>
          <w:rFonts w:ascii="Times New Roman" w:hAnsi="Times New Roman"/>
          <w:color w:val="000000"/>
          <w:sz w:val="20"/>
        </w:rPr>
        <w:t xml:space="preserve">” </w:t>
      </w:r>
      <w:r>
        <w:rPr>
          <w:rFonts w:ascii="Times New Roman" w:hAnsi="Times New Roman"/>
          <w:color w:val="000000"/>
          <w:sz w:val="24"/>
        </w:rPr>
        <w:t>means a written order of the Company signed by any of its Officers and delivered to the Trustee.</w:t>
      </w:r>
    </w:p>
    <w:p>
      <w:pPr>
        <w:pStyle w:val="TextBody"/>
        <w:bidi w:val="0"/>
        <w:spacing w:before="0" w:after="240"/>
        <w:jc w:val="left"/>
        <w:rPr/>
      </w:pPr>
      <w:r>
        <w:rPr>
          <w:color w:val="000000"/>
        </w:rPr>
        <w:t>“</w:t>
      </w:r>
      <w:r>
        <w:rPr>
          <w:rFonts w:ascii="Times New Roman" w:hAnsi="Times New Roman"/>
          <w:b/>
          <w:color w:val="000000"/>
          <w:sz w:val="24"/>
        </w:rPr>
        <w:t>Conversion Agent</w:t>
      </w:r>
      <w:r>
        <w:rPr>
          <w:rFonts w:ascii="Times New Roman" w:hAnsi="Times New Roman"/>
          <w:color w:val="000000"/>
          <w:sz w:val="20"/>
        </w:rPr>
        <w:t xml:space="preserve">” </w:t>
      </w:r>
      <w:r>
        <w:rPr>
          <w:rFonts w:ascii="Times New Roman" w:hAnsi="Times New Roman"/>
          <w:color w:val="000000"/>
          <w:sz w:val="24"/>
        </w:rPr>
        <w:t>shall have the meaning specified in ‎Section 4.02.</w:t>
      </w:r>
    </w:p>
    <w:p>
      <w:pPr>
        <w:pStyle w:val="TextBody"/>
        <w:bidi w:val="0"/>
        <w:spacing w:before="0" w:after="240"/>
        <w:jc w:val="left"/>
        <w:rPr/>
      </w:pPr>
      <w:r>
        <w:rPr>
          <w:color w:val="000000"/>
        </w:rPr>
        <w:t>“</w:t>
      </w:r>
      <w:r>
        <w:rPr>
          <w:rFonts w:ascii="Times New Roman" w:hAnsi="Times New Roman"/>
          <w:b/>
          <w:color w:val="000000"/>
          <w:sz w:val="24"/>
        </w:rPr>
        <w:t>Conversion Consideration</w:t>
      </w:r>
      <w:r>
        <w:rPr>
          <w:rFonts w:ascii="Times New Roman" w:hAnsi="Times New Roman"/>
          <w:color w:val="000000"/>
          <w:sz w:val="20"/>
        </w:rPr>
        <w:t xml:space="preserve">” </w:t>
      </w:r>
      <w:r>
        <w:rPr>
          <w:rFonts w:ascii="Times New Roman" w:hAnsi="Times New Roman"/>
          <w:color w:val="000000"/>
          <w:sz w:val="24"/>
        </w:rPr>
        <w:t>shall have the meaning specified in ‎Section 14.12(a).</w:t>
      </w:r>
    </w:p>
    <w:p>
      <w:pPr>
        <w:pStyle w:val="TextBody"/>
        <w:bidi w:val="0"/>
        <w:spacing w:before="0" w:after="240"/>
        <w:jc w:val="left"/>
        <w:rPr/>
      </w:pPr>
      <w:r>
        <w:rPr>
          <w:color w:val="000000"/>
        </w:rPr>
        <w:t>“</w:t>
      </w:r>
      <w:r>
        <w:rPr>
          <w:rFonts w:ascii="Times New Roman" w:hAnsi="Times New Roman"/>
          <w:b/>
          <w:color w:val="000000"/>
          <w:sz w:val="24"/>
        </w:rPr>
        <w:t>Conversion Date</w:t>
      </w:r>
      <w:r>
        <w:rPr>
          <w:rFonts w:ascii="Times New Roman" w:hAnsi="Times New Roman"/>
          <w:color w:val="000000"/>
          <w:sz w:val="20"/>
        </w:rPr>
        <w:t xml:space="preserve">” </w:t>
      </w:r>
      <w:r>
        <w:rPr>
          <w:rFonts w:ascii="Times New Roman" w:hAnsi="Times New Roman"/>
          <w:color w:val="000000"/>
          <w:sz w:val="24"/>
        </w:rPr>
        <w:t>shall have the meaning specified in ‎Section 14.02(c).</w:t>
      </w:r>
    </w:p>
    <w:p>
      <w:pPr>
        <w:pStyle w:val="TextBody"/>
        <w:bidi w:val="0"/>
        <w:spacing w:before="0" w:after="240"/>
        <w:jc w:val="left"/>
        <w:rPr/>
      </w:pPr>
      <w:r>
        <w:rPr>
          <w:color w:val="000000"/>
        </w:rPr>
        <w:t>“</w:t>
      </w:r>
      <w:r>
        <w:rPr>
          <w:rFonts w:ascii="Times New Roman" w:hAnsi="Times New Roman"/>
          <w:b/>
          <w:color w:val="000000"/>
          <w:sz w:val="24"/>
        </w:rPr>
        <w:t>Conversion Obligation</w:t>
      </w:r>
      <w:r>
        <w:rPr>
          <w:rFonts w:ascii="Times New Roman" w:hAnsi="Times New Roman"/>
          <w:color w:val="000000"/>
          <w:sz w:val="20"/>
        </w:rPr>
        <w:t xml:space="preserve">” </w:t>
      </w:r>
      <w:r>
        <w:rPr>
          <w:rFonts w:ascii="Times New Roman" w:hAnsi="Times New Roman"/>
          <w:color w:val="000000"/>
          <w:sz w:val="24"/>
        </w:rPr>
        <w:t>shall have the meaning specified in ‎Section 14.01(a).</w:t>
      </w:r>
    </w:p>
    <w:p>
      <w:pPr>
        <w:pStyle w:val="TextBody"/>
        <w:bidi w:val="0"/>
        <w:spacing w:before="0" w:after="240"/>
        <w:jc w:val="left"/>
        <w:rPr/>
      </w:pPr>
      <w:r>
        <w:rPr>
          <w:color w:val="000000"/>
        </w:rPr>
        <w:t>“</w:t>
      </w:r>
      <w:r>
        <w:rPr>
          <w:rFonts w:ascii="Times New Roman" w:hAnsi="Times New Roman"/>
          <w:b/>
          <w:color w:val="000000"/>
          <w:sz w:val="24"/>
        </w:rPr>
        <w:t>Conversion Price</w:t>
      </w:r>
      <w:r>
        <w:rPr>
          <w:rFonts w:ascii="Times New Roman" w:hAnsi="Times New Roman"/>
          <w:color w:val="000000"/>
          <w:sz w:val="20"/>
        </w:rPr>
        <w:t xml:space="preserve">” </w:t>
      </w:r>
      <w:r>
        <w:rPr>
          <w:rFonts w:ascii="Times New Roman" w:hAnsi="Times New Roman"/>
          <w:color w:val="000000"/>
          <w:sz w:val="24"/>
        </w:rPr>
        <w:t xml:space="preserve">means as of any time, $1,000, </w:t>
      </w:r>
      <w:r>
        <w:rPr>
          <w:rFonts w:ascii="Times New Roman" w:hAnsi="Times New Roman"/>
          <w:i/>
          <w:color w:val="000000"/>
          <w:sz w:val="24"/>
        </w:rPr>
        <w:t>divided by</w:t>
      </w:r>
      <w:r>
        <w:rPr>
          <w:rFonts w:ascii="Times New Roman" w:hAnsi="Times New Roman"/>
          <w:color w:val="000000"/>
          <w:sz w:val="20"/>
        </w:rPr>
        <w:t xml:space="preserve"> </w:t>
      </w:r>
      <w:r>
        <w:rPr>
          <w:rFonts w:ascii="Times New Roman" w:hAnsi="Times New Roman"/>
          <w:color w:val="000000"/>
          <w:sz w:val="24"/>
        </w:rPr>
        <w:t>the Conversion Rate as of such time.</w:t>
      </w:r>
    </w:p>
    <w:p>
      <w:pPr>
        <w:pStyle w:val="TextBody"/>
        <w:bidi w:val="0"/>
        <w:spacing w:before="0" w:after="240"/>
        <w:jc w:val="left"/>
        <w:rPr/>
      </w:pPr>
      <w:r>
        <w:rPr>
          <w:color w:val="000000"/>
        </w:rPr>
        <w:t>“</w:t>
      </w:r>
      <w:r>
        <w:rPr>
          <w:rFonts w:ascii="Times New Roman" w:hAnsi="Times New Roman"/>
          <w:b/>
          <w:color w:val="000000"/>
          <w:sz w:val="24"/>
        </w:rPr>
        <w:t>Conversion Rate</w:t>
      </w:r>
      <w:r>
        <w:rPr>
          <w:rFonts w:ascii="Times New Roman" w:hAnsi="Times New Roman"/>
          <w:color w:val="000000"/>
          <w:sz w:val="20"/>
        </w:rPr>
        <w:t xml:space="preserve">” </w:t>
      </w:r>
      <w:r>
        <w:rPr>
          <w:rFonts w:ascii="Times New Roman" w:hAnsi="Times New Roman"/>
          <w:color w:val="000000"/>
          <w:sz w:val="24"/>
        </w:rPr>
        <w:t>shall have the meaning specified in ‎Section 14.01(a).</w:t>
      </w:r>
    </w:p>
    <w:p>
      <w:pPr>
        <w:pStyle w:val="TextBody"/>
        <w:bidi w:val="0"/>
        <w:spacing w:before="0" w:after="240"/>
        <w:jc w:val="left"/>
        <w:rPr/>
      </w:pPr>
      <w:r>
        <w:rPr>
          <w:color w:val="000000"/>
        </w:rPr>
        <w:t>“</w:t>
      </w:r>
      <w:r>
        <w:rPr>
          <w:rFonts w:ascii="Times New Roman" w:hAnsi="Times New Roman"/>
          <w:b/>
          <w:color w:val="000000"/>
          <w:sz w:val="24"/>
        </w:rPr>
        <w:t>Corporate Event</w:t>
      </w:r>
      <w:r>
        <w:rPr>
          <w:rFonts w:ascii="Times New Roman" w:hAnsi="Times New Roman"/>
          <w:color w:val="000000"/>
          <w:sz w:val="20"/>
        </w:rPr>
        <w:t xml:space="preserve">” </w:t>
      </w:r>
      <w:r>
        <w:rPr>
          <w:rFonts w:ascii="Times New Roman" w:hAnsi="Times New Roman"/>
          <w:color w:val="000000"/>
          <w:sz w:val="24"/>
        </w:rPr>
        <w:t>shall have the meaning specified in ‎Section 14.01(b)(iii).</w:t>
      </w:r>
    </w:p>
    <w:p>
      <w:pPr>
        <w:pStyle w:val="TextBody"/>
        <w:bidi w:val="0"/>
        <w:spacing w:before="0" w:after="240"/>
        <w:jc w:val="left"/>
        <w:rPr/>
      </w:pPr>
      <w:r>
        <w:rPr>
          <w:color w:val="000000"/>
        </w:rPr>
        <w:t>“</w:t>
      </w:r>
      <w:r>
        <w:rPr>
          <w:rFonts w:ascii="Times New Roman" w:hAnsi="Times New Roman"/>
          <w:b/>
          <w:color w:val="000000"/>
          <w:sz w:val="24"/>
        </w:rPr>
        <w:t>Corporate Trust Office</w:t>
      </w:r>
      <w:r>
        <w:rPr>
          <w:rFonts w:ascii="Times New Roman" w:hAnsi="Times New Roman"/>
          <w:color w:val="000000"/>
          <w:sz w:val="20"/>
        </w:rPr>
        <w:t xml:space="preserve">” </w:t>
      </w:r>
      <w:r>
        <w:rPr>
          <w:rFonts w:ascii="Times New Roman" w:hAnsi="Times New Roman"/>
          <w:color w:val="000000"/>
          <w:sz w:val="24"/>
        </w:rPr>
        <w:t>means the designated office of the Trustee at which at any time this Indenture shall be administered, which office at the date hereof is located at 2 Concourse Parkway NE, Suite 800, Atlanta, GA 30328, Attention: Greg M. Jackson,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240"/>
        <w:jc w:val="left"/>
        <w:rPr/>
      </w:pPr>
      <w:r>
        <w:rPr>
          <w:color w:val="000000"/>
        </w:rPr>
        <w:t>“</w:t>
      </w:r>
      <w:r>
        <w:rPr>
          <w:rFonts w:ascii="Times New Roman" w:hAnsi="Times New Roman"/>
          <w:b/>
          <w:color w:val="000000"/>
          <w:sz w:val="24"/>
        </w:rPr>
        <w:t>Custodian</w:t>
      </w:r>
      <w:r>
        <w:rPr>
          <w:rFonts w:ascii="Times New Roman" w:hAnsi="Times New Roman"/>
          <w:color w:val="000000"/>
          <w:sz w:val="20"/>
        </w:rPr>
        <w:t xml:space="preserve">” </w:t>
      </w:r>
      <w:r>
        <w:rPr>
          <w:rFonts w:ascii="Times New Roman" w:hAnsi="Times New Roman"/>
          <w:color w:val="000000"/>
          <w:sz w:val="24"/>
        </w:rPr>
        <w:t>means the Trustee, as custodian for The Depository Trust Company, with respect to the Global Notes, or any successor entity thereto.</w:t>
      </w:r>
    </w:p>
    <w:p>
      <w:pPr>
        <w:pStyle w:val="TextBody"/>
        <w:bidi w:val="0"/>
        <w:spacing w:before="0" w:after="240"/>
        <w:jc w:val="left"/>
        <w:rPr/>
      </w:pPr>
      <w:r>
        <w:rPr>
          <w:color w:val="000000"/>
        </w:rPr>
        <w:t>“</w:t>
      </w:r>
      <w:r>
        <w:rPr>
          <w:rFonts w:ascii="Times New Roman" w:hAnsi="Times New Roman"/>
          <w:b/>
          <w:color w:val="000000"/>
          <w:sz w:val="24"/>
        </w:rPr>
        <w:t>Daily Conversion Value</w:t>
      </w:r>
      <w:r>
        <w:rPr>
          <w:rFonts w:ascii="Times New Roman" w:hAnsi="Times New Roman"/>
          <w:color w:val="000000"/>
          <w:sz w:val="20"/>
        </w:rPr>
        <w:t xml:space="preserve">” </w:t>
      </w:r>
      <w:r>
        <w:rPr>
          <w:rFonts w:ascii="Times New Roman" w:hAnsi="Times New Roman"/>
          <w:color w:val="000000"/>
          <w:sz w:val="24"/>
        </w:rPr>
        <w:t>means, for each of the 30 consecutive Trading Days during the relevant Observation Period, one-thirtieth (1/30th) of the product of (a) the Conversion Rate on such Trading Day and (b) the Daily VWAP for such Trading Day.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Daily Measurement Value</w:t>
      </w:r>
      <w:r>
        <w:rPr>
          <w:rFonts w:ascii="Times New Roman" w:hAnsi="Times New Roman"/>
          <w:color w:val="000000"/>
          <w:sz w:val="20"/>
        </w:rPr>
        <w:t xml:space="preserve">” </w:t>
      </w:r>
      <w:r>
        <w:rPr>
          <w:rFonts w:ascii="Times New Roman" w:hAnsi="Times New Roman"/>
          <w:color w:val="000000"/>
          <w:sz w:val="24"/>
        </w:rPr>
        <w:t xml:space="preserve">means the quotient resulting from $1,000 </w:t>
      </w:r>
      <w:r>
        <w:rPr>
          <w:rFonts w:ascii="Times New Roman" w:hAnsi="Times New Roman"/>
          <w:i/>
          <w:color w:val="000000"/>
          <w:sz w:val="24"/>
        </w:rPr>
        <w:t xml:space="preserve">divided by </w:t>
      </w:r>
      <w:r>
        <w:rPr>
          <w:rFonts w:ascii="Times New Roman" w:hAnsi="Times New Roman"/>
          <w:color w:val="000000"/>
          <w:sz w:val="24"/>
        </w:rPr>
        <w:t>30.</w:t>
      </w:r>
    </w:p>
    <w:p>
      <w:pPr>
        <w:pStyle w:val="TextBody"/>
        <w:bidi w:val="0"/>
        <w:spacing w:before="0" w:after="240"/>
        <w:jc w:val="left"/>
        <w:rPr/>
      </w:pPr>
      <w:r>
        <w:rPr>
          <w:color w:val="000000"/>
        </w:rPr>
        <w:t>“</w:t>
      </w:r>
      <w:r>
        <w:rPr>
          <w:rFonts w:ascii="Times New Roman" w:hAnsi="Times New Roman"/>
          <w:b/>
          <w:color w:val="000000"/>
          <w:sz w:val="24"/>
        </w:rPr>
        <w:t>Daily Net Settlement Amount</w:t>
      </w:r>
      <w:r>
        <w:rPr>
          <w:rFonts w:ascii="Times New Roman" w:hAnsi="Times New Roman"/>
          <w:color w:val="000000"/>
          <w:sz w:val="20"/>
        </w:rPr>
        <w:t xml:space="preserve">” </w:t>
      </w:r>
      <w:r>
        <w:rPr>
          <w:rFonts w:ascii="Times New Roman" w:hAnsi="Times New Roman"/>
          <w:color w:val="000000"/>
          <w:sz w:val="24"/>
        </w:rPr>
        <w:t>means, for each of the 30 consecutive Trading Days during the relevant Observation Period: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if the Company does not elect a Cash Percentage or the Company elects (or is deemed to have elected) a Cash Percentage of 0% as set forth herein, a number of shares of the Common Stock equal to (i) the difference between the Daily Conversion Value and the Daily Measurement Value, </w:t>
      </w:r>
      <w:r>
        <w:rPr>
          <w:rFonts w:ascii="Times New Roman" w:hAnsi="Times New Roman"/>
          <w:i/>
          <w:color w:val="000000"/>
          <w:sz w:val="24"/>
        </w:rPr>
        <w:t>divided by</w:t>
      </w:r>
      <w:r>
        <w:rPr>
          <w:rFonts w:ascii="Times New Roman" w:hAnsi="Times New Roman"/>
          <w:color w:val="000000"/>
          <w:sz w:val="20"/>
        </w:rPr>
        <w:t xml:space="preserve"> </w:t>
      </w:r>
      <w:r>
        <w:rPr>
          <w:rFonts w:ascii="Times New Roman" w:hAnsi="Times New Roman"/>
          <w:color w:val="000000"/>
          <w:sz w:val="24"/>
        </w:rPr>
        <w:t>(ii) the Daily VWAP for such Trading Day;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Company elects a Cash Percentage of 100% as set forth herein, cash in an amount equal to the difference between the Daily Conversion Value and the Daily Measurement Value; 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if the Company elects a Cash Percentage of less than 100% but greater than 0% as set forth herein, (i) cash equal to the product of (x) the difference between the Daily Conversion Value and the Daily Measurement Value and (y) the Cash Percentage,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(ii) a number of shares of the Common Stock equal to the product of (x) (A) the difference between the Daily Conversion Value and the Daily Measurement Value, </w:t>
      </w:r>
      <w:r>
        <w:rPr>
          <w:rFonts w:ascii="Times New Roman" w:hAnsi="Times New Roman"/>
          <w:i/>
          <w:color w:val="000000"/>
          <w:sz w:val="24"/>
        </w:rPr>
        <w:t>divided by</w:t>
      </w:r>
      <w:r>
        <w:rPr>
          <w:rFonts w:ascii="Times New Roman" w:hAnsi="Times New Roman"/>
          <w:color w:val="000000"/>
          <w:sz w:val="20"/>
        </w:rPr>
        <w:t xml:space="preserve"> </w:t>
      </w:r>
      <w:r>
        <w:rPr>
          <w:rFonts w:ascii="Times New Roman" w:hAnsi="Times New Roman"/>
          <w:color w:val="000000"/>
          <w:sz w:val="24"/>
        </w:rPr>
        <w:t xml:space="preserve">(B) the Daily VWAP for such Trading Day and (y) 100%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the Cash Percentage.</w:t>
      </w:r>
    </w:p>
    <w:p>
      <w:pPr>
        <w:pStyle w:val="TextBody"/>
        <w:bidi w:val="0"/>
        <w:spacing w:before="0" w:after="240"/>
        <w:jc w:val="left"/>
        <w:rPr/>
      </w:pPr>
      <w:r>
        <w:rPr>
          <w:color w:val="000000"/>
        </w:rPr>
        <w:t>“</w:t>
      </w:r>
      <w:r>
        <w:rPr>
          <w:rFonts w:ascii="Times New Roman" w:hAnsi="Times New Roman"/>
          <w:b/>
          <w:color w:val="000000"/>
          <w:sz w:val="24"/>
        </w:rPr>
        <w:t>Daily Settlement Amount</w:t>
      </w:r>
      <w:r>
        <w:rPr>
          <w:rFonts w:ascii="Times New Roman" w:hAnsi="Times New Roman"/>
          <w:color w:val="000000"/>
          <w:sz w:val="24"/>
        </w:rPr>
        <w:t>,” for each of the 30 consecutive Trading Days during the relevant Observation Period, shall consist 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cash in an amount equal to the lesser of (i) the Daily Measurement Value and (ii) the Daily Conversion Value on such Trading Day;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Daily Conversion Value on such Trading Day exceeds the Daily Measurement Value, the Daily Net Settlement Amount.</w:t>
      </w:r>
    </w:p>
    <w:p>
      <w:pPr>
        <w:pStyle w:val="TextBody"/>
        <w:bidi w:val="0"/>
        <w:spacing w:before="0" w:after="240"/>
        <w:jc w:val="left"/>
        <w:rPr/>
      </w:pPr>
      <w:r>
        <w:rPr>
          <w:color w:val="000000"/>
        </w:rPr>
        <w:t>“</w:t>
      </w:r>
      <w:r>
        <w:rPr>
          <w:rFonts w:ascii="Times New Roman" w:hAnsi="Times New Roman"/>
          <w:b/>
          <w:color w:val="000000"/>
          <w:sz w:val="24"/>
        </w:rPr>
        <w:t>Daily VWAP</w:t>
      </w:r>
      <w:r>
        <w:rPr>
          <w:rFonts w:ascii="Times New Roman" w:hAnsi="Times New Roman"/>
          <w:color w:val="000000"/>
          <w:sz w:val="20"/>
        </w:rPr>
        <w:t xml:space="preserve">” </w:t>
      </w:r>
      <w:r>
        <w:rPr>
          <w:rFonts w:ascii="Times New Roman" w:hAnsi="Times New Roman"/>
          <w:color w:val="000000"/>
          <w:sz w:val="24"/>
        </w:rPr>
        <w:t>means, for each of the 30 consecutive Trading Days during the relevant Observation Period, the per share volume-weighted average price as displayed under the heading “Bloomberg VWAP” on Bloomberg page “DIOD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hAnsi="Times New Roman"/>
          <w:b/>
          <w:color w:val="000000"/>
          <w:sz w:val="24"/>
        </w:rPr>
        <w:t>Daily VWAP</w:t>
      </w:r>
      <w:r>
        <w:rPr>
          <w:rFonts w:ascii="Times New Roman" w:hAnsi="Times New Roman"/>
          <w:color w:val="000000"/>
          <w:sz w:val="20"/>
        </w:rPr>
        <w:t xml:space="preserve">” </w:t>
      </w:r>
      <w:r>
        <w:rPr>
          <w:rFonts w:ascii="Times New Roman" w:hAnsi="Times New Roman"/>
          <w:color w:val="000000"/>
          <w:sz w:val="24"/>
        </w:rPr>
        <w:t>shall be determined without regard to after-hours trading or any other trading outside of the regular trading session trading hours.</w:t>
      </w:r>
    </w:p>
    <w:p>
      <w:pPr>
        <w:pStyle w:val="TextBody"/>
        <w:bidi w:val="0"/>
        <w:spacing w:before="0" w:after="240"/>
        <w:jc w:val="left"/>
        <w:rPr/>
      </w:pPr>
      <w:r>
        <w:rPr>
          <w:color w:val="000000"/>
        </w:rPr>
        <w:t>“</w:t>
      </w:r>
      <w:r>
        <w:rPr>
          <w:rFonts w:ascii="Times New Roman" w:hAnsi="Times New Roman"/>
          <w:b/>
          <w:color w:val="000000"/>
          <w:sz w:val="24"/>
        </w:rPr>
        <w:t>De-Legending Deadline Date</w:t>
      </w:r>
      <w:r>
        <w:rPr>
          <w:rFonts w:ascii="Times New Roman" w:hAnsi="Times New Roman"/>
          <w:color w:val="000000"/>
          <w:sz w:val="20"/>
        </w:rPr>
        <w:t xml:space="preserve">” </w:t>
      </w:r>
      <w:r>
        <w:rPr>
          <w:rFonts w:ascii="Times New Roman" w:hAnsi="Times New Roman"/>
          <w:color w:val="000000"/>
          <w:sz w:val="24"/>
        </w:rPr>
        <w:t>means, with respect to the Notes issued pursuant to the Purchase Agreement (or any Notes issued in exchange or substitution thereof) or any additional Notes issued pursuant to ‎Section 2.10 (or any Notes issued in exchange or substitution thereof),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380th day after the last date of original issuance of such Notes or additional Notes, as applicable;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380th day is after a Special Interest Record Date and on or before the corresponding Special Interest Payment Date, then the “</w:t>
      </w:r>
      <w:r>
        <w:rPr>
          <w:rFonts w:ascii="Times New Roman" w:hAnsi="Times New Roman"/>
          <w:b/>
          <w:color w:val="000000"/>
          <w:sz w:val="24"/>
        </w:rPr>
        <w:t>De-Legending Deadline Date</w:t>
      </w:r>
      <w:r>
        <w:rPr>
          <w:rFonts w:ascii="Times New Roman" w:hAnsi="Times New Roman"/>
          <w:color w:val="000000"/>
          <w:sz w:val="20"/>
        </w:rPr>
        <w:t xml:space="preserve">” </w:t>
      </w:r>
      <w:r>
        <w:rPr>
          <w:rFonts w:ascii="Times New Roman" w:hAnsi="Times New Roman"/>
          <w:color w:val="000000"/>
          <w:sz w:val="24"/>
        </w:rPr>
        <w:t>shall instead be the fifth Business Day immediately after such Special Interest Payment Date.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color w:val="000000"/>
          <w:sz w:val="24"/>
        </w:rPr>
        <w:t>Deemed Redemption</w:t>
      </w:r>
      <w:r>
        <w:rPr>
          <w:rFonts w:ascii="Times New Roman" w:hAnsi="Times New Roman"/>
          <w:color w:val="000000"/>
          <w:sz w:val="20"/>
        </w:rPr>
        <w:t xml:space="preserve">” </w:t>
      </w:r>
      <w:r>
        <w:rPr>
          <w:rFonts w:ascii="Times New Roman" w:hAnsi="Times New Roman"/>
          <w:color w:val="000000"/>
          <w:sz w:val="24"/>
        </w:rPr>
        <w:t>shall have the meaning specified in ‎‎Section 14.01(b)(v).</w:t>
      </w:r>
    </w:p>
    <w:p>
      <w:pPr>
        <w:pStyle w:val="TextBody"/>
        <w:bidi w:val="0"/>
        <w:spacing w:before="0" w:after="240"/>
        <w:jc w:val="left"/>
        <w:rPr/>
      </w:pPr>
      <w:r>
        <w:rPr>
          <w:color w:val="000000"/>
        </w:rPr>
        <w:t>“</w:t>
      </w:r>
      <w:r>
        <w:rPr>
          <w:rFonts w:ascii="Times New Roman" w:hAnsi="Times New Roman"/>
          <w:b/>
          <w:color w:val="000000"/>
          <w:sz w:val="24"/>
        </w:rPr>
        <w:t>Default</w:t>
      </w:r>
      <w:r>
        <w:rPr>
          <w:rFonts w:ascii="Times New Roman" w:hAnsi="Times New Roman"/>
          <w:color w:val="000000"/>
          <w:sz w:val="20"/>
        </w:rPr>
        <w:t xml:space="preserve">” </w:t>
      </w:r>
      <w:r>
        <w:rPr>
          <w:rFonts w:ascii="Times New Roman" w:hAnsi="Times New Roman"/>
          <w:color w:val="000000"/>
          <w:sz w:val="24"/>
        </w:rPr>
        <w:t>means any event that is, or after notice or passage of time, or both, would be, an Event of Default.</w:t>
      </w:r>
    </w:p>
    <w:p>
      <w:pPr>
        <w:pStyle w:val="TextBody"/>
        <w:bidi w:val="0"/>
        <w:spacing w:before="0" w:after="240"/>
        <w:jc w:val="left"/>
        <w:rPr/>
      </w:pPr>
      <w:r>
        <w:rPr>
          <w:color w:val="000000"/>
        </w:rPr>
        <w:t>“</w:t>
      </w:r>
      <w:r>
        <w:rPr>
          <w:rFonts w:ascii="Times New Roman" w:hAnsi="Times New Roman"/>
          <w:b/>
          <w:color w:val="000000"/>
          <w:sz w:val="24"/>
        </w:rPr>
        <w:t>Defaulted Amounts</w:t>
      </w:r>
      <w:r>
        <w:rPr>
          <w:rFonts w:ascii="Times New Roman" w:hAnsi="Times New Roman"/>
          <w:color w:val="000000"/>
          <w:sz w:val="20"/>
        </w:rPr>
        <w:t xml:space="preserve">” </w:t>
      </w:r>
      <w:r>
        <w:rPr>
          <w:rFonts w:ascii="Times New Roman" w:hAnsi="Times New Roman"/>
          <w:color w:val="000000"/>
          <w:sz w:val="24"/>
        </w:rPr>
        <w:t>means any amounts on any Note (including, without limitation, the Redemption Price, the Fundamental Change Repurchase Price, principal and Special Interest, if any) that are payable but are not punctually paid or duly provided for.</w:t>
      </w:r>
    </w:p>
    <w:p>
      <w:pPr>
        <w:pStyle w:val="TextBody"/>
        <w:bidi w:val="0"/>
        <w:spacing w:before="0" w:after="240"/>
        <w:jc w:val="left"/>
        <w:rPr/>
      </w:pPr>
      <w:r>
        <w:rPr>
          <w:color w:val="000000"/>
        </w:rPr>
        <w:t>“</w:t>
      </w:r>
      <w:r>
        <w:rPr>
          <w:rFonts w:ascii="Times New Roman" w:hAnsi="Times New Roman"/>
          <w:b/>
          <w:color w:val="000000"/>
          <w:sz w:val="24"/>
        </w:rPr>
        <w:t>Depositary</w:t>
      </w:r>
      <w:r>
        <w:rPr>
          <w:rFonts w:ascii="Times New Roman" w:hAnsi="Times New Roman"/>
          <w:color w:val="000000"/>
          <w:sz w:val="20"/>
        </w:rPr>
        <w:t xml:space="preserve">” </w:t>
      </w:r>
      <w:r>
        <w:rPr>
          <w:rFonts w:ascii="Times New Roman" w:hAnsi="Times New Roman"/>
          <w:color w:val="000000"/>
          <w:sz w:val="24"/>
        </w:rPr>
        <w:t>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hAnsi="Times New Roman"/>
          <w:b/>
          <w:color w:val="000000"/>
          <w:sz w:val="24"/>
        </w:rPr>
        <w:t>Depositary</w:t>
      </w:r>
      <w:r>
        <w:rPr>
          <w:rFonts w:ascii="Times New Roman" w:hAnsi="Times New Roman"/>
          <w:color w:val="000000"/>
          <w:sz w:val="20"/>
        </w:rPr>
        <w:t xml:space="preserve">” </w:t>
      </w:r>
      <w:r>
        <w:rPr>
          <w:rFonts w:ascii="Times New Roman" w:hAnsi="Times New Roman"/>
          <w:color w:val="000000"/>
          <w:sz w:val="24"/>
        </w:rPr>
        <w:t>shall mean or include such successor.</w:t>
      </w:r>
    </w:p>
    <w:p>
      <w:pPr>
        <w:pStyle w:val="TextBody"/>
        <w:bidi w:val="0"/>
        <w:spacing w:before="0" w:after="240"/>
        <w:jc w:val="left"/>
        <w:rPr/>
      </w:pPr>
      <w:r>
        <w:rPr>
          <w:color w:val="000000"/>
        </w:rPr>
        <w:t>“</w:t>
      </w:r>
      <w:r>
        <w:rPr>
          <w:rFonts w:ascii="Times New Roman" w:hAnsi="Times New Roman"/>
          <w:b/>
          <w:color w:val="000000"/>
          <w:sz w:val="24"/>
        </w:rPr>
        <w:t>Designated Financial Institution</w:t>
      </w:r>
      <w:r>
        <w:rPr>
          <w:rFonts w:ascii="Times New Roman" w:hAnsi="Times New Roman"/>
          <w:color w:val="000000"/>
          <w:sz w:val="20"/>
        </w:rPr>
        <w:t xml:space="preserve">” </w:t>
      </w:r>
      <w:r>
        <w:rPr>
          <w:rFonts w:ascii="Times New Roman" w:hAnsi="Times New Roman"/>
          <w:color w:val="000000"/>
          <w:sz w:val="24"/>
        </w:rPr>
        <w:t>shall have the meaning specified in ‎Section 14.12(a).</w:t>
      </w:r>
    </w:p>
    <w:p>
      <w:pPr>
        <w:pStyle w:val="TextBody"/>
        <w:bidi w:val="0"/>
        <w:spacing w:before="0" w:after="240"/>
        <w:jc w:val="left"/>
        <w:rPr/>
      </w:pPr>
      <w:r>
        <w:rPr>
          <w:color w:val="000000"/>
        </w:rPr>
        <w:t>“</w:t>
      </w:r>
      <w:r>
        <w:rPr>
          <w:rFonts w:ascii="Times New Roman" w:hAnsi="Times New Roman"/>
          <w:b/>
          <w:color w:val="000000"/>
          <w:sz w:val="24"/>
        </w:rPr>
        <w:t>Distributed Property</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shall have the meaning specified in ‎Section 14.03(c), except that, as used in ‎Section 14.04 and ‎Section 14.05, “</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240"/>
        <w:jc w:val="left"/>
        <w:rPr/>
      </w:pPr>
      <w:r>
        <w:rPr>
          <w:color w:val="000000"/>
        </w:rPr>
        <w:t>“</w:t>
      </w:r>
      <w:r>
        <w:rPr>
          <w:rFonts w:ascii="Times New Roman" w:hAnsi="Times New Roman"/>
          <w:b/>
          <w:color w:val="000000"/>
          <w:sz w:val="24"/>
        </w:rPr>
        <w:t>Event of Default</w:t>
      </w:r>
      <w:r>
        <w:rPr>
          <w:rFonts w:ascii="Times New Roman" w:hAnsi="Times New Roman"/>
          <w:color w:val="000000"/>
          <w:sz w:val="20"/>
        </w:rPr>
        <w:t xml:space="preserve">” </w:t>
      </w:r>
      <w:r>
        <w:rPr>
          <w:rFonts w:ascii="Times New Roman" w:hAnsi="Times New Roman"/>
          <w:color w:val="000000"/>
          <w:sz w:val="24"/>
        </w:rPr>
        <w:t>shall have the meaning specified in ‎Section 6.01.</w:t>
      </w:r>
    </w:p>
    <w:p>
      <w:pPr>
        <w:pStyle w:val="TextBody"/>
        <w:bidi w:val="0"/>
        <w:spacing w:before="0" w:after="240"/>
        <w:jc w:val="left"/>
        <w:rPr/>
      </w:pPr>
      <w:r>
        <w:rPr>
          <w:color w:val="000000"/>
        </w:rPr>
        <w:t>“</w:t>
      </w:r>
      <w:r>
        <w:rPr>
          <w:rFonts w:ascii="Times New Roman" w:hAnsi="Times New Roman"/>
          <w:b/>
          <w:color w:val="000000"/>
          <w:sz w:val="24"/>
        </w:rPr>
        <w:t>Ex-Dividend Date</w:t>
      </w:r>
      <w:r>
        <w:rPr>
          <w:rFonts w:ascii="Times New Roman" w:hAnsi="Times New Roman"/>
          <w:color w:val="000000"/>
          <w:sz w:val="20"/>
        </w:rPr>
        <w:t xml:space="preserve">” </w:t>
      </w:r>
      <w:r>
        <w:rPr>
          <w:rFonts w:ascii="Times New Roman" w:hAnsi="Times New Roman"/>
          <w:color w:val="000000"/>
          <w:sz w:val="24"/>
        </w:rPr>
        <w:t>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Times New Roman" w:hAnsi="Times New Roman"/>
          <w:b/>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Exchange Election</w:t>
      </w:r>
      <w:r>
        <w:rPr>
          <w:rFonts w:ascii="Times New Roman" w:hAnsi="Times New Roman"/>
          <w:color w:val="000000"/>
          <w:sz w:val="20"/>
        </w:rPr>
        <w:t xml:space="preserve">” </w:t>
      </w:r>
      <w:r>
        <w:rPr>
          <w:rFonts w:ascii="Times New Roman" w:hAnsi="Times New Roman"/>
          <w:color w:val="000000"/>
          <w:sz w:val="24"/>
        </w:rPr>
        <w:t>shall have the meaning specified in ‎Section 14.12(a).</w:t>
      </w:r>
    </w:p>
    <w:p>
      <w:pPr>
        <w:pStyle w:val="TextBody"/>
        <w:bidi w:val="0"/>
        <w:spacing w:before="0" w:after="240"/>
        <w:jc w:val="left"/>
        <w:rPr/>
      </w:pPr>
      <w:r>
        <w:rPr>
          <w:color w:val="000000"/>
        </w:rPr>
        <w:t>“</w:t>
      </w:r>
      <w:r>
        <w:rPr>
          <w:rFonts w:ascii="Times New Roman" w:hAnsi="Times New Roman"/>
          <w:b/>
          <w:color w:val="000000"/>
          <w:sz w:val="24"/>
        </w:rPr>
        <w:t>Exempted Fundamental Change</w:t>
      </w:r>
      <w:r>
        <w:rPr>
          <w:rFonts w:ascii="Times New Roman" w:hAnsi="Times New Roman"/>
          <w:color w:val="000000"/>
          <w:sz w:val="20"/>
        </w:rPr>
        <w:t xml:space="preserve">” </w:t>
      </w:r>
      <w:r>
        <w:rPr>
          <w:rFonts w:ascii="Times New Roman" w:hAnsi="Times New Roman"/>
          <w:color w:val="000000"/>
          <w:sz w:val="24"/>
        </w:rPr>
        <w:t>shall have the meaning specified in ‎Section 15.02(f).</w:t>
      </w:r>
    </w:p>
    <w:p>
      <w:pPr>
        <w:pStyle w:val="TextBody"/>
        <w:bidi w:val="0"/>
        <w:spacing w:before="0" w:after="240"/>
        <w:jc w:val="left"/>
        <w:rPr/>
      </w:pPr>
      <w:r>
        <w:rPr>
          <w:color w:val="000000"/>
        </w:rPr>
        <w:t>“</w:t>
      </w:r>
      <w:r>
        <w:rPr>
          <w:rFonts w:ascii="Times New Roman" w:hAnsi="Times New Roman"/>
          <w:b/>
          <w:color w:val="000000"/>
          <w:sz w:val="24"/>
        </w:rPr>
        <w:t>Form of Assignment and Transfer</w:t>
      </w:r>
      <w:r>
        <w:rPr>
          <w:rFonts w:ascii="Times New Roman" w:hAnsi="Times New Roman"/>
          <w:color w:val="000000"/>
          <w:sz w:val="20"/>
        </w:rPr>
        <w:t xml:space="preserve">” </w:t>
      </w:r>
      <w:r>
        <w:rPr>
          <w:rFonts w:ascii="Times New Roman" w:hAnsi="Times New Roman"/>
          <w:color w:val="000000"/>
          <w:sz w:val="24"/>
        </w:rPr>
        <w:t>means the “Form of Assignment and Transfer” attached as Attachment 3 to the Form of Note attached hereto as Exhibit A.</w:t>
      </w:r>
    </w:p>
    <w:p>
      <w:pPr>
        <w:pStyle w:val="TextBody"/>
        <w:bidi w:val="0"/>
        <w:spacing w:before="0" w:after="240"/>
        <w:jc w:val="left"/>
        <w:rPr/>
      </w:pPr>
      <w:r>
        <w:rPr>
          <w:color w:val="000000"/>
        </w:rPr>
        <w:t>“</w:t>
      </w:r>
      <w:r>
        <w:rPr>
          <w:rFonts w:ascii="Times New Roman" w:hAnsi="Times New Roman"/>
          <w:b/>
          <w:color w:val="000000"/>
          <w:sz w:val="24"/>
        </w:rPr>
        <w:t>Form of Fundamental Change Repurchase Notice</w:t>
      </w:r>
      <w:r>
        <w:rPr>
          <w:rFonts w:ascii="Times New Roman" w:hAnsi="Times New Roman"/>
          <w:color w:val="000000"/>
          <w:sz w:val="20"/>
        </w:rPr>
        <w:t xml:space="preserve">” </w:t>
      </w:r>
      <w:r>
        <w:rPr>
          <w:rFonts w:ascii="Times New Roman" w:hAnsi="Times New Roman"/>
          <w:color w:val="000000"/>
          <w:sz w:val="24"/>
        </w:rPr>
        <w:t>means the “Form of Fundamental Change Repurchase Notice” attached as Attachment 2 to the Form of Note attached hereto as Exhibit A.</w:t>
      </w:r>
    </w:p>
    <w:p>
      <w:pPr>
        <w:pStyle w:val="TextBody"/>
        <w:bidi w:val="0"/>
        <w:spacing w:before="0" w:after="240"/>
        <w:jc w:val="left"/>
        <w:rPr/>
      </w:pPr>
      <w:r>
        <w:rPr>
          <w:color w:val="000000"/>
        </w:rPr>
        <w:t>“</w:t>
      </w:r>
      <w:r>
        <w:rPr>
          <w:rFonts w:ascii="Times New Roman" w:hAnsi="Times New Roman"/>
          <w:b/>
          <w:color w:val="000000"/>
          <w:sz w:val="24"/>
        </w:rPr>
        <w:t>Form of Note</w:t>
      </w:r>
      <w:r>
        <w:rPr>
          <w:rFonts w:ascii="Times New Roman" w:hAnsi="Times New Roman"/>
          <w:color w:val="000000"/>
          <w:sz w:val="20"/>
        </w:rPr>
        <w:t xml:space="preserve">” </w:t>
      </w:r>
      <w:r>
        <w:rPr>
          <w:rFonts w:ascii="Times New Roman" w:hAnsi="Times New Roman"/>
          <w:color w:val="000000"/>
          <w:sz w:val="24"/>
        </w:rPr>
        <w:t>means the “Form of Note” attached hereto as Exhibit A.</w:t>
      </w:r>
    </w:p>
    <w:p>
      <w:pPr>
        <w:pStyle w:val="TextBody"/>
        <w:bidi w:val="0"/>
        <w:spacing w:before="0" w:after="240"/>
        <w:jc w:val="left"/>
        <w:rPr/>
      </w:pPr>
      <w:r>
        <w:rPr>
          <w:color w:val="000000"/>
        </w:rPr>
        <w:t>“</w:t>
      </w:r>
      <w:r>
        <w:rPr>
          <w:rFonts w:ascii="Times New Roman" w:hAnsi="Times New Roman"/>
          <w:b/>
          <w:color w:val="000000"/>
          <w:sz w:val="24"/>
        </w:rPr>
        <w:t>Form of Notice of Conversion</w:t>
      </w:r>
      <w:r>
        <w:rPr>
          <w:rFonts w:ascii="Times New Roman" w:hAnsi="Times New Roman"/>
          <w:color w:val="000000"/>
          <w:sz w:val="20"/>
        </w:rPr>
        <w:t xml:space="preserve">” </w:t>
      </w:r>
      <w:r>
        <w:rPr>
          <w:rFonts w:ascii="Times New Roman" w:hAnsi="Times New Roman"/>
          <w:color w:val="000000"/>
          <w:sz w:val="24"/>
        </w:rPr>
        <w:t>means the “Form of Notice of Conversion” attached as Attachment 1 to the Form of Note attached hereto as Exhibit A.</w:t>
      </w:r>
    </w:p>
    <w:p>
      <w:pPr>
        <w:pStyle w:val="TextBody"/>
        <w:bidi w:val="0"/>
        <w:spacing w:before="0" w:after="240"/>
        <w:jc w:val="left"/>
        <w:rPr/>
      </w:pPr>
      <w:r>
        <w:rPr>
          <w:color w:val="000000"/>
        </w:rPr>
        <w:t>“</w:t>
      </w:r>
      <w:r>
        <w:rPr>
          <w:rFonts w:ascii="Times New Roman" w:hAnsi="Times New Roman"/>
          <w:b/>
          <w:color w:val="000000"/>
          <w:sz w:val="24"/>
        </w:rPr>
        <w:t>Fundamental Change</w:t>
      </w:r>
      <w:r>
        <w:rPr>
          <w:rFonts w:ascii="Times New Roman" w:hAnsi="Times New Roman"/>
          <w:color w:val="000000"/>
          <w:sz w:val="20"/>
        </w:rPr>
        <w:t xml:space="preserve">” </w:t>
      </w:r>
      <w:r>
        <w:rPr>
          <w:rFonts w:ascii="Times New Roman" w:hAnsi="Times New Roman"/>
          <w:color w:val="000000"/>
          <w:sz w:val="24"/>
        </w:rPr>
        <w:t>shall be deemed to have occurred at the time after the Notes are originally issued if any of the following occurs: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except in connection with transactions described in clause (b) below, a “person” or “group” within the meaning of Section 13(d) of the Exchange Act, other than the Company, its direct or indirect Wholly Owned Subsidiaries and the employee benefit plans of the Company and its direct or indirect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Common Stock representing more than 50% of the voting power of the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person or group shall be deemed to be the beneficial owner of any securities tendered pursuant to a tender or exchange offer made by or on behalf of such “person” or “group” until such tendered securities are accepted for purchase or exchange under such offer;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indirect Wholly Owned Subsidiaries;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stockholders of the Company approve any plan or proposal for the liquidation or dissolution of the Company;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Common Stock (or other common stock underlying the Notes) ceases to be listed or quoted on any of the New York Stock Exchange, the Nasdaq Global Select Market or the Nasdaq Global Market (or any of their respective successors);</w:t>
      </w:r>
    </w:p>
    <w:p>
      <w:pPr>
        <w:pStyle w:val="TextBody"/>
        <w:bidi w:val="0"/>
        <w:spacing w:before="0" w:after="240"/>
        <w:jc w:val="left"/>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transaction or transactions described in clause (b) above shall not constitute a Fundamental Change, if at least 90% of the 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For the purposes of this definition, any transaction or event described in both clause (a) and in clause (b) above (without regard to the </w:t>
      </w:r>
      <w:r>
        <w:rPr>
          <w:rFonts w:ascii="Times New Roman" w:hAnsi="Times New Roman"/>
          <w:i/>
          <w:color w:val="000000"/>
          <w:sz w:val="24"/>
        </w:rPr>
        <w:t>proviso</w:t>
      </w:r>
      <w:r>
        <w:rPr>
          <w:rFonts w:ascii="Times New Roman" w:hAnsi="Times New Roman"/>
          <w:color w:val="000000"/>
          <w:sz w:val="20"/>
        </w:rPr>
        <w:t xml:space="preserve"> </w:t>
      </w:r>
      <w:r>
        <w:rPr>
          <w:rFonts w:ascii="Times New Roman" w:hAnsi="Times New Roman"/>
          <w:color w:val="000000"/>
          <w:sz w:val="24"/>
        </w:rPr>
        <w:t xml:space="preserve">in clause (b)) shall be deemed to occur solely pursuant to clause (b) above (subject to such </w:t>
      </w:r>
      <w:r>
        <w:rPr>
          <w:rFonts w:ascii="Times New Roman" w:hAnsi="Times New Roman"/>
          <w:i/>
          <w:color w:val="000000"/>
          <w:sz w:val="24"/>
        </w:rPr>
        <w:t>proviso</w:t>
      </w:r>
      <w:r>
        <w:rPr>
          <w:rFonts w:ascii="Times New Roman" w:hAnsi="Times New Roman"/>
          <w:color w:val="000000"/>
          <w:sz w:val="24"/>
        </w:rPr>
        <w:t>).</w:t>
      </w:r>
    </w:p>
    <w:p>
      <w:pPr>
        <w:pStyle w:val="TextBody"/>
        <w:bidi w:val="0"/>
        <w:spacing w:before="0" w:after="240"/>
        <w:jc w:val="left"/>
        <w:rPr/>
      </w:pPr>
      <w:r>
        <w:rPr>
          <w:color w:val="000000"/>
        </w:rPr>
        <w:t>“</w:t>
      </w:r>
      <w:r>
        <w:rPr>
          <w:rFonts w:ascii="Times New Roman" w:hAnsi="Times New Roman"/>
          <w:b/>
          <w:color w:val="000000"/>
          <w:sz w:val="24"/>
        </w:rPr>
        <w:t>Fundamental Change Company Notice</w:t>
      </w:r>
      <w:r>
        <w:rPr>
          <w:rFonts w:ascii="Times New Roman" w:hAnsi="Times New Roman"/>
          <w:color w:val="000000"/>
          <w:sz w:val="20"/>
        </w:rPr>
        <w:t xml:space="preserve">” </w:t>
      </w:r>
      <w:r>
        <w:rPr>
          <w:rFonts w:ascii="Times New Roman" w:hAnsi="Times New Roman"/>
          <w:color w:val="000000"/>
          <w:sz w:val="24"/>
        </w:rPr>
        <w:t>shall have the meaning specified in ‎Section 15.02(c).</w:t>
      </w:r>
    </w:p>
    <w:p>
      <w:pPr>
        <w:pStyle w:val="TextBody"/>
        <w:bidi w:val="0"/>
        <w:spacing w:before="0" w:after="240"/>
        <w:jc w:val="left"/>
        <w:rPr/>
      </w:pPr>
      <w:r>
        <w:rPr>
          <w:color w:val="000000"/>
        </w:rPr>
        <w:t>“</w:t>
      </w:r>
      <w:r>
        <w:rPr>
          <w:rFonts w:ascii="Times New Roman" w:hAnsi="Times New Roman"/>
          <w:b/>
          <w:color w:val="000000"/>
          <w:sz w:val="24"/>
        </w:rPr>
        <w:t>Fundamental Change Repurchase Date</w:t>
      </w:r>
      <w:r>
        <w:rPr>
          <w:rFonts w:ascii="Times New Roman" w:hAnsi="Times New Roman"/>
          <w:color w:val="000000"/>
          <w:sz w:val="20"/>
        </w:rPr>
        <w:t xml:space="preserve">” </w:t>
      </w:r>
      <w:r>
        <w:rPr>
          <w:rFonts w:ascii="Times New Roman" w:hAnsi="Times New Roman"/>
          <w:color w:val="000000"/>
          <w:sz w:val="24"/>
        </w:rPr>
        <w:t>shall have the meaning specified in ‎Section 15.02(a).</w:t>
      </w:r>
    </w:p>
    <w:p>
      <w:pPr>
        <w:pStyle w:val="TextBody"/>
        <w:bidi w:val="0"/>
        <w:spacing w:before="0" w:after="240"/>
        <w:jc w:val="left"/>
        <w:rPr/>
      </w:pPr>
      <w:r>
        <w:rPr>
          <w:color w:val="000000"/>
        </w:rPr>
        <w:t>“</w:t>
      </w:r>
      <w:r>
        <w:rPr>
          <w:rFonts w:ascii="Times New Roman" w:hAnsi="Times New Roman"/>
          <w:b/>
          <w:color w:val="000000"/>
          <w:sz w:val="24"/>
        </w:rPr>
        <w:t>Fundamental Change Repurchase Notice</w:t>
      </w:r>
      <w:r>
        <w:rPr>
          <w:rFonts w:ascii="Times New Roman" w:hAnsi="Times New Roman"/>
          <w:color w:val="000000"/>
          <w:sz w:val="20"/>
        </w:rPr>
        <w:t xml:space="preserve">” </w:t>
      </w:r>
      <w:r>
        <w:rPr>
          <w:rFonts w:ascii="Times New Roman" w:hAnsi="Times New Roman"/>
          <w:color w:val="000000"/>
          <w:sz w:val="24"/>
        </w:rPr>
        <w:t>shall have the meaning specified in ‎Section 15.02(b)(i).</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Fundamental Change Repurchase Price</w:t>
      </w:r>
      <w:r>
        <w:rPr>
          <w:rFonts w:ascii="Times New Roman" w:hAnsi="Times New Roman"/>
          <w:color w:val="000000"/>
          <w:sz w:val="20"/>
        </w:rPr>
        <w:t xml:space="preserve">” </w:t>
      </w:r>
      <w:r>
        <w:rPr>
          <w:rFonts w:ascii="Times New Roman" w:hAnsi="Times New Roman"/>
          <w:color w:val="000000"/>
          <w:sz w:val="24"/>
        </w:rPr>
        <w:t>shall have the meaning specified in ‎Section 15.02(a).</w:t>
      </w:r>
    </w:p>
    <w:p>
      <w:pPr>
        <w:pStyle w:val="TextBody"/>
        <w:bidi w:val="0"/>
        <w:spacing w:before="0" w:after="240"/>
        <w:jc w:val="left"/>
        <w:rPr>
          <w:rFonts w:ascii="Times New Roman" w:hAnsi="Times New Roman"/>
          <w:sz w:val="20"/>
        </w:rPr>
      </w:pPr>
      <w:r>
        <w:rPr>
          <w:rFonts w:ascii="Times New Roman" w:hAnsi="Times New Roman"/>
          <w:color w:val="000000"/>
          <w:sz w:val="24"/>
        </w:rPr>
        <w:t>The terms “</w:t>
      </w:r>
      <w:r>
        <w:rPr>
          <w:rFonts w:ascii="Times New Roman" w:hAnsi="Times New Roman"/>
          <w:b/>
          <w:color w:val="000000"/>
          <w:sz w:val="24"/>
        </w:rPr>
        <w:t>given,</w:t>
      </w:r>
      <w:r>
        <w:rPr>
          <w:rFonts w:ascii="Times New Roman" w:hAnsi="Times New Roman"/>
          <w:color w:val="000000"/>
          <w:sz w:val="20"/>
        </w:rPr>
        <w:t>” “</w:t>
      </w:r>
      <w:r>
        <w:rPr>
          <w:rFonts w:ascii="Times New Roman" w:hAnsi="Times New Roman"/>
          <w:b/>
          <w:color w:val="000000"/>
          <w:sz w:val="24"/>
        </w:rPr>
        <w:t>mailed,</w:t>
      </w:r>
      <w:r>
        <w:rPr>
          <w:rFonts w:ascii="Times New Roman" w:hAnsi="Times New Roman"/>
          <w:color w:val="000000"/>
          <w:sz w:val="20"/>
        </w:rPr>
        <w:t>” “</w:t>
      </w:r>
      <w:r>
        <w:rPr>
          <w:rFonts w:ascii="Times New Roman" w:hAnsi="Times New Roman"/>
          <w:b/>
          <w:color w:val="000000"/>
          <w:sz w:val="24"/>
        </w:rPr>
        <w:t>notify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sent</w:t>
      </w:r>
      <w:r>
        <w:rPr>
          <w:rFonts w:ascii="Times New Roman" w:hAnsi="Times New Roman"/>
          <w:color w:val="000000"/>
          <w:sz w:val="20"/>
        </w:rPr>
        <w:t xml:space="preserve">” </w:t>
      </w:r>
      <w:r>
        <w:rPr>
          <w:rFonts w:ascii="Times New Roman" w:hAnsi="Times New Roman"/>
          <w:color w:val="000000"/>
          <w:sz w:val="24"/>
        </w:rPr>
        <w:t>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pStyle w:val="TextBody"/>
        <w:bidi w:val="0"/>
        <w:spacing w:before="0" w:after="240"/>
        <w:jc w:val="left"/>
        <w:rPr/>
      </w:pPr>
      <w:r>
        <w:rPr>
          <w:color w:val="000000"/>
        </w:rPr>
        <w:t>“</w:t>
      </w:r>
      <w:r>
        <w:rPr>
          <w:rFonts w:ascii="Times New Roman" w:hAnsi="Times New Roman"/>
          <w:b/>
          <w:color w:val="000000"/>
          <w:sz w:val="24"/>
        </w:rPr>
        <w:t>Global Note</w:t>
      </w:r>
      <w:r>
        <w:rPr>
          <w:rFonts w:ascii="Times New Roman" w:hAnsi="Times New Roman"/>
          <w:color w:val="000000"/>
          <w:sz w:val="20"/>
        </w:rPr>
        <w:t xml:space="preserve">” </w:t>
      </w:r>
      <w:r>
        <w:rPr>
          <w:rFonts w:ascii="Times New Roman" w:hAnsi="Times New Roman"/>
          <w:color w:val="000000"/>
          <w:sz w:val="24"/>
        </w:rPr>
        <w:t>shall have the meaning specified in ‎Section 2.05(b).</w:t>
      </w:r>
    </w:p>
    <w:p>
      <w:pPr>
        <w:pStyle w:val="TextBody"/>
        <w:bidi w:val="0"/>
        <w:spacing w:before="0" w:after="240"/>
        <w:jc w:val="left"/>
        <w:rPr/>
      </w:pPr>
      <w:r>
        <w:rPr>
          <w:color w:val="000000"/>
        </w:rPr>
        <w:t>“</w:t>
      </w:r>
      <w:r>
        <w:rPr>
          <w:rFonts w:ascii="Times New Roman" w:hAnsi="Times New Roman"/>
          <w:b/>
          <w:color w:val="000000"/>
          <w:sz w:val="24"/>
        </w:rPr>
        <w:t>Holder</w:t>
      </w:r>
      <w:r>
        <w:rPr>
          <w:rFonts w:ascii="Times New Roman" w:hAnsi="Times New Roman"/>
          <w:color w:val="000000"/>
          <w:sz w:val="24"/>
        </w:rPr>
        <w:t>,” as applied to any Note, or other similar terms (but excluding the term “beneficial holder”), means any Person in whose name at the time a particular Note is registered on the Note Register.</w:t>
      </w:r>
    </w:p>
    <w:p>
      <w:pPr>
        <w:pStyle w:val="TextBody"/>
        <w:bidi w:val="0"/>
        <w:spacing w:before="0" w:after="240"/>
        <w:jc w:val="left"/>
        <w:rPr/>
      </w:pPr>
      <w:r>
        <w:rPr>
          <w:color w:val="000000"/>
        </w:rPr>
        <w:t>“</w:t>
      </w:r>
      <w:r>
        <w:rPr>
          <w:rFonts w:ascii="Times New Roman" w:hAnsi="Times New Roman"/>
          <w:b/>
          <w:color w:val="000000"/>
          <w:sz w:val="24"/>
        </w:rPr>
        <w:t>Indenture</w:t>
      </w:r>
      <w:r>
        <w:rPr>
          <w:rFonts w:ascii="Times New Roman" w:hAnsi="Times New Roman"/>
          <w:color w:val="000000"/>
          <w:sz w:val="20"/>
        </w:rPr>
        <w:t xml:space="preserve">” </w:t>
      </w:r>
      <w:r>
        <w:rPr>
          <w:rFonts w:ascii="Times New Roman" w:hAnsi="Times New Roman"/>
          <w:color w:val="000000"/>
          <w:sz w:val="24"/>
        </w:rPr>
        <w:t>means this instrument as originally executed or, if amended or supplemented as herein provided, as so amended or supplemented.</w:t>
      </w:r>
    </w:p>
    <w:p>
      <w:pPr>
        <w:pStyle w:val="TextBody"/>
        <w:bidi w:val="0"/>
        <w:spacing w:before="0" w:after="240"/>
        <w:jc w:val="left"/>
        <w:rPr/>
      </w:pPr>
      <w:r>
        <w:rPr>
          <w:color w:val="000000"/>
        </w:rPr>
        <w:t>“</w:t>
      </w:r>
      <w:r>
        <w:rPr>
          <w:rFonts w:ascii="Times New Roman" w:hAnsi="Times New Roman"/>
          <w:b/>
          <w:color w:val="000000"/>
          <w:sz w:val="24"/>
        </w:rPr>
        <w:t>last date of original issuance</w:t>
      </w:r>
      <w:r>
        <w:rPr>
          <w:rFonts w:ascii="Times New Roman" w:hAnsi="Times New Roman"/>
          <w:color w:val="000000"/>
          <w:sz w:val="20"/>
        </w:rPr>
        <w:t xml:space="preserve">” </w:t>
      </w:r>
      <w:r>
        <w:rPr>
          <w:rFonts w:ascii="Times New Roman" w:hAnsi="Times New Roman"/>
          <w:color w:val="000000"/>
          <w:sz w:val="24"/>
        </w:rPr>
        <w:t>means (a) with respect to any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240"/>
        <w:jc w:val="left"/>
        <w:rPr/>
      </w:pPr>
      <w:r>
        <w:rPr>
          <w:color w:val="000000"/>
        </w:rPr>
        <w:t>“</w:t>
      </w:r>
      <w:r>
        <w:rPr>
          <w:rFonts w:ascii="Times New Roman" w:hAnsi="Times New Roman"/>
          <w:b/>
          <w:color w:val="000000"/>
          <w:sz w:val="24"/>
        </w:rPr>
        <w:t>Last Reported Sale Price</w:t>
      </w:r>
      <w:r>
        <w:rPr>
          <w:rFonts w:ascii="Times New Roman" w:hAnsi="Times New Roman"/>
          <w:color w:val="000000"/>
          <w:sz w:val="20"/>
        </w:rPr>
        <w:t xml:space="preserve">” </w:t>
      </w:r>
      <w:r>
        <w:rPr>
          <w:rFonts w:ascii="Times New Roman" w:hAnsi="Times New Roman"/>
          <w:color w:val="000000"/>
          <w:sz w:val="24"/>
        </w:rPr>
        <w:t>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 w:hAnsi="Times New Roman"/>
          <w:b/>
          <w:color w:val="000000"/>
          <w:sz w:val="24"/>
        </w:rPr>
        <w:t>Last Reported Sale Price</w:t>
      </w:r>
      <w:r>
        <w:rPr>
          <w:rFonts w:ascii="Times New Roman" w:hAnsi="Times New Roman"/>
          <w:color w:val="000000"/>
          <w:sz w:val="20"/>
        </w:rPr>
        <w:t xml:space="preserve">” </w:t>
      </w:r>
      <w:r>
        <w:rPr>
          <w:rFonts w:ascii="Times New Roman" w:hAnsi="Times New Roman"/>
          <w:color w:val="000000"/>
          <w:sz w:val="24"/>
        </w:rPr>
        <w:t>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 w:hAnsi="Times New Roman"/>
          <w:b/>
          <w:color w:val="000000"/>
          <w:sz w:val="24"/>
        </w:rPr>
        <w:t>Last Reported Sale Price</w:t>
      </w:r>
      <w:r>
        <w:rPr>
          <w:rFonts w:ascii="Times New Roman" w:hAnsi="Times New Roman"/>
          <w:color w:val="000000"/>
          <w:sz w:val="20"/>
        </w:rPr>
        <w:t xml:space="preserve">” </w:t>
      </w:r>
      <w:r>
        <w:rPr>
          <w:rFonts w:ascii="Times New Roman" w:hAnsi="Times New Roman"/>
          <w:color w:val="000000"/>
          <w:sz w:val="24"/>
        </w:rPr>
        <w:t>shall be the average of the mid-point of the last bid and ask prices for the Common Stock (or such other security) on the relevant date from each of at least three nationally recognized independent investment banking firms selected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by the Company for this purpose. The “</w:t>
      </w:r>
      <w:r>
        <w:rPr>
          <w:rFonts w:ascii="Times New Roman" w:hAnsi="Times New Roman"/>
          <w:b/>
          <w:color w:val="000000"/>
          <w:sz w:val="24"/>
        </w:rPr>
        <w:t>Last Reported Sale Price</w:t>
      </w:r>
      <w:r>
        <w:rPr>
          <w:rFonts w:ascii="Times New Roman" w:hAnsi="Times New Roman"/>
          <w:color w:val="000000"/>
          <w:sz w:val="20"/>
        </w:rPr>
        <w:t xml:space="preserve">” </w:t>
      </w:r>
      <w:r>
        <w:rPr>
          <w:rFonts w:ascii="Times New Roman" w:hAnsi="Times New Roman"/>
          <w:color w:val="000000"/>
          <w:sz w:val="24"/>
        </w:rPr>
        <w:t>shall be determined without regard to after-hours trading or any other trading outside of regular trading session hours.</w:t>
      </w:r>
    </w:p>
    <w:p>
      <w:pPr>
        <w:pStyle w:val="TextBody"/>
        <w:bidi w:val="0"/>
        <w:spacing w:before="0" w:after="240"/>
        <w:jc w:val="left"/>
        <w:rPr/>
      </w:pPr>
      <w:r>
        <w:rPr>
          <w:color w:val="000000"/>
        </w:rPr>
        <w:t>“</w:t>
      </w:r>
      <w:r>
        <w:rPr>
          <w:rFonts w:ascii="Times New Roman" w:hAnsi="Times New Roman"/>
          <w:b/>
          <w:color w:val="000000"/>
          <w:sz w:val="24"/>
        </w:rPr>
        <w:t>Make-Whole Fundamental Change</w:t>
      </w:r>
      <w:r>
        <w:rPr>
          <w:rFonts w:ascii="Times New Roman" w:hAnsi="Times New Roman"/>
          <w:color w:val="000000"/>
          <w:sz w:val="20"/>
        </w:rPr>
        <w:t xml:space="preserve">” </w:t>
      </w:r>
      <w:r>
        <w:rPr>
          <w:rFonts w:ascii="Times New Roman" w:hAnsi="Times New Roman"/>
          <w:color w:val="000000"/>
          <w:sz w:val="24"/>
        </w:rPr>
        <w:t xml:space="preserve">means any transaction or event that constitutes a Fundamental Change (as defined above and determined after giving effect to any exceptions to or exclusions from such definition, but without regard to the </w:t>
      </w:r>
      <w:r>
        <w:rPr>
          <w:rFonts w:ascii="Times New Roman" w:hAnsi="Times New Roman"/>
          <w:i/>
          <w:color w:val="000000"/>
          <w:sz w:val="24"/>
        </w:rPr>
        <w:t>proviso</w:t>
      </w:r>
      <w:r>
        <w:rPr>
          <w:rFonts w:ascii="Times New Roman" w:hAnsi="Times New Roman"/>
          <w:color w:val="000000"/>
          <w:sz w:val="20"/>
        </w:rPr>
        <w:t xml:space="preserve"> </w:t>
      </w:r>
      <w:r>
        <w:rPr>
          <w:rFonts w:ascii="Times New Roman" w:hAnsi="Times New Roman"/>
          <w:color w:val="000000"/>
          <w:sz w:val="24"/>
        </w:rPr>
        <w:t>in clause (b) of the definition thereof).</w:t>
      </w:r>
    </w:p>
    <w:p>
      <w:pPr>
        <w:pStyle w:val="TextBody"/>
        <w:bidi w:val="0"/>
        <w:spacing w:before="0" w:after="240"/>
        <w:jc w:val="left"/>
        <w:rPr/>
      </w:pPr>
      <w:r>
        <w:rPr>
          <w:color w:val="000000"/>
        </w:rPr>
        <w:t>“</w:t>
      </w:r>
      <w:r>
        <w:rPr>
          <w:rFonts w:ascii="Times New Roman" w:hAnsi="Times New Roman"/>
          <w:b/>
          <w:color w:val="000000"/>
          <w:sz w:val="24"/>
        </w:rPr>
        <w:t>Make-Whole Fundamental Change Period</w:t>
      </w:r>
      <w:r>
        <w:rPr>
          <w:rFonts w:ascii="Times New Roman" w:hAnsi="Times New Roman"/>
          <w:color w:val="000000"/>
          <w:sz w:val="20"/>
        </w:rPr>
        <w:t xml:space="preserve">” </w:t>
      </w:r>
      <w:r>
        <w:rPr>
          <w:rFonts w:ascii="Times New Roman" w:hAnsi="Times New Roman"/>
          <w:color w:val="000000"/>
          <w:sz w:val="24"/>
        </w:rPr>
        <w:t>shall have the meaning specified in ‎Section 14.03(a).</w:t>
      </w:r>
    </w:p>
    <w:p>
      <w:pPr>
        <w:pStyle w:val="TextBody"/>
        <w:bidi w:val="0"/>
        <w:spacing w:before="0" w:after="240"/>
        <w:jc w:val="left"/>
        <w:rPr/>
      </w:pPr>
      <w:r>
        <w:rPr>
          <w:color w:val="000000"/>
        </w:rPr>
        <w:t>“</w:t>
      </w:r>
      <w:r>
        <w:rPr>
          <w:rFonts w:ascii="Times New Roman" w:hAnsi="Times New Roman"/>
          <w:b/>
          <w:color w:val="000000"/>
          <w:sz w:val="24"/>
        </w:rPr>
        <w:t>Market Disruption Event</w:t>
      </w:r>
      <w:r>
        <w:rPr>
          <w:rFonts w:ascii="Times New Roman" w:hAnsi="Times New Roman"/>
          <w:color w:val="000000"/>
          <w:sz w:val="20"/>
        </w:rPr>
        <w:t xml:space="preserve">” </w:t>
      </w:r>
      <w:r>
        <w:rPr>
          <w:rFonts w:ascii="Times New Roman" w:hAnsi="Times New Roman"/>
          <w:color w:val="000000"/>
          <w:sz w:val="24"/>
        </w:rPr>
        <w:t>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240"/>
        <w:jc w:val="left"/>
        <w:rPr/>
      </w:pPr>
      <w:r>
        <w:rPr>
          <w:color w:val="000000"/>
        </w:rPr>
        <w:t>“</w:t>
      </w:r>
      <w:r>
        <w:rPr>
          <w:rFonts w:ascii="Times New Roman" w:hAnsi="Times New Roman"/>
          <w:b/>
          <w:color w:val="000000"/>
          <w:sz w:val="24"/>
        </w:rPr>
        <w:t>Maturity Date</w:t>
      </w:r>
      <w:r>
        <w:rPr>
          <w:rFonts w:ascii="Times New Roman" w:hAnsi="Times New Roman"/>
          <w:color w:val="000000"/>
          <w:sz w:val="20"/>
        </w:rPr>
        <w:t xml:space="preserve">” </w:t>
      </w:r>
      <w:r>
        <w:rPr>
          <w:rFonts w:ascii="Times New Roman" w:hAnsi="Times New Roman"/>
          <w:color w:val="000000"/>
          <w:sz w:val="24"/>
        </w:rPr>
        <w:t>means August 15, 2031.</w:t>
      </w:r>
    </w:p>
    <w:p>
      <w:pPr>
        <w:pStyle w:val="TextBody"/>
        <w:bidi w:val="0"/>
        <w:spacing w:before="0" w:after="240"/>
        <w:jc w:val="left"/>
        <w:rPr/>
      </w:pPr>
      <w:r>
        <w:rPr>
          <w:color w:val="000000"/>
        </w:rPr>
        <w:t>“</w:t>
      </w:r>
      <w:r>
        <w:rPr>
          <w:rFonts w:ascii="Times New Roman" w:hAnsi="Times New Roman"/>
          <w:b/>
          <w:color w:val="000000"/>
          <w:sz w:val="24"/>
        </w:rPr>
        <w:t>Measurement Period</w:t>
      </w:r>
      <w:r>
        <w:rPr>
          <w:rFonts w:ascii="Times New Roman" w:hAnsi="Times New Roman"/>
          <w:color w:val="000000"/>
          <w:sz w:val="20"/>
        </w:rPr>
        <w:t xml:space="preserve">” </w:t>
      </w:r>
      <w:r>
        <w:rPr>
          <w:rFonts w:ascii="Times New Roman" w:hAnsi="Times New Roman"/>
          <w:color w:val="000000"/>
          <w:sz w:val="24"/>
        </w:rPr>
        <w:t>shall have the meaning specified in ‎Section 14.01(b)(i).</w:t>
      </w:r>
    </w:p>
    <w:p>
      <w:pPr>
        <w:pStyle w:val="TextBody"/>
        <w:bidi w:val="0"/>
        <w:spacing w:before="0" w:after="240"/>
        <w:jc w:val="left"/>
        <w:rPr/>
      </w:pPr>
      <w:r>
        <w:rPr>
          <w:color w:val="000000"/>
        </w:rPr>
        <w:t>“</w:t>
      </w:r>
      <w:r>
        <w:rPr>
          <w:rFonts w:ascii="Times New Roman" w:hAnsi="Times New Roman"/>
          <w:b/>
          <w:color w:val="000000"/>
          <w:sz w:val="24"/>
        </w:rPr>
        <w:t>Note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Notes</w:t>
      </w:r>
      <w:r>
        <w:rPr>
          <w:rFonts w:ascii="Times New Roman" w:hAnsi="Times New Roman"/>
          <w:color w:val="000000"/>
          <w:sz w:val="20"/>
        </w:rPr>
        <w:t xml:space="preserve">” </w:t>
      </w:r>
      <w:r>
        <w:rPr>
          <w:rFonts w:ascii="Times New Roman" w:hAnsi="Times New Roman"/>
          <w:color w:val="000000"/>
          <w:sz w:val="24"/>
        </w:rPr>
        <w:t>shall have the meaning specified in the first paragraph of the recitals of this Indenture.</w:t>
      </w:r>
    </w:p>
    <w:p>
      <w:pPr>
        <w:pStyle w:val="TextBody"/>
        <w:bidi w:val="0"/>
        <w:spacing w:before="0" w:after="240"/>
        <w:jc w:val="left"/>
        <w:rPr/>
      </w:pPr>
      <w:r>
        <w:rPr>
          <w:color w:val="000000"/>
        </w:rPr>
        <w:t>“</w:t>
      </w:r>
      <w:r>
        <w:rPr>
          <w:rFonts w:ascii="Times New Roman" w:hAnsi="Times New Roman"/>
          <w:b/>
          <w:color w:val="000000"/>
          <w:sz w:val="24"/>
        </w:rPr>
        <w:t>Note Register</w:t>
      </w:r>
      <w:r>
        <w:rPr>
          <w:rFonts w:ascii="Times New Roman" w:hAnsi="Times New Roman"/>
          <w:color w:val="000000"/>
          <w:sz w:val="20"/>
        </w:rPr>
        <w:t xml:space="preserve">” </w:t>
      </w:r>
      <w:r>
        <w:rPr>
          <w:rFonts w:ascii="Times New Roman" w:hAnsi="Times New Roman"/>
          <w:color w:val="000000"/>
          <w:sz w:val="24"/>
        </w:rPr>
        <w:t>shall have the meaning specified in ‎Section 2.05(a).</w:t>
      </w:r>
    </w:p>
    <w:p>
      <w:pPr>
        <w:pStyle w:val="TextBody"/>
        <w:bidi w:val="0"/>
        <w:spacing w:before="0" w:after="240"/>
        <w:jc w:val="left"/>
        <w:rPr/>
      </w:pPr>
      <w:r>
        <w:rPr>
          <w:color w:val="000000"/>
        </w:rPr>
        <w:t>“</w:t>
      </w:r>
      <w:r>
        <w:rPr>
          <w:rFonts w:ascii="Times New Roman" w:hAnsi="Times New Roman"/>
          <w:b/>
          <w:color w:val="000000"/>
          <w:sz w:val="24"/>
        </w:rPr>
        <w:t>Note Registrar</w:t>
      </w:r>
      <w:r>
        <w:rPr>
          <w:rFonts w:ascii="Times New Roman" w:hAnsi="Times New Roman"/>
          <w:color w:val="000000"/>
          <w:sz w:val="20"/>
        </w:rPr>
        <w:t xml:space="preserve">” </w:t>
      </w:r>
      <w:r>
        <w:rPr>
          <w:rFonts w:ascii="Times New Roman" w:hAnsi="Times New Roman"/>
          <w:color w:val="000000"/>
          <w:sz w:val="24"/>
        </w:rPr>
        <w:t>shall have the meaning specified in ‎Section 2.05(a).</w:t>
      </w:r>
    </w:p>
    <w:p>
      <w:pPr>
        <w:pStyle w:val="TextBody"/>
        <w:bidi w:val="0"/>
        <w:spacing w:before="0" w:after="240"/>
        <w:jc w:val="left"/>
        <w:rPr/>
      </w:pPr>
      <w:r>
        <w:rPr>
          <w:color w:val="000000"/>
        </w:rPr>
        <w:t>“</w:t>
      </w:r>
      <w:r>
        <w:rPr>
          <w:rFonts w:ascii="Times New Roman" w:hAnsi="Times New Roman"/>
          <w:b/>
          <w:color w:val="000000"/>
          <w:sz w:val="24"/>
        </w:rPr>
        <w:t>Notice of Conversion</w:t>
      </w:r>
      <w:r>
        <w:rPr>
          <w:rFonts w:ascii="Times New Roman" w:hAnsi="Times New Roman"/>
          <w:color w:val="000000"/>
          <w:sz w:val="20"/>
        </w:rPr>
        <w:t xml:space="preserve">” </w:t>
      </w:r>
      <w:r>
        <w:rPr>
          <w:rFonts w:ascii="Times New Roman" w:hAnsi="Times New Roman"/>
          <w:color w:val="000000"/>
          <w:sz w:val="24"/>
        </w:rPr>
        <w:t>shall have the meaning specified in ‎Section 14.02(b).</w:t>
      </w:r>
    </w:p>
    <w:p>
      <w:pPr>
        <w:pStyle w:val="TextBody"/>
        <w:bidi w:val="0"/>
        <w:spacing w:before="0" w:after="240"/>
        <w:jc w:val="left"/>
        <w:rPr/>
      </w:pPr>
      <w:r>
        <w:rPr>
          <w:color w:val="000000"/>
        </w:rPr>
        <w:t>“</w:t>
      </w:r>
      <w:r>
        <w:rPr>
          <w:rFonts w:ascii="Times New Roman" w:hAnsi="Times New Roman"/>
          <w:b/>
          <w:color w:val="000000"/>
          <w:sz w:val="24"/>
        </w:rPr>
        <w:t>Notice of Redemption</w:t>
      </w:r>
      <w:r>
        <w:rPr>
          <w:rFonts w:ascii="Times New Roman" w:hAnsi="Times New Roman"/>
          <w:color w:val="000000"/>
          <w:sz w:val="20"/>
        </w:rPr>
        <w:t xml:space="preserve">” </w:t>
      </w:r>
      <w:r>
        <w:rPr>
          <w:rFonts w:ascii="Times New Roman" w:hAnsi="Times New Roman"/>
          <w:color w:val="000000"/>
          <w:sz w:val="24"/>
        </w:rPr>
        <w:t>shall have the meaning specified in ‎Section 16.02(a).</w:t>
      </w:r>
    </w:p>
    <w:p>
      <w:pPr>
        <w:pStyle w:val="TextBody"/>
        <w:bidi w:val="0"/>
        <w:spacing w:before="0" w:after="240"/>
        <w:jc w:val="left"/>
        <w:rPr/>
      </w:pPr>
      <w:r>
        <w:rPr>
          <w:color w:val="000000"/>
        </w:rPr>
        <w:t>“</w:t>
      </w:r>
      <w:r>
        <w:rPr>
          <w:rFonts w:ascii="Times New Roman" w:hAnsi="Times New Roman"/>
          <w:b/>
          <w:color w:val="000000"/>
          <w:sz w:val="24"/>
        </w:rPr>
        <w:t>Observation Period</w:t>
      </w:r>
      <w:r>
        <w:rPr>
          <w:rFonts w:ascii="Times New Roman" w:hAnsi="Times New Roman"/>
          <w:color w:val="000000"/>
          <w:sz w:val="20"/>
        </w:rPr>
        <w:t xml:space="preserve">” </w:t>
      </w:r>
      <w:r>
        <w:rPr>
          <w:rFonts w:ascii="Times New Roman" w:hAnsi="Times New Roman"/>
          <w:color w:val="000000"/>
          <w:sz w:val="24"/>
        </w:rPr>
        <w:t>with respect to any Note surrendered for conversion means: (i) subject to clause (ii), if the relevant Conversion Date occurs prior to May 15, 2031, the 30 consecutive Trading Day period beginning on, and including, the second Trading Day immediately succeeding such Conversion Date; (ii) with respect to any Called Notes, if the relevant Conversion Date occurs during the related Redemption Period, the 30 consecutive Trading Days beginning on, and including, the 31st Scheduled Trading Day immediately preceding the related Redemption Date; and (iii) subject to clause (ii), if the relevant Conversion Date occurs on or after May 15, 2031, the 30 consecutive Trading Days beginning on, and including, the 31st Scheduled Trading Day immediately preceding the Maturity Date.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Offering Memorandum</w:t>
      </w:r>
      <w:r>
        <w:rPr>
          <w:rFonts w:ascii="Times New Roman" w:hAnsi="Times New Roman"/>
          <w:color w:val="000000"/>
          <w:sz w:val="20"/>
        </w:rPr>
        <w:t xml:space="preserve">” </w:t>
      </w:r>
      <w:r>
        <w:rPr>
          <w:rFonts w:ascii="Times New Roman" w:hAnsi="Times New Roman"/>
          <w:color w:val="000000"/>
          <w:sz w:val="24"/>
        </w:rPr>
        <w:t>means the preliminary offering memorandum dated August 13, 2026, as supplemented by the related pricing term sheet dated August 13, 2026, relating to the offering and sale of the Notes.</w:t>
      </w:r>
    </w:p>
    <w:p>
      <w:pPr>
        <w:pStyle w:val="TextBody"/>
        <w:bidi w:val="0"/>
        <w:spacing w:before="0" w:after="240"/>
        <w:jc w:val="left"/>
        <w:rPr/>
      </w:pPr>
      <w:r>
        <w:rPr>
          <w:color w:val="000000"/>
        </w:rPr>
        <w:t>“</w:t>
      </w:r>
      <w:r>
        <w:rPr>
          <w:rFonts w:ascii="Times New Roman" w:hAnsi="Times New Roman"/>
          <w:b/>
          <w:color w:val="000000"/>
          <w:sz w:val="24"/>
        </w:rPr>
        <w:t>Officer</w:t>
      </w:r>
      <w:r>
        <w:rPr>
          <w:rFonts w:ascii="Times New Roman" w:hAnsi="Times New Roman"/>
          <w:color w:val="000000"/>
          <w:sz w:val="20"/>
        </w:rPr>
        <w:t xml:space="preserve">” </w:t>
      </w:r>
      <w:r>
        <w:rPr>
          <w:rFonts w:ascii="Times New Roman" w:hAnsi="Times New Roman"/>
          <w:color w:val="000000"/>
          <w:sz w:val="24"/>
        </w:rPr>
        <w:t>means, with respect to the Company, the Chief Executive Officer, the Chief Financial Officer and the Senior Vice President, Worldwide Products Group.</w:t>
      </w:r>
    </w:p>
    <w:p>
      <w:pPr>
        <w:pStyle w:val="TextBody"/>
        <w:bidi w:val="0"/>
        <w:spacing w:before="0" w:after="240"/>
        <w:jc w:val="left"/>
        <w:rPr/>
      </w:pPr>
      <w:r>
        <w:rPr>
          <w:color w:val="000000"/>
        </w:rPr>
        <w:t>“</w:t>
      </w:r>
      <w:r>
        <w:rPr>
          <w:rFonts w:ascii="Times New Roman" w:hAnsi="Times New Roman"/>
          <w:b/>
          <w:color w:val="000000"/>
          <w:sz w:val="24"/>
        </w:rPr>
        <w:t>Officer’s Certificate</w:t>
      </w:r>
      <w:r>
        <w:rPr>
          <w:rFonts w:ascii="Times New Roman" w:hAnsi="Times New Roman"/>
          <w:color w:val="000000"/>
          <w:sz w:val="24"/>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pStyle w:val="TextBody"/>
        <w:bidi w:val="0"/>
        <w:spacing w:before="0" w:after="240"/>
        <w:jc w:val="left"/>
        <w:rPr/>
      </w:pPr>
      <w:r>
        <w:rPr>
          <w:color w:val="000000"/>
        </w:rPr>
        <w:t>“</w:t>
      </w:r>
      <w:r>
        <w:rPr>
          <w:rFonts w:ascii="Times New Roman" w:hAnsi="Times New Roman"/>
          <w:b/>
          <w:color w:val="000000"/>
          <w:sz w:val="24"/>
        </w:rPr>
        <w:t>open of business</w:t>
      </w:r>
      <w:r>
        <w:rPr>
          <w:rFonts w:ascii="Times New Roman" w:hAnsi="Times New Roman"/>
          <w:color w:val="000000"/>
          <w:sz w:val="20"/>
        </w:rPr>
        <w:t xml:space="preserve">” </w:t>
      </w:r>
      <w:r>
        <w:rPr>
          <w:rFonts w:ascii="Times New Roman" w:hAnsi="Times New Roman"/>
          <w:color w:val="000000"/>
          <w:sz w:val="24"/>
        </w:rPr>
        <w:t>means 9:00 a.m. (New York City time).</w:t>
      </w:r>
    </w:p>
    <w:p>
      <w:pPr>
        <w:pStyle w:val="TextBody"/>
        <w:bidi w:val="0"/>
        <w:spacing w:before="0" w:after="240"/>
        <w:jc w:val="left"/>
        <w:rPr/>
      </w:pPr>
      <w:r>
        <w:rPr>
          <w:color w:val="000000"/>
        </w:rPr>
        <w:t>“</w:t>
      </w:r>
      <w:r>
        <w:rPr>
          <w:rFonts w:ascii="Times New Roman" w:hAnsi="Times New Roman"/>
          <w:b/>
          <w:color w:val="000000"/>
          <w:sz w:val="24"/>
        </w:rPr>
        <w:t>Opinion of Counsel</w:t>
      </w:r>
      <w:r>
        <w:rPr>
          <w:rFonts w:ascii="Times New Roman" w:hAnsi="Times New Roman"/>
          <w:color w:val="000000"/>
          <w:sz w:val="20"/>
        </w:rPr>
        <w:t xml:space="preserve">” </w:t>
      </w:r>
      <w:r>
        <w:rPr>
          <w:rFonts w:ascii="Times New Roman" w:hAnsi="Times New Roman"/>
          <w:color w:val="000000"/>
          <w:sz w:val="24"/>
        </w:rPr>
        <w:t>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pStyle w:val="TextBody"/>
        <w:bidi w:val="0"/>
        <w:spacing w:before="0" w:after="240"/>
        <w:jc w:val="left"/>
        <w:rPr/>
      </w:pPr>
      <w:r>
        <w:rPr>
          <w:color w:val="000000"/>
        </w:rPr>
        <w:t>“</w:t>
      </w:r>
      <w:r>
        <w:rPr>
          <w:rFonts w:ascii="Times New Roman" w:hAnsi="Times New Roman"/>
          <w:b/>
          <w:color w:val="000000"/>
          <w:sz w:val="24"/>
        </w:rPr>
        <w:t>Optional Redemption</w:t>
      </w:r>
      <w:r>
        <w:rPr>
          <w:rFonts w:ascii="Times New Roman" w:hAnsi="Times New Roman"/>
          <w:color w:val="000000"/>
          <w:sz w:val="20"/>
        </w:rPr>
        <w:t xml:space="preserve">” </w:t>
      </w:r>
      <w:r>
        <w:rPr>
          <w:rFonts w:ascii="Times New Roman" w:hAnsi="Times New Roman"/>
          <w:color w:val="000000"/>
          <w:sz w:val="24"/>
        </w:rPr>
        <w:t>shall have the meaning specified in ‎Section 16.01.</w:t>
      </w:r>
    </w:p>
    <w:p>
      <w:pPr>
        <w:pStyle w:val="TextBody"/>
        <w:bidi w:val="0"/>
        <w:spacing w:before="0" w:after="240"/>
        <w:jc w:val="left"/>
        <w:rPr/>
      </w:pPr>
      <w:r>
        <w:rPr>
          <w:color w:val="000000"/>
        </w:rPr>
        <w:t>“</w:t>
      </w:r>
      <w:r>
        <w:rPr>
          <w:rFonts w:ascii="Times New Roman" w:hAnsi="Times New Roman"/>
          <w:b/>
          <w:color w:val="000000"/>
          <w:sz w:val="24"/>
        </w:rPr>
        <w:t>outstanding</w:t>
      </w:r>
      <w:r>
        <w:rPr>
          <w:rFonts w:ascii="Times New Roman" w:hAnsi="Times New Roman"/>
          <w:color w:val="000000"/>
          <w:sz w:val="24"/>
        </w:rPr>
        <w:t>,” when used with reference to Notes, shall, subject to the provisions of ‎Section 8.04, mean, as of any particular time, all Notes authenticated and delivered by the Trustee under this Indenture, except: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Notes theretofore cancelled by the Trustee or accepted by the Trustee for cancellation;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240"/>
        <w:jc w:val="left"/>
        <w:rPr>
          <w:rFonts w:ascii="Times New Roman" w:hAnsi="Times New Roman"/>
          <w:sz w:val="20"/>
        </w:rPr>
      </w:pPr>
      <w:r>
        <w:rPr>
          <w:rFonts w:ascii="Times New Roman" w:hAnsi="Times New Roman"/>
          <w:color w:val="000000"/>
          <w:sz w:val="24"/>
        </w:rPr>
        <w:t>(c) 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Notes converted pursuant to ‎Article 14 and required to be cancelled pursuant to ‎Section 2.08;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Notes redeemed pursuant to ‎Article 16.</w:t>
      </w:r>
    </w:p>
    <w:p>
      <w:pPr>
        <w:pStyle w:val="TextBody"/>
        <w:bidi w:val="0"/>
        <w:spacing w:before="0" w:after="240"/>
        <w:jc w:val="left"/>
        <w:rPr/>
      </w:pPr>
      <w:r>
        <w:rPr>
          <w:color w:val="000000"/>
        </w:rPr>
        <w:t>“</w:t>
      </w:r>
      <w:r>
        <w:rPr>
          <w:rFonts w:ascii="Times New Roman" w:hAnsi="Times New Roman"/>
          <w:b/>
          <w:color w:val="000000"/>
          <w:sz w:val="24"/>
        </w:rPr>
        <w:t>Partial Redemption Limitation</w:t>
      </w:r>
      <w:r>
        <w:rPr>
          <w:rFonts w:ascii="Times New Roman" w:hAnsi="Times New Roman"/>
          <w:color w:val="000000"/>
          <w:sz w:val="20"/>
        </w:rPr>
        <w:t xml:space="preserve">” </w:t>
      </w:r>
      <w:r>
        <w:rPr>
          <w:rFonts w:ascii="Times New Roman" w:hAnsi="Times New Roman"/>
          <w:color w:val="000000"/>
          <w:sz w:val="24"/>
        </w:rPr>
        <w:t>shall have the meaning specified in ‎Section 16.02(d).</w:t>
      </w:r>
    </w:p>
    <w:p>
      <w:pPr>
        <w:pStyle w:val="TextBody"/>
        <w:bidi w:val="0"/>
        <w:spacing w:before="0" w:after="240"/>
        <w:jc w:val="left"/>
        <w:rPr/>
      </w:pPr>
      <w:r>
        <w:rPr>
          <w:color w:val="000000"/>
        </w:rPr>
        <w:t>“</w:t>
      </w:r>
      <w:r>
        <w:rPr>
          <w:rFonts w:ascii="Times New Roman" w:hAnsi="Times New Roman"/>
          <w:b/>
          <w:color w:val="000000"/>
          <w:sz w:val="24"/>
        </w:rPr>
        <w:t>Paying Agent</w:t>
      </w:r>
      <w:r>
        <w:rPr>
          <w:rFonts w:ascii="Times New Roman" w:hAnsi="Times New Roman"/>
          <w:color w:val="000000"/>
          <w:sz w:val="20"/>
        </w:rPr>
        <w:t xml:space="preserve">” </w:t>
      </w:r>
      <w:r>
        <w:rPr>
          <w:rFonts w:ascii="Times New Roman" w:hAnsi="Times New Roman"/>
          <w:color w:val="000000"/>
          <w:sz w:val="24"/>
        </w:rPr>
        <w:t>shall have the meaning specified in ‎Section 4.02.</w:t>
      </w:r>
    </w:p>
    <w:p>
      <w:pPr>
        <w:pStyle w:val="TextBody"/>
        <w:bidi w:val="0"/>
        <w:spacing w:before="0" w:after="240"/>
        <w:jc w:val="left"/>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240"/>
        <w:jc w:val="left"/>
        <w:rPr/>
      </w:pPr>
      <w:r>
        <w:rPr>
          <w:color w:val="000000"/>
        </w:rPr>
        <w:t>“</w:t>
      </w:r>
      <w:r>
        <w:rPr>
          <w:rFonts w:ascii="Times New Roman" w:hAnsi="Times New Roman"/>
          <w:b/>
          <w:color w:val="000000"/>
          <w:sz w:val="24"/>
        </w:rPr>
        <w:t>Physical Notes</w:t>
      </w:r>
      <w:r>
        <w:rPr>
          <w:rFonts w:ascii="Times New Roman" w:hAnsi="Times New Roman"/>
          <w:color w:val="000000"/>
          <w:sz w:val="20"/>
        </w:rPr>
        <w:t xml:space="preserve">” </w:t>
      </w:r>
      <w:r>
        <w:rPr>
          <w:rFonts w:ascii="Times New Roman" w:hAnsi="Times New Roman"/>
          <w:color w:val="000000"/>
          <w:sz w:val="24"/>
        </w:rPr>
        <w:t>means permanent certificated Notes in registered form issued in minimum denominations of $1,000 principal amount and integral multiples thereof.</w:t>
      </w:r>
    </w:p>
    <w:p>
      <w:pPr>
        <w:pStyle w:val="TextBody"/>
        <w:bidi w:val="0"/>
        <w:spacing w:before="0" w:after="240"/>
        <w:jc w:val="left"/>
        <w:rPr/>
      </w:pPr>
      <w:r>
        <w:rPr>
          <w:color w:val="000000"/>
        </w:rPr>
        <w:t>“</w:t>
      </w:r>
      <w:r>
        <w:rPr>
          <w:rFonts w:ascii="Times New Roman" w:hAnsi="Times New Roman"/>
          <w:b/>
          <w:color w:val="000000"/>
          <w:sz w:val="24"/>
        </w:rPr>
        <w:t>Predecessor Note</w:t>
      </w:r>
      <w:r>
        <w:rPr>
          <w:rFonts w:ascii="Times New Roman" w:hAnsi="Times New Roman"/>
          <w:color w:val="000000"/>
          <w:sz w:val="20"/>
        </w:rPr>
        <w:t xml:space="preserve">” </w:t>
      </w:r>
      <w:r>
        <w:rPr>
          <w:rFonts w:ascii="Times New Roman" w:hAnsi="Times New Roman"/>
          <w:color w:val="000000"/>
          <w:sz w:val="24"/>
        </w:rPr>
        <w:t>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240"/>
        <w:jc w:val="left"/>
        <w:rPr/>
      </w:pPr>
      <w:r>
        <w:rPr>
          <w:color w:val="000000"/>
        </w:rPr>
        <w:t>“</w:t>
      </w:r>
      <w:r>
        <w:rPr>
          <w:rFonts w:ascii="Times New Roman" w:hAnsi="Times New Roman"/>
          <w:b/>
          <w:color w:val="000000"/>
          <w:sz w:val="24"/>
        </w:rPr>
        <w:t>Purchase Agreement</w:t>
      </w:r>
      <w:r>
        <w:rPr>
          <w:rFonts w:ascii="Times New Roman" w:hAnsi="Times New Roman"/>
          <w:color w:val="000000"/>
          <w:sz w:val="20"/>
        </w:rPr>
        <w:t xml:space="preserve">” </w:t>
      </w:r>
      <w:r>
        <w:rPr>
          <w:rFonts w:ascii="Times New Roman" w:hAnsi="Times New Roman"/>
          <w:color w:val="000000"/>
          <w:sz w:val="24"/>
        </w:rPr>
        <w:t>means that certain Purchase Agreement, dated August 13, 2026, among the Company and BofA Securities, Inc., Citigroup Global Markets Inc. and HSBC Securities (USA) Inc., as representatives of the several initial purchasers named in Schedule A thereto.</w:t>
      </w:r>
    </w:p>
    <w:p>
      <w:pPr>
        <w:pStyle w:val="TextBody"/>
        <w:bidi w:val="0"/>
        <w:spacing w:before="0" w:after="240"/>
        <w:jc w:val="left"/>
        <w:rPr/>
      </w:pPr>
      <w:r>
        <w:rPr>
          <w:color w:val="000000"/>
        </w:rPr>
        <w:t>“</w:t>
      </w:r>
      <w:r>
        <w:rPr>
          <w:rFonts w:ascii="Times New Roman" w:hAnsi="Times New Roman"/>
          <w:b/>
          <w:color w:val="000000"/>
          <w:sz w:val="24"/>
        </w:rPr>
        <w:t>Qualified Successor Entity</w:t>
      </w:r>
      <w:r>
        <w:rPr>
          <w:rFonts w:ascii="Times New Roman" w:hAnsi="Times New Roman"/>
          <w:color w:val="000000"/>
          <w:sz w:val="20"/>
        </w:rPr>
        <w:t xml:space="preserve">” </w:t>
      </w:r>
      <w:r>
        <w:rPr>
          <w:rFonts w:ascii="Times New Roman" w:hAnsi="Times New Roman"/>
          <w:color w:val="000000"/>
          <w:sz w:val="24"/>
        </w:rPr>
        <w:t xml:space="preserve">means, with respect to a Business Combination Event, a corporation;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if each</w:t>
      </w:r>
      <w:r>
        <w:rPr>
          <w:rFonts w:ascii="Times New Roman" w:hAnsi="Times New Roman"/>
          <w:color w:val="000000"/>
          <w:sz w:val="20"/>
        </w:rPr>
        <w:t xml:space="preserve"> </w:t>
      </w:r>
      <w:r>
        <w:rPr>
          <w:rFonts w:ascii="Times New Roman" w:hAnsi="Times New Roman"/>
          <w:color w:val="000000"/>
          <w:sz w:val="24"/>
        </w:rPr>
        <w:t>of the following clauses (1), (2), (3) and (4) is satisfied: (1) either (x) such limited liability company or limited partnership is treated as a corporation or an entity disregarded as separate from a corporation, in each case for U.S. federal income tax purposes or (y) the Company has received an opinion of a nationally recognized tax counsel to the effect that such Business Combination Event will not be treated as an exchange under Section 1001 of the Code for Holders or beneficial owners of the Notes; (2) such limited liability company or limited partnership is a direct or indirect, Wholly Owned Subsidiary of a corporation (or other entity treated as a corporation for U.S. federal income tax purposes) duly organized and existing under the laws of the United States of America, any State thereof or the District of Columbia (or such limited liability company or limited partnership is treated as a corporation for U.S. federal income tax purposes organized and existing under the laws of the United States of America, any State thereof or the District of Columbia); (3) such Business Combination Event constitutes a Share Exchange Event whose Reference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consists solely of any combination of cash in U.S. dollars and shares of common stock or other corporate Common Equity interests of a corporation (or other entity treated as a corporation for U.S. federal income tax purposes) described in clause (2); and (4) if such limited liability company or limited partnership is disregarded as separate from its owner for U.S. federal income tax purposes, its regarded owner for U.S. federal income tax purposes is a corporation (or other entity treated as a corporation for U.S. federal income tax purposes) described in clause (2).</w:t>
      </w:r>
    </w:p>
    <w:p>
      <w:pPr>
        <w:pStyle w:val="TextBody"/>
        <w:bidi w:val="0"/>
        <w:spacing w:before="0" w:after="240"/>
        <w:jc w:val="left"/>
        <w:rPr/>
      </w:pPr>
      <w:r>
        <w:rPr>
          <w:color w:val="000000"/>
        </w:rPr>
        <w:t>“</w:t>
      </w:r>
      <w:r>
        <w:rPr>
          <w:rFonts w:ascii="Times New Roman" w:hAnsi="Times New Roman"/>
          <w:b/>
          <w:color w:val="000000"/>
          <w:sz w:val="24"/>
        </w:rPr>
        <w:t>Redemption Date</w:t>
      </w:r>
      <w:r>
        <w:rPr>
          <w:rFonts w:ascii="Times New Roman" w:hAnsi="Times New Roman"/>
          <w:color w:val="000000"/>
          <w:sz w:val="20"/>
        </w:rPr>
        <w:t xml:space="preserve">” </w:t>
      </w:r>
      <w:r>
        <w:rPr>
          <w:rFonts w:ascii="Times New Roman" w:hAnsi="Times New Roman"/>
          <w:color w:val="000000"/>
          <w:sz w:val="24"/>
        </w:rPr>
        <w:t>shall have the meaning specified in ‎Section 16.02(a).</w:t>
      </w:r>
    </w:p>
    <w:p>
      <w:pPr>
        <w:pStyle w:val="TextBody"/>
        <w:bidi w:val="0"/>
        <w:spacing w:before="0" w:after="240"/>
        <w:jc w:val="left"/>
        <w:rPr/>
      </w:pPr>
      <w:r>
        <w:rPr>
          <w:color w:val="000000"/>
        </w:rPr>
        <w:t>“</w:t>
      </w:r>
      <w:r>
        <w:rPr>
          <w:rFonts w:ascii="Times New Roman" w:hAnsi="Times New Roman"/>
          <w:b/>
          <w:color w:val="000000"/>
          <w:sz w:val="24"/>
        </w:rPr>
        <w:t>Redemption Period</w:t>
      </w:r>
      <w:r>
        <w:rPr>
          <w:rFonts w:ascii="Times New Roman" w:hAnsi="Times New Roman"/>
          <w:color w:val="000000"/>
          <w:sz w:val="20"/>
        </w:rPr>
        <w:t xml:space="preserve">” </w:t>
      </w:r>
      <w:r>
        <w:rPr>
          <w:rFonts w:ascii="Times New Roman" w:hAnsi="Times New Roman"/>
          <w:color w:val="000000"/>
          <w:sz w:val="24"/>
        </w:rPr>
        <w:t>means, with respect to any Optional Redemption, the period from, and including, the date on which the Company delivers a Notice of Redemption for such Optional Redemption until the close of business on the second Scheduled Trading Day immediately preceding the related Redemption Date (or, if the Company defaults in the payment of the Redemption Price, until the close of business on the Scheduled Trading Day immediately preceding the date on which the Redemption Price has been paid or duly provided for).</w:t>
      </w:r>
    </w:p>
    <w:p>
      <w:pPr>
        <w:pStyle w:val="TextBody"/>
        <w:bidi w:val="0"/>
        <w:spacing w:before="0" w:after="240"/>
        <w:jc w:val="left"/>
        <w:rPr/>
      </w:pPr>
      <w:r>
        <w:rPr>
          <w:color w:val="000000"/>
        </w:rPr>
        <w:t>“</w:t>
      </w:r>
      <w:r>
        <w:rPr>
          <w:rFonts w:ascii="Times New Roman" w:hAnsi="Times New Roman"/>
          <w:b/>
          <w:color w:val="000000"/>
          <w:sz w:val="24"/>
        </w:rPr>
        <w:t>Redemption Price</w:t>
      </w:r>
      <w:r>
        <w:rPr>
          <w:rFonts w:ascii="Times New Roman" w:hAnsi="Times New Roman"/>
          <w:color w:val="000000"/>
          <w:sz w:val="20"/>
        </w:rPr>
        <w:t xml:space="preserve">” </w:t>
      </w:r>
      <w:r>
        <w:rPr>
          <w:rFonts w:ascii="Times New Roman" w:hAnsi="Times New Roman"/>
          <w:color w:val="000000"/>
          <w:sz w:val="24"/>
        </w:rPr>
        <w:t xml:space="preserve">means, for any Notes to be redeemed pursuant to ‎Section 16.01, 100% of the principal amount of such Notes,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accrued and unpaid interest, if any, to, but excluding, the Redemption Date (unless the Redemption Date falls after a Special Interest Record Date but on or prior to the immediately succeeding Special Interest Payment Date, in which case interest accrued to the Special Interest Payment Date will be paid by the Company to Holders of record of such Notes as of the close of business on such Special Interest Record Date on, or at the Company’s election, before, such Special Interest Payment Date, and the Redemption Price will be equal to 100% of the principal amount of such Notes).</w:t>
      </w:r>
    </w:p>
    <w:p>
      <w:pPr>
        <w:pStyle w:val="TextBody"/>
        <w:bidi w:val="0"/>
        <w:spacing w:before="0" w:after="240"/>
        <w:jc w:val="left"/>
        <w:rPr/>
      </w:pPr>
      <w:r>
        <w:rPr>
          <w:color w:val="000000"/>
        </w:rPr>
        <w:t>“</w:t>
      </w:r>
      <w:r>
        <w:rPr>
          <w:rFonts w:ascii="Times New Roman" w:hAnsi="Times New Roman"/>
          <w:b/>
          <w:color w:val="000000"/>
          <w:sz w:val="24"/>
        </w:rPr>
        <w:t>Reference Property</w:t>
      </w:r>
      <w:r>
        <w:rPr>
          <w:rFonts w:ascii="Times New Roman" w:hAnsi="Times New Roman"/>
          <w:color w:val="000000"/>
          <w:sz w:val="20"/>
        </w:rPr>
        <w:t xml:space="preserve">” </w:t>
      </w:r>
      <w:r>
        <w:rPr>
          <w:rFonts w:ascii="Times New Roman" w:hAnsi="Times New Roman"/>
          <w:color w:val="000000"/>
          <w:sz w:val="24"/>
        </w:rPr>
        <w:t>shall have the meaning specified in ‎Section 14.07(a).</w:t>
      </w:r>
    </w:p>
    <w:p>
      <w:pPr>
        <w:pStyle w:val="TextBody"/>
        <w:bidi w:val="0"/>
        <w:spacing w:before="0" w:after="240"/>
        <w:jc w:val="left"/>
        <w:rPr/>
      </w:pPr>
      <w:r>
        <w:rPr>
          <w:color w:val="000000"/>
        </w:rPr>
        <w:t>“</w:t>
      </w:r>
      <w:r>
        <w:rPr>
          <w:rFonts w:ascii="Times New Roman" w:hAnsi="Times New Roman"/>
          <w:b/>
          <w:color w:val="000000"/>
          <w:sz w:val="24"/>
        </w:rPr>
        <w:t>Reporting Event of Default</w:t>
      </w:r>
      <w:r>
        <w:rPr>
          <w:rFonts w:ascii="Times New Roman" w:hAnsi="Times New Roman"/>
          <w:color w:val="000000"/>
          <w:sz w:val="20"/>
        </w:rPr>
        <w:t xml:space="preserve">” </w:t>
      </w:r>
      <w:r>
        <w:rPr>
          <w:rFonts w:ascii="Times New Roman" w:hAnsi="Times New Roman"/>
          <w:color w:val="000000"/>
          <w:sz w:val="24"/>
        </w:rPr>
        <w:t>shall have the meaning specified in ‎Section 6.03.</w:t>
      </w:r>
    </w:p>
    <w:p>
      <w:pPr>
        <w:pStyle w:val="TextBody"/>
        <w:bidi w:val="0"/>
        <w:spacing w:before="0" w:after="240"/>
        <w:jc w:val="left"/>
        <w:rPr/>
      </w:pPr>
      <w:r>
        <w:rPr>
          <w:color w:val="000000"/>
        </w:rPr>
        <w:t>“</w:t>
      </w:r>
      <w:r>
        <w:rPr>
          <w:rFonts w:ascii="Times New Roman" w:hAnsi="Times New Roman"/>
          <w:b/>
          <w:color w:val="000000"/>
          <w:sz w:val="24"/>
        </w:rPr>
        <w:t>Resale Restriction Termination Date</w:t>
      </w:r>
      <w:r>
        <w:rPr>
          <w:rFonts w:ascii="Times New Roman" w:hAnsi="Times New Roman"/>
          <w:color w:val="000000"/>
          <w:sz w:val="20"/>
        </w:rPr>
        <w:t xml:space="preserve">” </w:t>
      </w:r>
      <w:r>
        <w:rPr>
          <w:rFonts w:ascii="Times New Roman" w:hAnsi="Times New Roman"/>
          <w:color w:val="000000"/>
          <w:sz w:val="24"/>
        </w:rPr>
        <w:t>shall have the meaning specified in ‎Section 2.05(c).</w:t>
      </w:r>
    </w:p>
    <w:p>
      <w:pPr>
        <w:pStyle w:val="TextBody"/>
        <w:bidi w:val="0"/>
        <w:spacing w:before="0" w:after="240"/>
        <w:jc w:val="left"/>
        <w:rPr/>
      </w:pPr>
      <w:r>
        <w:rPr>
          <w:color w:val="000000"/>
        </w:rPr>
        <w:t>“</w:t>
      </w:r>
      <w:r>
        <w:rPr>
          <w:rFonts w:ascii="Times New Roman" w:hAnsi="Times New Roman"/>
          <w:b/>
          <w:color w:val="000000"/>
          <w:sz w:val="24"/>
        </w:rPr>
        <w:t>Responsible Officer</w:t>
      </w:r>
      <w:r>
        <w:rPr>
          <w:rFonts w:ascii="Times New Roman" w:hAnsi="Times New Roman"/>
          <w:color w:val="000000"/>
          <w:sz w:val="20"/>
        </w:rPr>
        <w:t xml:space="preserve">” </w:t>
      </w:r>
      <w:r>
        <w:rPr>
          <w:rFonts w:ascii="Times New Roman" w:hAnsi="Times New Roman"/>
          <w:color w:val="000000"/>
          <w:sz w:val="24"/>
        </w:rPr>
        <w:t>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pStyle w:val="TextBody"/>
        <w:bidi w:val="0"/>
        <w:spacing w:before="0" w:after="240"/>
        <w:jc w:val="left"/>
        <w:rPr/>
      </w:pPr>
      <w:r>
        <w:rPr>
          <w:color w:val="000000"/>
        </w:rPr>
        <w:t>“</w:t>
      </w:r>
      <w:r>
        <w:rPr>
          <w:rFonts w:ascii="Times New Roman" w:hAnsi="Times New Roman"/>
          <w:b/>
          <w:color w:val="000000"/>
          <w:sz w:val="24"/>
        </w:rPr>
        <w:t>Restricted Securities</w:t>
      </w:r>
      <w:r>
        <w:rPr>
          <w:rFonts w:ascii="Times New Roman" w:hAnsi="Times New Roman"/>
          <w:color w:val="000000"/>
          <w:sz w:val="20"/>
        </w:rPr>
        <w:t xml:space="preserve">” </w:t>
      </w:r>
      <w:r>
        <w:rPr>
          <w:rFonts w:ascii="Times New Roman" w:hAnsi="Times New Roman"/>
          <w:color w:val="000000"/>
          <w:sz w:val="24"/>
        </w:rPr>
        <w:t>shall have the meaning specified in ‎Section 2.05(c).</w:t>
      </w:r>
    </w:p>
    <w:p>
      <w:pPr>
        <w:pStyle w:val="TextBody"/>
        <w:bidi w:val="0"/>
        <w:spacing w:before="0" w:after="240"/>
        <w:jc w:val="left"/>
        <w:rPr/>
      </w:pPr>
      <w:r>
        <w:rPr>
          <w:color w:val="000000"/>
        </w:rPr>
        <w:t>“</w:t>
      </w:r>
      <w:r>
        <w:rPr>
          <w:rFonts w:ascii="Times New Roman" w:hAnsi="Times New Roman"/>
          <w:b/>
          <w:color w:val="000000"/>
          <w:sz w:val="24"/>
        </w:rPr>
        <w:t>Restrictive Notes Legend</w:t>
      </w:r>
      <w:r>
        <w:rPr>
          <w:rFonts w:ascii="Times New Roman" w:hAnsi="Times New Roman"/>
          <w:color w:val="000000"/>
          <w:sz w:val="20"/>
        </w:rPr>
        <w:t xml:space="preserve">” </w:t>
      </w:r>
      <w:r>
        <w:rPr>
          <w:rFonts w:ascii="Times New Roman" w:hAnsi="Times New Roman"/>
          <w:color w:val="000000"/>
          <w:sz w:val="24"/>
        </w:rPr>
        <w:t>shall have the meaning specified in Section 2.05(c).</w:t>
      </w:r>
    </w:p>
    <w:p>
      <w:pPr>
        <w:pStyle w:val="TextBody"/>
        <w:bidi w:val="0"/>
        <w:spacing w:before="0" w:after="240"/>
        <w:jc w:val="left"/>
        <w:rPr/>
      </w:pPr>
      <w:r>
        <w:rPr>
          <w:color w:val="000000"/>
        </w:rPr>
        <w:t>“</w:t>
      </w:r>
      <w:r>
        <w:rPr>
          <w:rFonts w:ascii="Times New Roman" w:hAnsi="Times New Roman"/>
          <w:b/>
          <w:color w:val="000000"/>
          <w:sz w:val="24"/>
        </w:rPr>
        <w:t>Rule 12b-25</w:t>
      </w:r>
      <w:r>
        <w:rPr>
          <w:rFonts w:ascii="Times New Roman" w:hAnsi="Times New Roman"/>
          <w:color w:val="000000"/>
          <w:sz w:val="20"/>
        </w:rPr>
        <w:t xml:space="preserve">” </w:t>
      </w:r>
      <w:r>
        <w:rPr>
          <w:rFonts w:ascii="Times New Roman" w:hAnsi="Times New Roman"/>
          <w:color w:val="000000"/>
          <w:sz w:val="24"/>
        </w:rPr>
        <w:t>means Rule 12b-25 as promulgated under the Exchange 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Rule 144</w:t>
      </w:r>
      <w:r>
        <w:rPr>
          <w:rFonts w:ascii="Times New Roman" w:hAnsi="Times New Roman"/>
          <w:color w:val="000000"/>
          <w:sz w:val="20"/>
        </w:rPr>
        <w:t xml:space="preserve">” </w:t>
      </w:r>
      <w:r>
        <w:rPr>
          <w:rFonts w:ascii="Times New Roman" w:hAnsi="Times New Roman"/>
          <w:color w:val="000000"/>
          <w:sz w:val="24"/>
        </w:rPr>
        <w:t>means Rule 144 as promulgated under the Securities Act.</w:t>
      </w:r>
    </w:p>
    <w:p>
      <w:pPr>
        <w:pStyle w:val="TextBody"/>
        <w:bidi w:val="0"/>
        <w:spacing w:before="0" w:after="240"/>
        <w:jc w:val="left"/>
        <w:rPr/>
      </w:pPr>
      <w:r>
        <w:rPr>
          <w:color w:val="000000"/>
        </w:rPr>
        <w:t>“</w:t>
      </w:r>
      <w:r>
        <w:rPr>
          <w:rFonts w:ascii="Times New Roman" w:hAnsi="Times New Roman"/>
          <w:b/>
          <w:color w:val="000000"/>
          <w:sz w:val="24"/>
        </w:rPr>
        <w:t>Rule 144A</w:t>
      </w:r>
      <w:r>
        <w:rPr>
          <w:rFonts w:ascii="Times New Roman" w:hAnsi="Times New Roman"/>
          <w:color w:val="000000"/>
          <w:sz w:val="20"/>
        </w:rPr>
        <w:t xml:space="preserve">” </w:t>
      </w:r>
      <w:r>
        <w:rPr>
          <w:rFonts w:ascii="Times New Roman" w:hAnsi="Times New Roman"/>
          <w:color w:val="000000"/>
          <w:sz w:val="24"/>
        </w:rPr>
        <w:t>means Rule 144A as promulgated under the Securities Act.</w:t>
      </w:r>
    </w:p>
    <w:p>
      <w:pPr>
        <w:pStyle w:val="TextBody"/>
        <w:bidi w:val="0"/>
        <w:spacing w:before="0" w:after="240"/>
        <w:jc w:val="left"/>
        <w:rPr/>
      </w:pPr>
      <w:r>
        <w:rPr>
          <w:color w:val="000000"/>
        </w:rPr>
        <w:t>“</w:t>
      </w:r>
      <w:r>
        <w:rPr>
          <w:rFonts w:ascii="Times New Roman" w:hAnsi="Times New Roman"/>
          <w:b/>
          <w:color w:val="000000"/>
          <w:sz w:val="24"/>
        </w:rPr>
        <w:t>Scheduled Trading Day</w:t>
      </w:r>
      <w:r>
        <w:rPr>
          <w:rFonts w:ascii="Times New Roman" w:hAnsi="Times New Roman"/>
          <w:color w:val="000000"/>
          <w:sz w:val="20"/>
        </w:rPr>
        <w:t xml:space="preserve">” </w:t>
      </w:r>
      <w:r>
        <w:rPr>
          <w:rFonts w:ascii="Times New Roman" w:hAnsi="Times New Roman"/>
          <w:color w:val="000000"/>
          <w:sz w:val="24"/>
        </w:rPr>
        <w:t>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hAnsi="Times New Roman"/>
          <w:b/>
          <w:color w:val="000000"/>
          <w:sz w:val="24"/>
        </w:rPr>
        <w:t>Scheduled Trading Day</w:t>
      </w:r>
      <w:r>
        <w:rPr>
          <w:rFonts w:ascii="Times New Roman" w:hAnsi="Times New Roman"/>
          <w:color w:val="000000"/>
          <w:sz w:val="20"/>
        </w:rPr>
        <w:t xml:space="preserve">” </w:t>
      </w:r>
      <w:r>
        <w:rPr>
          <w:rFonts w:ascii="Times New Roman" w:hAnsi="Times New Roman"/>
          <w:color w:val="000000"/>
          <w:sz w:val="24"/>
        </w:rPr>
        <w:t>means a Business Day.</w:t>
      </w:r>
    </w:p>
    <w:p>
      <w:pPr>
        <w:pStyle w:val="TextBody"/>
        <w:bidi w:val="0"/>
        <w:spacing w:before="0" w:after="240"/>
        <w:jc w:val="left"/>
        <w:rPr/>
      </w:pPr>
      <w:r>
        <w:rPr>
          <w:color w:val="000000"/>
        </w:rPr>
        <w:t>“</w:t>
      </w:r>
      <w:r>
        <w:rPr>
          <w:rFonts w:ascii="Times New Roman" w:hAnsi="Times New Roman"/>
          <w:b/>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jc w:val="left"/>
        <w:rPr/>
      </w:pPr>
      <w:r>
        <w:rPr>
          <w:color w:val="000000"/>
        </w:rPr>
        <w:t>“</w:t>
      </w:r>
      <w:r>
        <w:rPr>
          <w:rFonts w:ascii="Times New Roman" w:hAnsi="Times New Roman"/>
          <w:b/>
          <w:color w:val="000000"/>
          <w:sz w:val="24"/>
        </w:rPr>
        <w:t>Settlement Amount</w:t>
      </w:r>
      <w:r>
        <w:rPr>
          <w:rFonts w:ascii="Times New Roman" w:hAnsi="Times New Roman"/>
          <w:color w:val="000000"/>
          <w:sz w:val="20"/>
        </w:rPr>
        <w:t xml:space="preserve">” </w:t>
      </w:r>
      <w:r>
        <w:rPr>
          <w:rFonts w:ascii="Times New Roman" w:hAnsi="Times New Roman"/>
          <w:color w:val="000000"/>
          <w:sz w:val="24"/>
        </w:rPr>
        <w:t>has the meaning specified in Section 14.02(a).</w:t>
      </w:r>
    </w:p>
    <w:p>
      <w:pPr>
        <w:pStyle w:val="TextBody"/>
        <w:bidi w:val="0"/>
        <w:spacing w:before="0" w:after="240"/>
        <w:jc w:val="left"/>
        <w:rPr/>
      </w:pPr>
      <w:r>
        <w:rPr>
          <w:color w:val="000000"/>
        </w:rPr>
        <w:t>“</w:t>
      </w:r>
      <w:r>
        <w:rPr>
          <w:rFonts w:ascii="Times New Roman" w:hAnsi="Times New Roman"/>
          <w:b/>
          <w:color w:val="000000"/>
          <w:sz w:val="24"/>
        </w:rPr>
        <w:t>Settlement Notice</w:t>
      </w:r>
      <w:r>
        <w:rPr>
          <w:rFonts w:ascii="Times New Roman" w:hAnsi="Times New Roman"/>
          <w:color w:val="000000"/>
          <w:sz w:val="20"/>
        </w:rPr>
        <w:t xml:space="preserve">” </w:t>
      </w:r>
      <w:r>
        <w:rPr>
          <w:rFonts w:ascii="Times New Roman" w:hAnsi="Times New Roman"/>
          <w:color w:val="000000"/>
          <w:sz w:val="24"/>
        </w:rPr>
        <w:t>has the meaning specified in ‎Section 14.02(a)(iii).</w:t>
      </w:r>
    </w:p>
    <w:p>
      <w:pPr>
        <w:pStyle w:val="TextBody"/>
        <w:bidi w:val="0"/>
        <w:spacing w:before="0" w:after="240"/>
        <w:jc w:val="left"/>
        <w:rPr/>
      </w:pPr>
      <w:r>
        <w:rPr>
          <w:color w:val="000000"/>
        </w:rPr>
        <w:t>“</w:t>
      </w:r>
      <w:r>
        <w:rPr>
          <w:rFonts w:ascii="Times New Roman" w:hAnsi="Times New Roman"/>
          <w:b/>
          <w:color w:val="000000"/>
          <w:sz w:val="24"/>
        </w:rPr>
        <w:t>Share Exchange Event</w:t>
      </w:r>
      <w:r>
        <w:rPr>
          <w:rFonts w:ascii="Times New Roman" w:hAnsi="Times New Roman"/>
          <w:color w:val="000000"/>
          <w:sz w:val="20"/>
        </w:rPr>
        <w:t xml:space="preserve">” </w:t>
      </w:r>
      <w:r>
        <w:rPr>
          <w:rFonts w:ascii="Times New Roman" w:hAnsi="Times New Roman"/>
          <w:color w:val="000000"/>
          <w:sz w:val="24"/>
        </w:rPr>
        <w:t>shall have the meaning specified in ‎Section 14.07(a).</w:t>
      </w:r>
    </w:p>
    <w:p>
      <w:pPr>
        <w:pStyle w:val="TextBody"/>
        <w:bidi w:val="0"/>
        <w:spacing w:before="0" w:after="240"/>
        <w:jc w:val="left"/>
        <w:rPr/>
      </w:pPr>
      <w:r>
        <w:rPr>
          <w:color w:val="000000"/>
        </w:rPr>
        <w:t>“</w:t>
      </w:r>
      <w:r>
        <w:rPr>
          <w:rFonts w:ascii="Times New Roman" w:hAnsi="Times New Roman"/>
          <w:b/>
          <w:color w:val="000000"/>
          <w:sz w:val="24"/>
        </w:rPr>
        <w:t>Significant Subsidiary</w:t>
      </w:r>
      <w:r>
        <w:rPr>
          <w:rFonts w:ascii="Times New Roman" w:hAnsi="Times New Roman"/>
          <w:color w:val="000000"/>
          <w:sz w:val="20"/>
        </w:rPr>
        <w:t xml:space="preserve">” </w:t>
      </w:r>
      <w:r>
        <w:rPr>
          <w:rFonts w:ascii="Times New Roman" w:hAnsi="Times New Roman"/>
          <w:color w:val="000000"/>
          <w:sz w:val="24"/>
        </w:rPr>
        <w:t xml:space="preserve">means a Subsidiary of the Company that is a “significant subsidiary” as defined in Article 1, Rule 1-02(w) of Regulation S-X promulgated by the Commission (or any successor rule);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the case of a Subsidiary that meets the criteria of clause (1)(iii) of the definition thereof but not clause (1)(i) or (1)(ii) thereof, in each case as such rule is in effect on the date of this Indenture, such Subsidiary shall not be deemed to be a Significant Subsidiary unless the Subsidiary’s income or loss from continuing operations before income taxes (after intercompany eliminations), exclusive of amounts attributable to any non-controlling interests, for the last completed fiscal year prior to the date of such determination exceeds $20,000,000.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w:t>
      </w:r>
      <w:r>
        <w:rPr>
          <w:rFonts w:ascii="Times New Roman" w:hAnsi="Times New Roman"/>
          <w:i/>
          <w:color w:val="000000"/>
          <w:sz w:val="24"/>
        </w:rPr>
        <w:t>proviso</w:t>
      </w:r>
      <w:r>
        <w:rPr>
          <w:rFonts w:ascii="Times New Roman" w:hAnsi="Times New Roman"/>
          <w:color w:val="000000"/>
          <w:sz w:val="20"/>
        </w:rPr>
        <w:t xml:space="preserve"> </w:t>
      </w:r>
      <w:r>
        <w:rPr>
          <w:rFonts w:ascii="Times New Roman" w:hAnsi="Times New Roman"/>
          <w:color w:val="000000"/>
          <w:sz w:val="24"/>
        </w:rPr>
        <w:t>in the immediately preceding sentence.</w:t>
      </w:r>
    </w:p>
    <w:p>
      <w:pPr>
        <w:pStyle w:val="TextBody"/>
        <w:bidi w:val="0"/>
        <w:jc w:val="left"/>
        <w:rPr/>
      </w:pPr>
      <w:r>
        <w:rPr>
          <w:color w:val="000000"/>
        </w:rPr>
        <w:t>“</w:t>
      </w:r>
      <w:r>
        <w:rPr>
          <w:rFonts w:ascii="Times New Roman" w:hAnsi="Times New Roman"/>
          <w:b/>
          <w:color w:val="000000"/>
          <w:sz w:val="24"/>
        </w:rPr>
        <w:t>Special Interest</w:t>
      </w:r>
      <w:r>
        <w:rPr>
          <w:rFonts w:ascii="Times New Roman" w:hAnsi="Times New Roman"/>
          <w:color w:val="000000"/>
          <w:sz w:val="20"/>
        </w:rPr>
        <w:t xml:space="preserve">” </w:t>
      </w:r>
      <w:r>
        <w:rPr>
          <w:rFonts w:ascii="Times New Roman" w:hAnsi="Times New Roman"/>
          <w:color w:val="000000"/>
          <w:sz w:val="24"/>
        </w:rPr>
        <w:t>means all amounts, if any, payable pursuant to Section 4.06(d), Section 4.06(e) and Section 6.03, as applicable.</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Special Interest Payment Date</w:t>
      </w:r>
      <w:r>
        <w:rPr>
          <w:rFonts w:ascii="Times New Roman" w:hAnsi="Times New Roman"/>
          <w:color w:val="000000"/>
          <w:sz w:val="20"/>
        </w:rPr>
        <w:t xml:space="preserve">” </w:t>
      </w:r>
      <w:r>
        <w:rPr>
          <w:rFonts w:ascii="Times New Roman" w:hAnsi="Times New Roman"/>
          <w:color w:val="000000"/>
          <w:sz w:val="24"/>
        </w:rPr>
        <w:t>means, if and to the extent that Special Interest is payable on the Notes, each February 15 and August 15 of each year, beginning on February 15, 2027.</w:t>
      </w:r>
    </w:p>
    <w:p>
      <w:pPr>
        <w:pStyle w:val="TextBody"/>
        <w:bidi w:val="0"/>
        <w:jc w:val="left"/>
        <w:rPr/>
      </w:pPr>
      <w:r>
        <w:rPr/>
        <w:t> </w:t>
      </w:r>
    </w:p>
    <w:p>
      <w:pPr>
        <w:pStyle w:val="TextBody"/>
        <w:bidi w:val="0"/>
        <w:jc w:val="left"/>
        <w:rPr/>
      </w:pPr>
      <w:r>
        <w:rPr>
          <w:color w:val="000000"/>
        </w:rPr>
        <w:t>“</w:t>
      </w:r>
      <w:r>
        <w:rPr>
          <w:rFonts w:ascii="Times New Roman" w:hAnsi="Times New Roman"/>
          <w:b/>
          <w:color w:val="000000"/>
          <w:sz w:val="24"/>
        </w:rPr>
        <w:t>Special Interest Record Date</w:t>
      </w:r>
      <w:r>
        <w:rPr>
          <w:rFonts w:ascii="Times New Roman" w:hAnsi="Times New Roman"/>
          <w:color w:val="000000"/>
          <w:sz w:val="20"/>
        </w:rPr>
        <w:t xml:space="preserve">” </w:t>
      </w:r>
      <w:r>
        <w:rPr>
          <w:rFonts w:ascii="Times New Roman" w:hAnsi="Times New Roman"/>
          <w:color w:val="000000"/>
          <w:sz w:val="24"/>
        </w:rPr>
        <w:t>means, with respect to any Special Interest Payment Date, the February 1 or August 1 (whether or not such day is a Business Day) immediately preceding the applicable February 15 or August 15 Special Interest Payment Date, respectively.</w:t>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b/>
          <w:color w:val="000000"/>
          <w:sz w:val="24"/>
        </w:rPr>
        <w:t>Spin-Off</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Stock Price</w:t>
      </w:r>
      <w:r>
        <w:rPr>
          <w:rFonts w:ascii="Times New Roman" w:hAnsi="Times New Roman"/>
          <w:color w:val="000000"/>
          <w:sz w:val="20"/>
        </w:rPr>
        <w:t xml:space="preserve">” </w:t>
      </w:r>
      <w:r>
        <w:rPr>
          <w:rFonts w:ascii="Times New Roman" w:hAnsi="Times New Roman"/>
          <w:color w:val="000000"/>
          <w:sz w:val="24"/>
        </w:rPr>
        <w:t>shall have the meaning specified in ‎Section 14.03(c).</w:t>
      </w:r>
    </w:p>
    <w:p>
      <w:pPr>
        <w:pStyle w:val="TextBody"/>
        <w:bidi w:val="0"/>
        <w:spacing w:before="0" w:after="240"/>
        <w:jc w:val="left"/>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240"/>
        <w:jc w:val="left"/>
        <w:rPr/>
      </w:pPr>
      <w:r>
        <w:rPr>
          <w:color w:val="000000"/>
        </w:rPr>
        <w:t>“</w:t>
      </w:r>
      <w:r>
        <w:rPr>
          <w:rFonts w:ascii="Times New Roman" w:hAnsi="Times New Roman"/>
          <w:b/>
          <w:color w:val="000000"/>
          <w:sz w:val="24"/>
        </w:rPr>
        <w:t>Successor Entity</w:t>
      </w:r>
      <w:r>
        <w:rPr>
          <w:rFonts w:ascii="Times New Roman" w:hAnsi="Times New Roman"/>
          <w:color w:val="000000"/>
          <w:sz w:val="20"/>
        </w:rPr>
        <w:t xml:space="preserve">” </w:t>
      </w:r>
      <w:r>
        <w:rPr>
          <w:rFonts w:ascii="Times New Roman" w:hAnsi="Times New Roman"/>
          <w:color w:val="000000"/>
          <w:sz w:val="24"/>
        </w:rPr>
        <w:t>shall have the meaning specified in ‎Section 11.01(a).</w:t>
      </w:r>
    </w:p>
    <w:p>
      <w:pPr>
        <w:pStyle w:val="TextBody"/>
        <w:bidi w:val="0"/>
        <w:spacing w:before="0" w:after="240"/>
        <w:jc w:val="left"/>
        <w:rPr/>
      </w:pPr>
      <w:r>
        <w:rPr>
          <w:color w:val="000000"/>
        </w:rPr>
        <w:t>“</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 xml:space="preserve">means, except for determining amounts due upon conversion,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Common Stock (or such other security) is not so listed or traded, “</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 xml:space="preserve">means a Business Day; and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0"/>
        </w:rPr>
        <w:t xml:space="preserve"> </w:t>
      </w:r>
      <w:r>
        <w:rPr>
          <w:rFonts w:ascii="Times New Roman" w:hAnsi="Times New Roman"/>
          <w:color w:val="000000"/>
          <w:sz w:val="24"/>
        </w:rPr>
        <w:t>that for purposes of determining amounts due upon conversion only, “</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hAnsi="Times New Roman"/>
          <w:b/>
          <w:color w:val="000000"/>
          <w:sz w:val="24"/>
        </w:rPr>
        <w:t>Trading Day</w:t>
      </w:r>
      <w:r>
        <w:rPr>
          <w:rFonts w:ascii="Times New Roman" w:hAnsi="Times New Roman"/>
          <w:color w:val="000000"/>
          <w:sz w:val="20"/>
        </w:rPr>
        <w:t xml:space="preserve">” </w:t>
      </w:r>
      <w:r>
        <w:rPr>
          <w:rFonts w:ascii="Times New Roman" w:hAnsi="Times New Roman"/>
          <w:color w:val="000000"/>
          <w:sz w:val="24"/>
        </w:rPr>
        <w:t>means a Business Day.</w:t>
      </w:r>
    </w:p>
    <w:p>
      <w:pPr>
        <w:pStyle w:val="TextBody"/>
        <w:bidi w:val="0"/>
        <w:spacing w:before="0" w:after="240"/>
        <w:jc w:val="left"/>
        <w:rPr/>
      </w:pPr>
      <w:r>
        <w:rPr>
          <w:color w:val="000000"/>
        </w:rPr>
        <w:t>“</w:t>
      </w:r>
      <w:r>
        <w:rPr>
          <w:rFonts w:ascii="Times New Roman" w:hAnsi="Times New Roman"/>
          <w:b/>
          <w:color w:val="000000"/>
          <w:sz w:val="24"/>
        </w:rPr>
        <w:t>Trading Price</w:t>
      </w:r>
      <w:r>
        <w:rPr>
          <w:rFonts w:ascii="Times New Roman" w:hAnsi="Times New Roman"/>
          <w:color w:val="000000"/>
          <w:sz w:val="20"/>
        </w:rPr>
        <w:t xml:space="preserve">” </w:t>
      </w:r>
      <w:r>
        <w:rPr>
          <w:rFonts w:ascii="Times New Roman" w:hAnsi="Times New Roman"/>
          <w:color w:val="000000"/>
          <w:sz w:val="24"/>
        </w:rPr>
        <w:t xml:space="preserve">of the Notes on any date of determination means the average of the secondary market bid quotations obtained by the Bid Solicitation Agent for $5,000,000 (or such lesser amount as may then be outstanding) principal amount of Notes at approximately 3:30 p.m., New York City time, on such determination date from three independent nationally recognized securities dealers the Company selects for this purpose;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(or such lesser amount as may then be outstanding) principal amount of Notes from a nationally recognized securities dealer, then the Trading Price per $1,000 principal amount of Notes on such determination date shall be deemed to be less than 98% of the product of the Last Reported Sale Price of the Common Stock and the Conversion Rate.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pPr>
      <w:r>
        <w:rPr>
          <w:color w:val="000000"/>
        </w:rPr>
        <w:t>“</w:t>
      </w:r>
      <w:r>
        <w:rPr>
          <w:rFonts w:ascii="Times New Roman" w:hAnsi="Times New Roman"/>
          <w:b/>
          <w:color w:val="000000"/>
          <w:sz w:val="24"/>
        </w:rPr>
        <w:t>transfer</w:t>
      </w:r>
      <w:r>
        <w:rPr>
          <w:rFonts w:ascii="Times New Roman" w:hAnsi="Times New Roman"/>
          <w:color w:val="000000"/>
          <w:sz w:val="20"/>
        </w:rPr>
        <w:t xml:space="preserve">” </w:t>
      </w:r>
      <w:r>
        <w:rPr>
          <w:rFonts w:ascii="Times New Roman" w:hAnsi="Times New Roman"/>
          <w:color w:val="000000"/>
          <w:sz w:val="24"/>
        </w:rPr>
        <w:t>shall have the meaning specified in ‎Section 2.05(c).</w:t>
      </w:r>
    </w:p>
    <w:p>
      <w:pPr>
        <w:pStyle w:val="TextBody"/>
        <w:bidi w:val="0"/>
        <w:spacing w:before="0" w:after="240"/>
        <w:jc w:val="left"/>
        <w:rPr/>
      </w:pPr>
      <w:r>
        <w:rPr>
          <w:color w:val="000000"/>
        </w:rPr>
        <w:t>“</w:t>
      </w:r>
      <w:r>
        <w:rPr>
          <w:rFonts w:ascii="Times New Roman" w:hAnsi="Times New Roman"/>
          <w:b/>
          <w:color w:val="000000"/>
          <w:sz w:val="24"/>
        </w:rPr>
        <w:t>Trigger Event</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Trust Indenture Act</w:t>
      </w:r>
      <w:r>
        <w:rPr>
          <w:rFonts w:ascii="Times New Roman" w:hAnsi="Times New Roman"/>
          <w:color w:val="000000"/>
          <w:sz w:val="20"/>
        </w:rPr>
        <w:t xml:space="preserve">” </w:t>
      </w:r>
      <w:r>
        <w:rPr>
          <w:rFonts w:ascii="Times New Roman" w:hAnsi="Times New Roman"/>
          <w:color w:val="000000"/>
          <w:sz w:val="24"/>
        </w:rPr>
        <w:t xml:space="preserve">means the Trust Indenture Act of 1939, as amended, as it was in force at the date of execution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240"/>
        <w:jc w:val="left"/>
        <w:rPr/>
      </w:pPr>
      <w:r>
        <w:rPr>
          <w:color w:val="000000"/>
        </w:rPr>
        <w:t>“</w:t>
      </w:r>
      <w:r>
        <w:rPr>
          <w:rFonts w:ascii="Times New Roman" w:hAnsi="Times New Roman"/>
          <w:b/>
          <w:color w:val="000000"/>
          <w:sz w:val="24"/>
        </w:rPr>
        <w:t>Trustee</w:t>
      </w:r>
      <w:r>
        <w:rPr>
          <w:rFonts w:ascii="Times New Roman" w:hAnsi="Times New Roman"/>
          <w:color w:val="000000"/>
          <w:sz w:val="20"/>
        </w:rPr>
        <w:t xml:space="preserve">” </w:t>
      </w:r>
      <w:r>
        <w:rPr>
          <w:rFonts w:ascii="Times New Roman" w:hAnsi="Times New Roman"/>
          <w:color w:val="000000"/>
          <w:sz w:val="24"/>
        </w:rPr>
        <w:t>means the Person named as the “</w:t>
      </w:r>
      <w:r>
        <w:rPr>
          <w:rFonts w:ascii="Times New Roman" w:hAnsi="Times New Roman"/>
          <w:b/>
          <w:color w:val="000000"/>
          <w:sz w:val="24"/>
        </w:rPr>
        <w:t>Trustee</w:t>
      </w:r>
      <w:r>
        <w:rPr>
          <w:rFonts w:ascii="Times New Roman" w:hAnsi="Times New Roman"/>
          <w:color w:val="000000"/>
          <w:sz w:val="20"/>
        </w:rPr>
        <w:t xml:space="preserve">” </w:t>
      </w:r>
      <w:r>
        <w:rPr>
          <w:rFonts w:ascii="Times New Roman" w:hAnsi="Times New Roman"/>
          <w:color w:val="000000"/>
          <w:sz w:val="24"/>
        </w:rPr>
        <w:t>in the first paragraph of this Indenture until a successor trustee shall have become such pursuant to the applicable provisions of this Indenture, and thereafter “</w:t>
      </w:r>
      <w:r>
        <w:rPr>
          <w:rFonts w:ascii="Times New Roman" w:hAnsi="Times New Roman"/>
          <w:b/>
          <w:color w:val="000000"/>
          <w:sz w:val="24"/>
        </w:rPr>
        <w:t>Trustee</w:t>
      </w:r>
      <w:r>
        <w:rPr>
          <w:rFonts w:ascii="Times New Roman" w:hAnsi="Times New Roman"/>
          <w:color w:val="000000"/>
          <w:sz w:val="20"/>
        </w:rPr>
        <w:t xml:space="preserve">” </w:t>
      </w:r>
      <w:r>
        <w:rPr>
          <w:rFonts w:ascii="Times New Roman" w:hAnsi="Times New Roman"/>
          <w:color w:val="000000"/>
          <w:sz w:val="24"/>
        </w:rPr>
        <w:t>shall mean or include each Person who is then a Trustee hereunder.</w:t>
      </w:r>
    </w:p>
    <w:p>
      <w:pPr>
        <w:pStyle w:val="TextBody"/>
        <w:bidi w:val="0"/>
        <w:spacing w:before="0" w:after="240"/>
        <w:jc w:val="left"/>
        <w:rPr/>
      </w:pPr>
      <w:r>
        <w:rPr>
          <w:color w:val="000000"/>
        </w:rPr>
        <w:t>“</w:t>
      </w:r>
      <w:r>
        <w:rPr>
          <w:rFonts w:ascii="Times New Roman" w:hAnsi="Times New Roman"/>
          <w:b/>
          <w:color w:val="000000"/>
          <w:sz w:val="24"/>
        </w:rPr>
        <w:t>unit of Reference Property</w:t>
      </w:r>
      <w:r>
        <w:rPr>
          <w:rFonts w:ascii="Times New Roman" w:hAnsi="Times New Roman"/>
          <w:color w:val="000000"/>
          <w:sz w:val="20"/>
        </w:rPr>
        <w:t xml:space="preserve">” </w:t>
      </w:r>
      <w:r>
        <w:rPr>
          <w:rFonts w:ascii="Times New Roman" w:hAnsi="Times New Roman"/>
          <w:color w:val="000000"/>
          <w:sz w:val="24"/>
        </w:rPr>
        <w:t>shall have the meaning specified in ‎Section 14.07(a).</w:t>
      </w:r>
    </w:p>
    <w:p>
      <w:pPr>
        <w:pStyle w:val="TextBody"/>
        <w:bidi w:val="0"/>
        <w:spacing w:before="0" w:after="240"/>
        <w:jc w:val="left"/>
        <w:rPr/>
      </w:pPr>
      <w:r>
        <w:rPr>
          <w:color w:val="000000"/>
        </w:rPr>
        <w:t>“</w:t>
      </w:r>
      <w:r>
        <w:rPr>
          <w:rFonts w:ascii="Times New Roman" w:hAnsi="Times New Roman"/>
          <w:b/>
          <w:color w:val="000000"/>
          <w:sz w:val="24"/>
        </w:rPr>
        <w:t>Valuation Period</w:t>
      </w:r>
      <w:r>
        <w:rPr>
          <w:rFonts w:ascii="Times New Roman" w:hAnsi="Times New Roman"/>
          <w:color w:val="000000"/>
          <w:sz w:val="20"/>
        </w:rPr>
        <w:t xml:space="preserve">” </w:t>
      </w:r>
      <w:r>
        <w:rPr>
          <w:rFonts w:ascii="Times New Roman" w:hAnsi="Times New Roman"/>
          <w:color w:val="000000"/>
          <w:sz w:val="24"/>
        </w:rPr>
        <w:t>shall have the meaning specified in ‎Section 14.04(c).</w:t>
      </w:r>
    </w:p>
    <w:p>
      <w:pPr>
        <w:pStyle w:val="TextBody"/>
        <w:bidi w:val="0"/>
        <w:spacing w:before="0" w:after="240"/>
        <w:jc w:val="left"/>
        <w:rPr/>
      </w:pPr>
      <w:r>
        <w:rPr>
          <w:color w:val="000000"/>
        </w:rPr>
        <w:t>“</w:t>
      </w:r>
      <w:r>
        <w:rPr>
          <w:rFonts w:ascii="Times New Roman" w:hAnsi="Times New Roman"/>
          <w:b/>
          <w:color w:val="000000"/>
          <w:sz w:val="24"/>
        </w:rPr>
        <w:t>Wholly Owned Subsidiary</w:t>
      </w:r>
      <w:r>
        <w:rPr>
          <w:rFonts w:ascii="Times New Roman" w:hAnsi="Times New Roman"/>
          <w:color w:val="000000"/>
          <w:sz w:val="20"/>
        </w:rPr>
        <w:t xml:space="preserve">” </w:t>
      </w:r>
      <w:r>
        <w:rPr>
          <w:rFonts w:ascii="Times New Roman" w:hAnsi="Times New Roman"/>
          <w:color w:val="000000"/>
          <w:sz w:val="24"/>
        </w:rPr>
        <w:t>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TextBody"/>
        <w:bidi w:val="0"/>
        <w:spacing w:before="0" w:after="240"/>
        <w:jc w:val="left"/>
        <w:rPr>
          <w:rFonts w:ascii="Times New Roman" w:hAnsi="Times New Roman"/>
          <w:sz w:val="20"/>
        </w:rPr>
      </w:pPr>
      <w:r>
        <w:rPr>
          <w:rFonts w:ascii="Times New Roman" w:hAnsi="Times New Roman"/>
          <w:color w:val="000000"/>
          <w:sz w:val="24"/>
        </w:rPr>
        <w:t>Section 1.02</w:t>
      </w:r>
      <w:r>
        <w:rPr>
          <w:rFonts w:ascii="Times New Roman" w:hAnsi="Times New Roman"/>
          <w:i/>
          <w:color w:val="000000"/>
          <w:sz w:val="24"/>
        </w:rPr>
        <w:t>. References to Interest.</w:t>
      </w:r>
      <w:r>
        <w:rPr>
          <w:rFonts w:ascii="Times New Roman" w:hAnsi="Times New Roman"/>
          <w:color w:val="000000"/>
          <w:sz w:val="20"/>
        </w:rPr>
        <w:t xml:space="preserve"> </w:t>
      </w:r>
      <w:r>
        <w:rPr>
          <w:rFonts w:ascii="Times New Roman" w:hAnsi="Times New Roman"/>
          <w:color w:val="000000"/>
          <w:sz w:val="24"/>
        </w:rPr>
        <w:t>Unless the context otherwise requires, any reference to interest on, or in respect of, any Note in this Indenture shall be deemed to refer solely to Special Interest (if, in such context, Special Interest is, was or would be payable pursuant to any of ‎Section 4.06(d), ‎Section 4.06(e) and ‎Section 6.03) and/or to any interest payable on any Defaulted Amounts as set forth in Section 2.03(c).</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2</w:t>
      </w:r>
      <w:r>
        <w:rPr>
          <w:rFonts w:ascii="Times New Roman" w:hAnsi="Times New Roman"/>
          <w:smallCaps/>
          <w:color w:val="000000"/>
          <w:sz w:val="24"/>
        </w:rPr>
        <w:br/>
        <w:t>Issue, Description, Execution, Registration and Exchange of Notes</w:t>
      </w:r>
    </w:p>
    <w:p>
      <w:pPr>
        <w:pStyle w:val="TextBody"/>
        <w:bidi w:val="0"/>
        <w:spacing w:before="0" w:after="240"/>
        <w:jc w:val="left"/>
        <w:rPr>
          <w:rFonts w:ascii="Times New Roman" w:hAnsi="Times New Roman"/>
          <w:sz w:val="20"/>
        </w:rPr>
      </w:pPr>
      <w:r>
        <w:rPr>
          <w:rFonts w:ascii="Times New Roman" w:hAnsi="Times New Roman"/>
          <w:color w:val="000000"/>
          <w:sz w:val="24"/>
        </w:rPr>
        <w:t>Section 2.01</w:t>
      </w:r>
      <w:r>
        <w:rPr>
          <w:rFonts w:ascii="Times New Roman" w:hAnsi="Times New Roman"/>
          <w:i/>
          <w:color w:val="000000"/>
          <w:sz w:val="24"/>
        </w:rPr>
        <w:t>. Designation and Amount.</w:t>
      </w:r>
      <w:r>
        <w:rPr>
          <w:rFonts w:ascii="Times New Roman" w:hAnsi="Times New Roman"/>
          <w:color w:val="000000"/>
          <w:sz w:val="20"/>
        </w:rPr>
        <w:t xml:space="preserve"> </w:t>
      </w:r>
      <w:r>
        <w:rPr>
          <w:rFonts w:ascii="Times New Roman" w:hAnsi="Times New Roman"/>
          <w:color w:val="000000"/>
          <w:sz w:val="24"/>
        </w:rPr>
        <w:t>The Notes shall be designated as the “0.00% Convertible Senior Notes due 2031.” The aggregate principal amount of Notes that may be authenticated and delivered under this Indenture is initially limited to $375,000,000, subject to ‎Section 2.10 and except for Notes authenticated and delivered upon registration or transfer of, or in exchange for, or in lieu of other Notes to the extent expressly permitted hereunder.</w:t>
      </w:r>
    </w:p>
    <w:p>
      <w:pPr>
        <w:pStyle w:val="TextBody"/>
        <w:bidi w:val="0"/>
        <w:spacing w:before="0" w:after="240"/>
        <w:jc w:val="left"/>
        <w:rPr>
          <w:rFonts w:ascii="Times New Roman" w:hAnsi="Times New Roman"/>
          <w:sz w:val="20"/>
        </w:rPr>
      </w:pPr>
      <w:r>
        <w:rPr>
          <w:rFonts w:ascii="Times New Roman" w:hAnsi="Times New Roman"/>
          <w:color w:val="000000"/>
          <w:sz w:val="24"/>
        </w:rPr>
        <w:t>Section 2.02</w:t>
      </w:r>
      <w:r>
        <w:rPr>
          <w:rFonts w:ascii="Times New Roman" w:hAnsi="Times New Roman"/>
          <w:i/>
          <w:color w:val="000000"/>
          <w:sz w:val="24"/>
        </w:rPr>
        <w:t>. Form of Notes.</w:t>
      </w:r>
      <w:r>
        <w:rPr>
          <w:rFonts w:ascii="Times New Roman" w:hAnsi="Times New Roman"/>
          <w:color w:val="000000"/>
          <w:sz w:val="20"/>
        </w:rPr>
        <w:t xml:space="preserve"> </w:t>
      </w:r>
      <w:r>
        <w:rPr>
          <w:rFonts w:ascii="Times New Roman" w:hAnsi="Times New Roman"/>
          <w:color w:val="000000"/>
          <w:sz w:val="24"/>
        </w:rPr>
        <w:t>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any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240"/>
        <w:jc w:val="left"/>
        <w:rPr>
          <w:rFonts w:ascii="Times New Roman" w:hAnsi="Times New Roman"/>
          <w:sz w:val="20"/>
        </w:rPr>
      </w:pPr>
      <w:r>
        <w:rPr>
          <w:rFonts w:ascii="Times New Roman" w:hAnsi="Times New Roman"/>
          <w:color w:val="000000"/>
          <w:sz w:val="24"/>
        </w:rPr>
        <w:t>Section 2.03</w:t>
      </w:r>
      <w:r>
        <w:rPr>
          <w:rFonts w:ascii="Times New Roman" w:hAnsi="Times New Roman"/>
          <w:i/>
          <w:color w:val="000000"/>
          <w:sz w:val="24"/>
        </w:rPr>
        <w:t>. Date and Denomination of Notes; No Regular Interest; Special Interest and Defaulted Amounts.</w:t>
      </w:r>
      <w:r>
        <w:rPr>
          <w:rFonts w:ascii="Times New Roman" w:hAnsi="Times New Roman"/>
          <w:color w:val="000000"/>
          <w:sz w:val="20"/>
        </w:rPr>
        <w:t xml:space="preserve"> </w:t>
      </w:r>
      <w:r>
        <w:rPr>
          <w:rFonts w:ascii="Times New Roman" w:hAnsi="Times New Roman"/>
          <w:color w:val="000000"/>
          <w:sz w:val="24"/>
        </w:rPr>
        <w:t>(a) The Notes shall be issuable in registered form without coupons in minimum denominations of $1,000 principal amount and integral multiples thereof. Each Note shall be dated the date of its authentication and shall not bear regular interest, and the principal amount of the Notes shall not accrete. Special Interest on the Notes, if any, shall be computed on the basis of a 360-day year composed of twelve 30-day months and, for partial months, on the basis of the number of days actually elapsed in a 30-day month.</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(b) The Person in whose name any Note (or its Predecessor Note) is registered on the Note Register at the close of business on any Special Interest Record Date with respect to any Special Interest Payment Date shall be entitled to receive any Special Interest payable on such Special Interest Payment Date. The principal amount of any Note (x) in the case of any Physical Note, shall be payable at the office or agency of the Company maintained by the Company for such purposes within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any Special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Special Interest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Any Defaulted Amounts shall forthwith cease to be payable to the Holder on the relevant payment date and shall not accrue interest unless Special Interest was payable pursuant to this Indenture on the relevant payment date, in which case such Defaulted Amounts shall accrue interest per annum at the then-applicable Special Interest rate borne by the Notes, subject to the enforceability thereof under applicable law, from, and including, such relevant payment date, and such Defaulted Amounts together with any such interest thereon shall be paid by the Company, at its election in each case, as provided in clause (i) or (ii) below:</w:t>
      </w:r>
    </w:p>
    <w:p>
      <w:pPr>
        <w:pStyle w:val="TextBody"/>
        <w:bidi w:val="0"/>
        <w:spacing w:before="0" w:after="240"/>
        <w:jc w:val="left"/>
        <w:rPr>
          <w:rFonts w:ascii="Times New Roman" w:hAnsi="Times New Roman"/>
          <w:sz w:val="20"/>
        </w:rPr>
      </w:pPr>
      <w:r>
        <w:rPr>
          <w:rFonts w:ascii="Times New Roman" w:hAnsi="Times New Roman"/>
          <w:color w:val="000000"/>
          <w:sz w:val="24"/>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For the avoidance of doubt, the Company may make payment of any Defaulted Amounts and any interest thereon relating to any amounts due upon conversion of the Notes (other than Special Interest) in a manner other than as provided in ‎Section 2.03(c)(i) if such manner would be permitted under the terms of this Indenture if such amounts due upon conversion were not Defaulted Amounts.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w:t>
      </w:r>
    </w:p>
    <w:p>
      <w:pPr>
        <w:pStyle w:val="TextBody"/>
        <w:bidi w:val="0"/>
        <w:spacing w:before="0" w:after="240"/>
        <w:jc w:val="left"/>
        <w:rPr>
          <w:rFonts w:ascii="Times New Roman" w:hAnsi="Times New Roman"/>
          <w:sz w:val="20"/>
        </w:rPr>
      </w:pPr>
      <w:r>
        <w:rPr>
          <w:rFonts w:ascii="Times New Roman" w:hAnsi="Times New Roman"/>
          <w:color w:val="000000"/>
          <w:sz w:val="24"/>
        </w:rPr>
        <w:t>Section 2.04</w:t>
      </w:r>
      <w:r>
        <w:rPr>
          <w:rFonts w:ascii="Times New Roman" w:hAnsi="Times New Roman"/>
          <w:i/>
          <w:color w:val="000000"/>
          <w:sz w:val="24"/>
        </w:rPr>
        <w:t>. Execution, Authentication and Delivery of Notes.</w:t>
      </w:r>
      <w:r>
        <w:rPr>
          <w:rFonts w:ascii="Times New Roman" w:hAnsi="Times New Roman"/>
          <w:color w:val="000000"/>
          <w:sz w:val="20"/>
        </w:rPr>
        <w:t xml:space="preserve"> </w:t>
      </w:r>
      <w:r>
        <w:rPr>
          <w:rFonts w:ascii="Times New Roman" w:hAnsi="Times New Roman"/>
          <w:color w:val="000000"/>
          <w:sz w:val="24"/>
        </w:rPr>
        <w:t>The Notes shall be signed in the name and on behalf of the Company by the manual, facsimile or other electronic signature of its Chief Executive Officer, Chief Financial Officer or Senior Vice President, Worldwide Products Group.</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subject to Section 17.05, the Trustee shall be entitled to receive an Officer’s Certificate and an Opinion of Counsel of the Company with respect to the issuance, authentication and delivery of such Notes.</w:t>
      </w:r>
    </w:p>
    <w:p>
      <w:pPr>
        <w:pStyle w:val="TextBody"/>
        <w:bidi w:val="0"/>
        <w:spacing w:before="0" w:after="240"/>
        <w:jc w:val="left"/>
        <w:rPr>
          <w:rFonts w:ascii="Times New Roman" w:hAnsi="Times New Roman"/>
          <w:sz w:val="20"/>
        </w:rPr>
      </w:pPr>
      <w:r>
        <w:rPr>
          <w:rFonts w:ascii="Times New Roman" w:hAnsi="Times New Roman"/>
          <w:color w:val="000000"/>
          <w:sz w:val="24"/>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240"/>
        <w:jc w:val="left"/>
        <w:rPr>
          <w:rFonts w:ascii="Times New Roman" w:hAnsi="Times New Roman"/>
          <w:sz w:val="20"/>
        </w:rPr>
      </w:pPr>
      <w:r>
        <w:rPr>
          <w:rFonts w:ascii="Times New Roman" w:hAnsi="Times New Roman"/>
          <w:color w:val="000000"/>
          <w:sz w:val="24"/>
        </w:rPr>
        <w:t>Section 2.05</w:t>
      </w:r>
      <w:r>
        <w:rPr>
          <w:rFonts w:ascii="Times New Roman" w:hAnsi="Times New Roman"/>
          <w:i/>
          <w:color w:val="000000"/>
          <w:sz w:val="24"/>
        </w:rPr>
        <w:t>. Exchange and Registration of Transfer of Notes; Restrictions on Transfer; Depositary.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The Company shall cause to be kept at the Corporate Trust Office a register (the register maintained in such office or in any other office or agency of the Company designated pursuant to ‎Section 4.02, the “</w:t>
      </w:r>
      <w:r>
        <w:rPr>
          <w:rFonts w:ascii="Times New Roman" w:hAnsi="Times New Roman"/>
          <w:b/>
          <w:color w:val="000000"/>
          <w:sz w:val="24"/>
        </w:rPr>
        <w:t>Note Register</w:t>
      </w:r>
      <w:r>
        <w:rPr>
          <w:rFonts w:ascii="Times New Roman" w:hAnsi="Times New Roman"/>
          <w:color w:val="000000"/>
          <w:sz w:val="20"/>
        </w:rPr>
        <w:t>”</w:t>
      </w:r>
      <w:r>
        <w:rPr>
          <w:rFonts w:ascii="Times New Roman" w:hAnsi="Times New Roman"/>
          <w:color w:val="000000"/>
          <w:sz w:val="24"/>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hAnsi="Times New Roman"/>
          <w:b/>
          <w:color w:val="000000"/>
          <w:sz w:val="24"/>
        </w:rPr>
        <w:t>Note Registrar</w:t>
      </w:r>
      <w:r>
        <w:rPr>
          <w:rFonts w:ascii="Times New Roman" w:hAnsi="Times New Roman"/>
          <w:color w:val="000000"/>
          <w:sz w:val="20"/>
        </w:rPr>
        <w:t xml:space="preserve">” </w:t>
      </w:r>
      <w:r>
        <w:rPr>
          <w:rFonts w:ascii="Times New Roman" w:hAnsi="Times New Roman"/>
          <w:color w:val="000000"/>
          <w:sz w:val="24"/>
        </w:rPr>
        <w:t>for the purpose of registering Notes and transfers of Notes as herein provided. The Company may appoint one or more co-Note Registrars in accordance with ‎Section 4.02.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upon receipt of a Company Order, shall authenticate and deliver, the Notes that the Holder making the exchange is entitled to receive, bearing registration numbers not contemporaneously outstanding.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Note Registrar and the Company and duly executed, by the Holder thereof or its attorney-in-fact duly authorized in writing.</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service charge shall be imposed by the Company, the Trustee, the Note Registrar, any co-Note Registrar or the Paying Agent for any exchange or registration of transfer of Notes, but the Company or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240"/>
        <w:jc w:val="left"/>
        <w:rPr>
          <w:rFonts w:ascii="Times New Roman" w:hAnsi="Times New Roman"/>
          <w:sz w:val="20"/>
        </w:rPr>
      </w:pPr>
      <w:r>
        <w:rPr>
          <w:rFonts w:ascii="Times New Roman" w:hAnsi="Times New Roman"/>
          <w:color w:val="000000"/>
          <w:sz w:val="24"/>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required repurchase upon a Fundamental Change (and not validly withdrawn) in accordance with ‎Article 15 or (iii) any Notes selected for Optional Redemption in accordance with ‎Article 16, except the unredeemed portion of any Note being redeemed in part.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240"/>
        <w:jc w:val="left"/>
        <w:rPr>
          <w:rFonts w:ascii="Times New Roman" w:hAnsi="Times New Roman"/>
          <w:sz w:val="20"/>
        </w:rPr>
      </w:pPr>
      <w:r>
        <w:rPr>
          <w:rFonts w:ascii="Times New Roman" w:hAnsi="Times New Roman"/>
          <w:color w:val="000000"/>
          <w:sz w:val="24"/>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hAnsi="Times New Roman"/>
          <w:b/>
          <w:color w:val="000000"/>
          <w:sz w:val="24"/>
        </w:rPr>
        <w:t>Global Note</w:t>
      </w:r>
      <w:r>
        <w:rPr>
          <w:rFonts w:ascii="Times New Roman" w:hAnsi="Times New Roman"/>
          <w:color w:val="000000"/>
          <w:sz w:val="20"/>
        </w:rPr>
        <w:t>”</w:t>
      </w:r>
      <w:r>
        <w:rPr>
          <w:rFonts w:ascii="Times New Roman" w:hAnsi="Times New Roman"/>
          <w:color w:val="000000"/>
          <w:sz w:val="24"/>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w:t>
      </w:r>
    </w:p>
    <w:p>
      <w:pPr>
        <w:pStyle w:val="TextBody"/>
        <w:bidi w:val="0"/>
        <w:spacing w:before="0" w:after="240"/>
        <w:jc w:val="left"/>
        <w:rPr>
          <w:rFonts w:ascii="Times New Roman" w:hAnsi="Times New Roman"/>
          <w:sz w:val="20"/>
        </w:rPr>
      </w:pPr>
      <w:r>
        <w:rPr>
          <w:rFonts w:ascii="Times New Roman" w:hAnsi="Times New Roman"/>
          <w:color w:val="000000"/>
          <w:sz w:val="24"/>
        </w:rPr>
        <w:t>(c) 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hAnsi="Times New Roman"/>
          <w:b/>
          <w:color w:val="000000"/>
          <w:sz w:val="24"/>
        </w:rPr>
        <w:t>Restricted Securities</w:t>
      </w:r>
      <w:r>
        <w:rPr>
          <w:rFonts w:ascii="Times New Roman" w:hAnsi="Times New Roman"/>
          <w:color w:val="000000"/>
          <w:sz w:val="20"/>
        </w:rPr>
        <w:t>”</w:t>
      </w:r>
      <w:r>
        <w:rPr>
          <w:rFonts w:ascii="Times New Roman" w:hAnsi="Times New Roman"/>
          <w:color w:val="000000"/>
          <w:sz w:val="24"/>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hAnsi="Times New Roman"/>
          <w:b/>
          <w:color w:val="000000"/>
          <w:sz w:val="24"/>
        </w:rPr>
        <w:t>transfer</w:t>
      </w:r>
      <w:r>
        <w:rPr>
          <w:rFonts w:ascii="Times New Roman" w:hAnsi="Times New Roman"/>
          <w:color w:val="000000"/>
          <w:sz w:val="20"/>
        </w:rPr>
        <w:t xml:space="preserve">” </w:t>
      </w:r>
      <w:r>
        <w:rPr>
          <w:rFonts w:ascii="Times New Roman" w:hAnsi="Times New Roman"/>
          <w:color w:val="000000"/>
          <w:sz w:val="24"/>
        </w:rPr>
        <w:t>encompasses any sale, pledge, transfer or other disposition whatsoever of any Restricted Security.</w:t>
      </w:r>
    </w:p>
    <w:p>
      <w:pPr>
        <w:pStyle w:val="TextBody"/>
        <w:bidi w:val="0"/>
        <w:spacing w:before="0" w:after="240"/>
        <w:jc w:val="left"/>
        <w:rPr>
          <w:rFonts w:ascii="Times New Roman" w:hAnsi="Times New Roman"/>
          <w:sz w:val="20"/>
        </w:rPr>
      </w:pPr>
      <w:r>
        <w:rPr>
          <w:rFonts w:ascii="Times New Roman" w:hAnsi="Times New Roman"/>
          <w:color w:val="000000"/>
          <w:sz w:val="24"/>
        </w:rPr>
        <w:t>Until the date (the “</w:t>
      </w:r>
      <w:r>
        <w:rPr>
          <w:rFonts w:ascii="Times New Roman" w:hAnsi="Times New Roman"/>
          <w:b/>
          <w:color w:val="000000"/>
          <w:sz w:val="24"/>
        </w:rPr>
        <w:t>Resale Restriction Termination Date</w:t>
      </w:r>
      <w:r>
        <w:rPr>
          <w:rFonts w:ascii="Times New Roman" w:hAnsi="Times New Roman"/>
          <w:color w:val="000000"/>
          <w:sz w:val="20"/>
        </w:rPr>
        <w:t>”</w:t>
      </w:r>
      <w:r>
        <w:rPr>
          <w:rFonts w:ascii="Times New Roman" w:hAnsi="Times New Roman"/>
          <w:color w:val="000000"/>
          <w:sz w:val="24"/>
        </w:rPr>
        <w:t>) that is the later of (1) the date that is one year after the last date of original issuance of the Notes, or such shorter period of time as permitted by Rule 144 or any successor provision thereto, and (2) such later date, if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Times New Roman" w:hAnsi="Times New Roman"/>
          <w:b/>
          <w:color w:val="000000"/>
          <w:sz w:val="24"/>
        </w:rPr>
        <w:t>Restrictive Notes Legend</w:t>
      </w:r>
      <w:r>
        <w:rPr>
          <w:rFonts w:ascii="Times New Roman" w:hAnsi="Times New Roman"/>
          <w:color w:val="000000"/>
          <w:sz w:val="20"/>
        </w:rPr>
        <w:t>”</w:t>
      </w:r>
      <w:r>
        <w:rPr>
          <w:rFonts w:ascii="Times New Roman" w:hAnsi="Times New Roman"/>
          <w:color w:val="000000"/>
          <w:sz w:val="24"/>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240"/>
        <w:jc w:val="left"/>
        <w:rPr>
          <w:rFonts w:ascii="Times New Roman" w:hAnsi="Times New Roman"/>
          <w:sz w:val="20"/>
        </w:rPr>
      </w:pPr>
      <w:r>
        <w:rPr>
          <w:rFonts w:ascii="Times New Roman" w:hAnsi="Times New Roman"/>
          <w:color w:val="000000"/>
          <w:sz w:val="24"/>
        </w:rPr>
        <w:t>THE OFFER AND SALE OF THIS SECURITY AND THE COMMON STOCK, IF ANY, ISSUABLE UPON CONVERSION OF THIS SECURITY HAVE NOT BEEN REGISTERED UNDER THE SECURITIES ACT OF 1933, AS AMENDED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OR THE SECURITIES LAWS OF ANY OTHER JURISDICTION, AND MAY NOT BE OFFERED, SOLD, PLEDGED OR OTHERWISE TRANSFERRED EXCEPT IN ACCORDANCE WITH THE FOLLOWING SENTENCE. BY ITS ACQUISITION HEREOF OR OF A BENEFICIAL INTEREST HEREIN, THE ACQUIRER: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240"/>
        <w:jc w:val="left"/>
        <w:rPr>
          <w:rFonts w:ascii="Times New Roman" w:hAnsi="Times New Roman"/>
          <w:sz w:val="20"/>
        </w:rPr>
      </w:pPr>
      <w:r>
        <w:rPr>
          <w:rFonts w:ascii="Times New Roman" w:hAnsi="Times New Roman"/>
          <w:color w:val="000000"/>
          <w:sz w:val="24"/>
        </w:rPr>
        <w:t>(2) AGREES FOR THE BENEFIT OF DIODES INCORPORATED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THE COMPANY OR ANY SUBSIDIARY THEREOF,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PURSUANT TO A REGISTRATION STATEMENT THAT HAS BECOME EFFECTIVE UNDER THE SECURITIES ACT,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 PERSON REASONABLY BELIEVED TO BE A QUALIFIED INSTITUTIONAL BUYER IN COMPLIANCE WITH RULE 144A UNDER THE SECURITIES ACT,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PURSUANT TO AN EXEMPTION FROM REGISTRATION PROVIDED BY RULE 144 UNDER THE SECURITIES ACT OR ANY OTHER AVAILABLE EXEMPTION FROM THE REGISTRATION REQUIREMENTS OF THE SECURITIES ACT.</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transfer of any Note prior to the Resale Restriction Termination Date will be registered by the Note Registrar unless the applicable box on the Form of Assignment and Transfer has been checked.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w:t>
      </w:r>
    </w:p>
    <w:p>
      <w:pPr>
        <w:pStyle w:val="TextBody"/>
        <w:bidi w:val="0"/>
        <w:spacing w:before="0" w:after="240"/>
        <w:jc w:val="left"/>
        <w:rPr>
          <w:rFonts w:ascii="Times New Roman" w:hAnsi="Times New Roman"/>
          <w:sz w:val="20"/>
        </w:rPr>
      </w:pPr>
      <w:r>
        <w:rPr>
          <w:rFonts w:ascii="Times New Roman" w:hAnsi="Times New Roman"/>
          <w:color w:val="000000"/>
          <w:sz w:val="24"/>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such time as all interests in a Global Note have been converted, cancelled, repurchased upon a Fundamental Change, redeemed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converted, cancelled,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None of the Company, the Trustee or any agent of the Company or the Trustee (including in its capacity as Paying Agent and the Conversion Agent)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Neither the Company nor the Trustee, Paying Agent, Note Registrar or Conversion Agent (nor the Company’s or their agents) shall have any responsibility or liability for any act or omission of the Depositary. All notices and communications to be given to the Holders and all payments to be made to Holders in respect of the Notes shall be given or made only to, or upon the order of, the registered Holder(s) (which shall be the Depositary or its nominee in the case of a Global Note).</w:t>
      </w:r>
    </w:p>
    <w:p>
      <w:pPr>
        <w:pStyle w:val="TextBody"/>
        <w:bidi w:val="0"/>
        <w:spacing w:before="0" w:after="240"/>
        <w:jc w:val="left"/>
        <w:rPr>
          <w:rFonts w:ascii="Times New Roman" w:hAnsi="Times New Roman"/>
          <w:sz w:val="20"/>
        </w:rPr>
      </w:pPr>
      <w:r>
        <w:rPr>
          <w:rFonts w:ascii="Times New Roman" w:hAnsi="Times New Roman"/>
          <w:color w:val="000000"/>
          <w:sz w:val="24"/>
        </w:rPr>
        <w:t>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any beneficial owners.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240"/>
        <w:jc w:val="left"/>
        <w:rPr>
          <w:rFonts w:ascii="Times New Roman" w:hAnsi="Times New Roman"/>
          <w:sz w:val="20"/>
        </w:rPr>
      </w:pPr>
      <w:r>
        <w:rPr>
          <w:rFonts w:ascii="Times New Roman" w:hAnsi="Times New Roman"/>
          <w:color w:val="000000"/>
          <w:sz w:val="24"/>
        </w:rPr>
        <w:t>THIS SECURITY HAS NOT BEEN REGISTERED UNDER THE SECURITIES ACT OF 1933, AS AMENDED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OR THE SECURITIES LAWS OF ANY OTHER JURISDICTION, AND MAY NOT BE OFFERED, SOLD, PLEDGED OR OTHERWISE TRANSFERRED EXCEPT IN ACCORDANCE WITH THE FOLLOWING SENTENCE. BY ITS ACQUISITION HEREOF OR OF A BENEFICIAL INTEREST HEREIN, THE ACQUIRER:</w:t>
      </w:r>
    </w:p>
    <w:p>
      <w:pPr>
        <w:pStyle w:val="TextBody"/>
        <w:bidi w:val="0"/>
        <w:spacing w:before="0" w:after="240"/>
        <w:jc w:val="left"/>
        <w:rPr>
          <w:rFonts w:ascii="Times New Roman" w:hAnsi="Times New Roman"/>
          <w:sz w:val="20"/>
        </w:rPr>
      </w:pPr>
      <w:r>
        <w:rPr>
          <w:rFonts w:ascii="Times New Roman" w:hAnsi="Times New Roman"/>
          <w:color w:val="000000"/>
          <w:sz w:val="24"/>
        </w:rPr>
        <w:t>(1) REPRESENTS THAT IT AND ANY ACCOUNT FOR WHICH IT IS ACTING IS A “QUALIFIED INSTITUTIONAL BUYER” (WITHIN THE MEANING OF RULE 144A UNDER THE SECURITIES ACT) AND THAT IT EXERCISES SOLE INVESTMENT DISCRETION WITH RESPECT TO EACH SUCH ACCOUNT,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(2) AGREES FOR THE BENEFIT OF DIODES INCORPORATED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THE COMPANY OR ANY SUBSIDIARY THEREOF,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PURSUANT TO A REGISTRATION STATEMENT THAT HAS BECOME EFFECTIVE UNDER THE SECURITIES ACT,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 PERSON REASONABLY BELIEVED TO BE A QUALIFIED INSTITUTIONAL BUYER IN COMPLIANCE WITH RULE 144A UNDER THE SECURITIES ACT,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PURSUANT TO AN EXEMPTION FROM REGISTRATION PROVIDED BY RULE 144 UNDER THE SECURITIES ACT OR ANY OTHER AVAILABLE EXEMPTION FROM THE REGISTRATION REQUIREMENTS OF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240"/>
        <w:jc w:val="left"/>
        <w:rPr>
          <w:rFonts w:ascii="Times New Roman" w:hAnsi="Times New Roman"/>
          <w:sz w:val="20"/>
        </w:rPr>
      </w:pPr>
      <w:r>
        <w:rPr>
          <w:rFonts w:ascii="Times New Roman" w:hAnsi="Times New Roman"/>
          <w:color w:val="000000"/>
          <w:sz w:val="24"/>
        </w:rPr>
        <w:t>(e) Any Note or restricted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2.06</w:t>
      </w:r>
      <w:r>
        <w:rPr>
          <w:rFonts w:ascii="Times New Roman" w:hAnsi="Times New Roman"/>
          <w:i/>
          <w:color w:val="000000"/>
          <w:sz w:val="24"/>
        </w:rPr>
        <w:t>. Mutilated, Destroyed, Lost or Stolen Notes.</w:t>
      </w:r>
      <w:r>
        <w:rPr>
          <w:rFonts w:ascii="Times New Roman" w:hAnsi="Times New Roman"/>
          <w:color w:val="000000"/>
          <w:sz w:val="20"/>
        </w:rPr>
        <w:t xml:space="preserve"> </w:t>
      </w:r>
      <w:r>
        <w:rPr>
          <w:rFonts w:ascii="Times New Roman" w:hAnsi="Times New Roman"/>
          <w:color w:val="000000"/>
          <w:sz w:val="24"/>
        </w:rPr>
        <w:t>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240"/>
        <w:jc w:val="left"/>
        <w:rPr>
          <w:rFonts w:ascii="Times New Roman" w:hAnsi="Times New Roman"/>
          <w:sz w:val="20"/>
        </w:rPr>
      </w:pPr>
      <w:r>
        <w:rPr>
          <w:rFonts w:ascii="Times New Roman" w:hAnsi="Times New Roman"/>
          <w:color w:val="000000"/>
          <w:sz w:val="24"/>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240"/>
        <w:jc w:val="left"/>
        <w:rPr>
          <w:rFonts w:ascii="Times New Roman" w:hAnsi="Times New Roman"/>
          <w:sz w:val="20"/>
        </w:rPr>
      </w:pPr>
      <w:r>
        <w:rPr>
          <w:rFonts w:ascii="Times New Roman" w:hAnsi="Times New Roman"/>
          <w:color w:val="000000"/>
          <w:sz w:val="24"/>
        </w:rPr>
        <w:t>Section 2.07</w:t>
      </w:r>
      <w:r>
        <w:rPr>
          <w:rFonts w:ascii="Times New Roman" w:hAnsi="Times New Roman"/>
          <w:i/>
          <w:color w:val="000000"/>
          <w:sz w:val="24"/>
        </w:rPr>
        <w:t>. Temporary Notes.</w:t>
      </w:r>
      <w:r>
        <w:rPr>
          <w:rFonts w:ascii="Times New Roman" w:hAnsi="Times New Roman"/>
          <w:color w:val="000000"/>
          <w:sz w:val="20"/>
        </w:rPr>
        <w:t xml:space="preserve"> </w:t>
      </w:r>
      <w:r>
        <w:rPr>
          <w:rFonts w:ascii="Times New Roman" w:hAnsi="Times New Roman"/>
          <w:color w:val="000000"/>
          <w:sz w:val="24"/>
        </w:rPr>
        <w:t>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240"/>
        <w:jc w:val="left"/>
        <w:rPr>
          <w:rFonts w:ascii="Times New Roman" w:hAnsi="Times New Roman"/>
          <w:sz w:val="20"/>
        </w:rPr>
      </w:pPr>
      <w:r>
        <w:rPr>
          <w:rFonts w:ascii="Times New Roman" w:hAnsi="Times New Roman"/>
          <w:color w:val="000000"/>
          <w:sz w:val="24"/>
        </w:rPr>
        <w:t>Section 2.08</w:t>
      </w:r>
      <w:r>
        <w:rPr>
          <w:rFonts w:ascii="Times New Roman" w:hAnsi="Times New Roman"/>
          <w:i/>
          <w:color w:val="000000"/>
          <w:sz w:val="24"/>
        </w:rPr>
        <w:t>. Cancellation of Notes Paid, Converted, Etc.</w:t>
      </w:r>
      <w:r>
        <w:rPr>
          <w:rFonts w:ascii="Times New Roman" w:hAnsi="Times New Roman"/>
          <w:color w:val="000000"/>
          <w:sz w:val="20"/>
        </w:rPr>
        <w:t xml:space="preserve"> </w:t>
      </w:r>
      <w:r>
        <w:rPr>
          <w:rFonts w:ascii="Times New Roman" w:hAnsi="Times New Roman"/>
          <w:color w:val="000000"/>
          <w:sz w:val="24"/>
        </w:rPr>
        <w:t>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cancelled promptly by it in accordance with its customary procedures upon written request of the Company. Except for any Notes surrendered for registration of transfer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exchange, or as otherwise expressly permitted by any of the provisions of this Indenture, no Notes shall be authenticated in exchange for any Notes surrendered to the Trustee for cancellation. The Trustee shall dispose of cancelled Notes in accordance with its customary procedures and, after such disposition, shall deliver evidence of such disposition to the Company, at the Company’s written request in a Company Order.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2.09</w:t>
      </w:r>
      <w:r>
        <w:rPr>
          <w:rFonts w:ascii="Times New Roman" w:hAnsi="Times New Roman"/>
          <w:i/>
          <w:color w:val="000000"/>
          <w:sz w:val="24"/>
        </w:rPr>
        <w:t>. CUSIP Numbers.</w:t>
      </w:r>
      <w:r>
        <w:rPr>
          <w:rFonts w:ascii="Times New Roman" w:hAnsi="Times New Roman"/>
          <w:color w:val="000000"/>
          <w:sz w:val="20"/>
        </w:rPr>
        <w:t xml:space="preserve"> </w:t>
      </w:r>
      <w:r>
        <w:rPr>
          <w:rFonts w:ascii="Times New Roman" w:hAnsi="Times New Roman"/>
          <w:color w:val="000000"/>
          <w:sz w:val="24"/>
        </w:rPr>
        <w:t xml:space="preserve">The Company in issuing the Notes may use “CUSIP” numbers (if then generally in use), and, if so, the Trustee shall use “CUSIP” numbers in all notices issued to Holders as a convenience to such Holders;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Trustee shall have no liability for any defect in the “CUSIP” numbers as they appear on any Note, notice or elsewhere, and, </w:t>
      </w:r>
      <w:r>
        <w:rPr>
          <w:rFonts w:ascii="Times New Roman" w:hAnsi="Times New Roman"/>
          <w:i/>
          <w:color w:val="000000"/>
          <w:sz w:val="24"/>
        </w:rPr>
        <w:t>provided, further,</w:t>
      </w:r>
      <w:r>
        <w:rPr>
          <w:rFonts w:ascii="Times New Roman" w:hAnsi="Times New Roman"/>
          <w:color w:val="000000"/>
          <w:sz w:val="20"/>
        </w:rPr>
        <w:t xml:space="preserve"> </w:t>
      </w:r>
      <w:r>
        <w:rPr>
          <w:rFonts w:ascii="Times New Roman" w:hAnsi="Times New Roman"/>
          <w:color w:val="000000"/>
          <w:sz w:val="24"/>
        </w:rPr>
        <w:t>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2.10</w:t>
      </w:r>
      <w:r>
        <w:rPr>
          <w:rFonts w:ascii="Times New Roman" w:hAnsi="Times New Roman"/>
          <w:i/>
          <w:color w:val="000000"/>
          <w:sz w:val="24"/>
        </w:rPr>
        <w:t>. Additional Notes; Repurchases.</w:t>
      </w:r>
      <w:r>
        <w:rPr>
          <w:rFonts w:ascii="Times New Roman" w:hAnsi="Times New Roman"/>
          <w:color w:val="000000"/>
          <w:sz w:val="20"/>
        </w:rPr>
        <w:t xml:space="preserve"> </w:t>
      </w:r>
      <w:r>
        <w:rPr>
          <w:rFonts w:ascii="Times New Roman" w:hAnsi="Times New Roman"/>
          <w:color w:val="000000"/>
          <w:sz w:val="24"/>
        </w:rPr>
        <w:t xml:space="preserve">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if any, accrued prior to the issue date of such additional Notes and, if applicable, restrictions on transfer in respect of such additional Notes) in an unlimited aggregate principal amount;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40"/>
        <w:jc w:val="center"/>
        <w:rPr>
          <w:rFonts w:ascii="Times New Roman" w:hAnsi="Times New Roman"/>
          <w:sz w:val="20"/>
        </w:rPr>
      </w:pPr>
      <w:r>
        <w:rPr>
          <w:rFonts w:ascii="Times New Roman" w:hAnsi="Times New Roman"/>
          <w:caps/>
          <w:color w:val="000000"/>
          <w:sz w:val="24"/>
        </w:rPr>
        <w:t>Article 3</w:t>
      </w:r>
      <w:r>
        <w:rPr>
          <w:rFonts w:ascii="Times New Roman" w:hAnsi="Times New Roman"/>
          <w:smallCaps/>
          <w:color w:val="000000"/>
          <w:sz w:val="24"/>
        </w:rPr>
        <w:br/>
        <w:t>Satisfaction and Discharge</w:t>
      </w:r>
    </w:p>
    <w:p>
      <w:pPr>
        <w:pStyle w:val="TextBody"/>
        <w:bidi w:val="0"/>
        <w:spacing w:before="0" w:after="240"/>
        <w:jc w:val="left"/>
        <w:rPr>
          <w:rFonts w:ascii="Times New Roman" w:hAnsi="Times New Roman"/>
          <w:sz w:val="20"/>
        </w:rPr>
      </w:pPr>
      <w:r>
        <w:rPr>
          <w:rFonts w:ascii="Times New Roman" w:hAnsi="Times New Roman"/>
          <w:color w:val="000000"/>
          <w:sz w:val="24"/>
        </w:rPr>
        <w:t>Section 3.01</w:t>
      </w:r>
      <w:r>
        <w:rPr>
          <w:rFonts w:ascii="Times New Roman" w:hAnsi="Times New Roman"/>
          <w:i/>
          <w:color w:val="000000"/>
          <w:sz w:val="24"/>
        </w:rPr>
        <w:t>. Satisfaction and Discharge.</w:t>
      </w:r>
      <w:r>
        <w:rPr>
          <w:rFonts w:ascii="Times New Roman" w:hAnsi="Times New Roman"/>
          <w:color w:val="000000"/>
          <w:sz w:val="20"/>
        </w:rPr>
        <w:t xml:space="preserve"> </w:t>
      </w:r>
      <w:r>
        <w:rPr>
          <w:rFonts w:ascii="Times New Roman" w:hAnsi="Times New Roman"/>
          <w:color w:val="000000"/>
          <w:sz w:val="24"/>
        </w:rPr>
        <w:t>(a)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solely in the case of conversion, cash and shares of Common Stock, if applicable, sufficient to pay all of the outstanding Notes and all other sums due and payable under this Indenture or the Notes by the Company; and (b) the Trustee upon request of the Company contained in an Officer’s Certificate and at the expense of the Company, shall execute such instruments reasonably requested by the Company acknowledging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or the earlier resignation or removal of the Trustee, the obligations of the Company to the Trustee under ‎Section 7.06 shall survive.</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4</w:t>
      </w:r>
      <w:r>
        <w:rPr>
          <w:rFonts w:ascii="Times New Roman" w:hAnsi="Times New Roman"/>
          <w:smallCaps/>
          <w:color w:val="000000"/>
          <w:sz w:val="24"/>
        </w:rPr>
        <w:br/>
        <w:t>Particular Covenants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Section 4.01</w:t>
      </w:r>
      <w:r>
        <w:rPr>
          <w:rFonts w:ascii="Times New Roman" w:hAnsi="Times New Roman"/>
          <w:i/>
          <w:color w:val="000000"/>
          <w:sz w:val="24"/>
        </w:rPr>
        <w:t>. Payment of Principal and Special Interest.</w:t>
      </w:r>
      <w:r>
        <w:rPr>
          <w:rFonts w:ascii="Times New Roman" w:hAnsi="Times New Roman"/>
          <w:color w:val="000000"/>
          <w:sz w:val="20"/>
        </w:rPr>
        <w:t xml:space="preserve"> </w:t>
      </w:r>
      <w:r>
        <w:rPr>
          <w:rFonts w:ascii="Times New Roman" w:hAnsi="Times New Roman"/>
          <w:color w:val="000000"/>
          <w:sz w:val="24"/>
        </w:rPr>
        <w:t>The Company covenants and agrees that it will cause to be paid the principal (including the Redemption Price and the Fundamental Change Repurchase Price, if applicable) of, and accrued and unpaid interest, if any, on, each of the Notes at the places, at the respective times and in the manner provided herein and in the Notes.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applicable withholding taxes (including backup withholding) may be withheld from or set off against payments of Special Interest, if any, or payments upon conversion, redemption, repurchase or maturity of the Notes, or if any withholding taxes (including backup withholding) are paid on behalf of a Holder or beneficial owner of the Notes, those withholding taxes may be withheld from or set off against payments of cash or Common Stock, if any, payable on the Notes (or, in some circumstances, any payments on the Common Stock) or sales proceeds paid to, or other funds or assets of, the Holder or beneficial owner of the Notes.</w:t>
      </w:r>
    </w:p>
    <w:p>
      <w:pPr>
        <w:pStyle w:val="TextBody"/>
        <w:bidi w:val="0"/>
        <w:spacing w:before="0" w:after="240"/>
        <w:jc w:val="left"/>
        <w:rPr>
          <w:rFonts w:ascii="Times New Roman" w:hAnsi="Times New Roman"/>
          <w:sz w:val="20"/>
        </w:rPr>
      </w:pPr>
      <w:r>
        <w:rPr>
          <w:rFonts w:ascii="Times New Roman" w:hAnsi="Times New Roman"/>
          <w:color w:val="000000"/>
          <w:sz w:val="24"/>
        </w:rPr>
        <w:t>Section 4.02</w:t>
      </w:r>
      <w:r>
        <w:rPr>
          <w:rFonts w:ascii="Times New Roman" w:hAnsi="Times New Roman"/>
          <w:i/>
          <w:color w:val="000000"/>
          <w:sz w:val="24"/>
        </w:rPr>
        <w:t>. Maintenance of Office or Agency.</w:t>
      </w:r>
      <w:r>
        <w:rPr>
          <w:rFonts w:ascii="Times New Roman" w:hAnsi="Times New Roman"/>
          <w:color w:val="000000"/>
          <w:sz w:val="20"/>
        </w:rPr>
        <w:t xml:space="preserve"> </w:t>
      </w:r>
      <w:r>
        <w:rPr>
          <w:rFonts w:ascii="Times New Roman" w:hAnsi="Times New Roman"/>
          <w:color w:val="000000"/>
          <w:sz w:val="24"/>
        </w:rPr>
        <w:t>The Company will maintain within the contiguous United States of America an office or agency where the Notes may be surrendered for registration of transfer or exchange or for presentation for payment or repurchase (“</w:t>
      </w:r>
      <w:r>
        <w:rPr>
          <w:rFonts w:ascii="Times New Roman" w:hAnsi="Times New Roman"/>
          <w:b/>
          <w:color w:val="000000"/>
          <w:sz w:val="24"/>
        </w:rPr>
        <w:t>Paying Agent</w:t>
      </w:r>
      <w:r>
        <w:rPr>
          <w:rFonts w:ascii="Times New Roman" w:hAnsi="Times New Roman"/>
          <w:color w:val="000000"/>
          <w:sz w:val="20"/>
        </w:rPr>
        <w:t>”</w:t>
      </w:r>
      <w:r>
        <w:rPr>
          <w:rFonts w:ascii="Times New Roman" w:hAnsi="Times New Roman"/>
          <w:color w:val="000000"/>
          <w:sz w:val="24"/>
        </w:rPr>
        <w:t>) or for conversion (“</w:t>
      </w:r>
      <w:r>
        <w:rPr>
          <w:rFonts w:ascii="Times New Roman" w:hAnsi="Times New Roman"/>
          <w:b/>
          <w:color w:val="000000"/>
          <w:sz w:val="24"/>
        </w:rPr>
        <w:t>Conversion Agent</w:t>
      </w:r>
      <w:r>
        <w:rPr>
          <w:rFonts w:ascii="Times New Roman" w:hAnsi="Times New Roman"/>
          <w:color w:val="000000"/>
          <w:sz w:val="20"/>
        </w:rPr>
        <w:t>”</w:t>
      </w:r>
      <w:r>
        <w:rPr>
          <w:rFonts w:ascii="Times New Roman" w:hAnsi="Times New Roman"/>
          <w:color w:val="000000"/>
          <w:sz w:val="24"/>
        </w:rPr>
        <w:t>) and where notices and demands to or upon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w:t>
      </w:r>
      <w:r>
        <w:rPr>
          <w:rFonts w:ascii="Times New Roman" w:hAnsi="Times New Roman"/>
          <w:b/>
          <w:color w:val="000000"/>
          <w:sz w:val="24"/>
        </w:rPr>
        <w:t>Paying Agent</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Conversion Agent</w:t>
      </w:r>
      <w:r>
        <w:rPr>
          <w:rFonts w:ascii="Times New Roman" w:hAnsi="Times New Roman"/>
          <w:color w:val="000000"/>
          <w:sz w:val="20"/>
        </w:rPr>
        <w:t xml:space="preserve">” </w:t>
      </w:r>
      <w:r>
        <w:rPr>
          <w:rFonts w:ascii="Times New Roman" w:hAnsi="Times New Roman"/>
          <w:color w:val="000000"/>
          <w:sz w:val="24"/>
        </w:rPr>
        <w:t>include any such additional or other offices or agencies, as applicable.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Corporate Trust Office shall not be a place for service of legal process for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4.03</w:t>
      </w:r>
      <w:r>
        <w:rPr>
          <w:rFonts w:ascii="Times New Roman" w:hAnsi="Times New Roman"/>
          <w:i/>
          <w:color w:val="000000"/>
          <w:sz w:val="24"/>
        </w:rPr>
        <w:t>. Appointments to Fill Vacancies in Trustee’s Office.</w:t>
      </w:r>
      <w:r>
        <w:rPr>
          <w:rFonts w:ascii="Times New Roman" w:hAnsi="Times New Roman"/>
          <w:color w:val="000000"/>
          <w:sz w:val="20"/>
        </w:rPr>
        <w:t xml:space="preserve"> </w:t>
      </w:r>
      <w:r>
        <w:rPr>
          <w:rFonts w:ascii="Times New Roman" w:hAnsi="Times New Roman"/>
          <w:color w:val="000000"/>
          <w:sz w:val="24"/>
        </w:rPr>
        <w:t>The Company, whenever necessary to avoid or fill a vacancy in the office of Trustee, will appoint, in the manner provided in ‎Section 7.09, a Trustee, so that there shall at all times be a Trustee hereunder.</w:t>
      </w:r>
    </w:p>
    <w:p>
      <w:pPr>
        <w:pStyle w:val="TextBody"/>
        <w:bidi w:val="0"/>
        <w:spacing w:before="0" w:after="240"/>
        <w:jc w:val="left"/>
        <w:rPr>
          <w:rFonts w:ascii="Times New Roman" w:hAnsi="Times New Roman"/>
          <w:sz w:val="20"/>
        </w:rPr>
      </w:pPr>
      <w:r>
        <w:rPr>
          <w:rFonts w:ascii="Times New Roman" w:hAnsi="Times New Roman"/>
          <w:color w:val="000000"/>
          <w:sz w:val="24"/>
        </w:rPr>
        <w:t>Section 4.04</w:t>
      </w:r>
      <w:r>
        <w:rPr>
          <w:rFonts w:ascii="Times New Roman" w:hAnsi="Times New Roman"/>
          <w:i/>
          <w:color w:val="000000"/>
          <w:sz w:val="24"/>
        </w:rPr>
        <w:t>. Provisions as to Paying Agent.</w:t>
      </w:r>
      <w:r>
        <w:rPr>
          <w:rFonts w:ascii="Times New Roman" w:hAnsi="Times New Roman"/>
          <w:color w:val="000000"/>
          <w:sz w:val="20"/>
        </w:rPr>
        <w:t xml:space="preserve"> </w:t>
      </w:r>
      <w:r>
        <w:rPr>
          <w:rFonts w:ascii="Times New Roman" w:hAnsi="Times New Roman"/>
          <w:color w:val="000000"/>
          <w:sz w:val="24"/>
        </w:rPr>
        <w:t>(a)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that it will hold all sums held by it as such agent for the payment of the principal (including the Redemption Price and the Fundamental Change Repurchase Price, if applicable) of, and accrued and unpaid interest, if any, on, the Notes in trust for the benefit of the 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that it will give the Trustee prompt written notice of any failure by the Company to make any payment of the principal (including the Redemption Price and the Fundamental Change Repurchase Price, if applicable) of, and accrued and unpaid interest, if any, on, the Notes when the same shall be due and payable;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that at any time during the continuance of an Event of Default, upon request of the Trustee, it will forthwith pay to the Trustee all sums so held in trust.</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Company shall, on or before each due date of the principal (including the Redemption Price and the Fundamental Change Repurchase Price, if applicable) of, or accrued and unpaid interest, if any, on, the Notes, deposit with the Paying Agent a sum sufficient to pay such principal (including the Redemption Price and the Fundamental Change Repurchase Price, if applicable) or such accrued and unpaid interest, if any, and (unless such Paying Agent is the Trustee) the Company will promptly notify the Trustee in writing of any failure to take such action;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deposit is made on the due date, such deposit must be received by the Paying Agent by 11:00 a.m., New York City time, on such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Company shall act as its own Paying Agent, it will, on or before each due date of the principal (including the Redemption Price and the Fundamental Change Repurchase Price, if applicable) of, and accrued and unpaid interest, if any, on, the Notes, set aside, segregate and hold in trust for the benefit of the Holders of the Notes a sum sufficient to pay such principal (including the Redemption Price and the Fundamental Change Repurchase Price, if applicable) and any such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if any, on, the Notes when the same shall become due and payable.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any accrued and unpaid interest on and the consideration due upon conversion of any Note and remaining unclaimed for two years after such principal (including the Redemption Price and the Fundamental Change Repurchase Price, if applicable), any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Upon any Event of Default pursuant to Section 6.01(h) or Section 6.01(i), the Trustee shall automatically become the Paying Agent.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4.05</w:t>
      </w:r>
      <w:r>
        <w:rPr>
          <w:rFonts w:ascii="Times New Roman" w:hAnsi="Times New Roman"/>
          <w:i/>
          <w:color w:val="000000"/>
          <w:sz w:val="24"/>
        </w:rPr>
        <w:t>. Existence.</w:t>
      </w:r>
      <w:r>
        <w:rPr>
          <w:rFonts w:ascii="Times New Roman" w:hAnsi="Times New Roman"/>
          <w:color w:val="000000"/>
          <w:sz w:val="20"/>
        </w:rPr>
        <w:t xml:space="preserve"> </w:t>
      </w:r>
      <w:r>
        <w:rPr>
          <w:rFonts w:ascii="Times New Roman" w:hAnsi="Times New Roman"/>
          <w:color w:val="000000"/>
          <w:sz w:val="24"/>
        </w:rPr>
        <w:t>Subject to ‎Article 11, the Company shall do or cause to be done all things necessary to preserve and keep in full force and effect its corporate existence.</w:t>
      </w:r>
    </w:p>
    <w:p>
      <w:pPr>
        <w:pStyle w:val="TextBody"/>
        <w:bidi w:val="0"/>
        <w:spacing w:before="0" w:after="240"/>
        <w:jc w:val="left"/>
        <w:rPr>
          <w:rFonts w:ascii="Times New Roman" w:hAnsi="Times New Roman"/>
          <w:sz w:val="20"/>
        </w:rPr>
      </w:pPr>
      <w:r>
        <w:rPr>
          <w:rFonts w:ascii="Times New Roman" w:hAnsi="Times New Roman"/>
          <w:color w:val="000000"/>
          <w:sz w:val="24"/>
        </w:rPr>
        <w:t>Section 4.06</w:t>
      </w:r>
      <w:r>
        <w:rPr>
          <w:rFonts w:ascii="Times New Roman" w:hAnsi="Times New Roman"/>
          <w:i/>
          <w:color w:val="000000"/>
          <w:sz w:val="24"/>
        </w:rPr>
        <w:t>. Rule 144A Information Requirement and Annual Reports.</w:t>
      </w:r>
      <w:r>
        <w:rPr>
          <w:rFonts w:ascii="Times New Roman" w:hAnsi="Times New Roman"/>
          <w:color w:val="000000"/>
          <w:sz w:val="20"/>
        </w:rPr>
        <w:t xml:space="preserve"> </w:t>
      </w:r>
      <w:r>
        <w:rPr>
          <w:rFonts w:ascii="Times New Roman" w:hAnsi="Times New Roman"/>
          <w:color w:val="000000"/>
          <w:sz w:val="24"/>
        </w:rPr>
        <w:t>(a)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pStyle w:val="TextBody"/>
        <w:bidi w:val="0"/>
        <w:spacing w:before="0" w:after="240"/>
        <w:jc w:val="left"/>
        <w:rPr>
          <w:rFonts w:ascii="Times New Roman" w:hAnsi="Times New Roman"/>
          <w:sz w:val="20"/>
        </w:rPr>
      </w:pPr>
      <w:r>
        <w:rPr>
          <w:rFonts w:ascii="Times New Roman" w:hAnsi="Times New Roman"/>
          <w:color w:val="000000"/>
          <w:sz w:val="24"/>
        </w:rPr>
        <w:t>(b) 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it being understood that the Trustee shall not be responsible for determining whether such filings have been made.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pStyle w:val="TextBody"/>
        <w:bidi w:val="0"/>
        <w:spacing w:before="0" w:after="240"/>
        <w:jc w:val="left"/>
        <w:rPr>
          <w:rFonts w:ascii="Times New Roman" w:hAnsi="Times New Roman"/>
          <w:sz w:val="20"/>
        </w:rPr>
      </w:pPr>
      <w:r>
        <w:rPr>
          <w:rFonts w:ascii="Times New Roman" w:hAnsi="Times New Roman"/>
          <w:color w:val="000000"/>
          <w:sz w:val="24"/>
        </w:rPr>
        <w:t>(d) 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during the three months immediately preceding (as a result of restrictions pursuant to U.S. securities laws or the terms of this Indenture or the Notes), the Company shall pay Special Interest on the Notes. Such Special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(e) 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Deadline Date, the Company shall pay Special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w:t>
      </w:r>
      <w:r>
        <w:rPr>
          <w:rFonts w:ascii="Times New Roman" w:hAnsi="Times New Roman"/>
          <w:color w:val="FF0000"/>
          <w:sz w:val="20"/>
        </w:rPr>
        <w:t xml:space="preserve"> </w:t>
      </w:r>
      <w:r>
        <w:rPr>
          <w:rFonts w:ascii="Times New Roman" w:hAnsi="Times New Roman"/>
          <w:i/>
          <w:color w:val="000000"/>
          <w:sz w:val="24"/>
        </w:rPr>
        <w:t>provided, however</w:t>
      </w:r>
      <w:r>
        <w:rPr>
          <w:rFonts w:ascii="Times New Roman" w:hAnsi="Times New Roman"/>
          <w:color w:val="000000"/>
          <w:sz w:val="24"/>
        </w:rPr>
        <w:t>, that no Special Interest shall accrue or be owed pursuant to this ‎Section 4.06(e) until the 15th Business Day following written notification to the Company by the Trustee (at the direction of any Holder) or any Holder or beneficial owner of the Notes (with a copy to the Trustee) requesting that the Company comply with its obligations described in this Section 4.06(e) (which notice may be given at any time after the 330th day after the last date of original issuance of the Notes), it being understood and agreed that in no event shall Special Interest accrue or be owed pursuant to this ‎Section 4.06(e) for any period prior to the applicable De-Legending Deadline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Special Interest will be payable in arrears on each Special Interest Payment Date following accrual as set forth in Section 2.03(b);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Special Interest begins to accrue pursuant to ‎Section 4.06(d) or ‎Section 4.06(e) after the close of business on a Special Interest Record Date and prior to the open of business on the corresponding Special Interest Payment Date, such Special Interest that accrues during such period will be due on the Special Interest Payment Date next succeeding such corresponding Special Interest Payment Date, and no Special Interest shall accrue in respect of such delay.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Subject to the immediately succeeding sentence, the Special Interest that is payable in accordance with Section 4.06‎(d) or Section 4.06‎(e) shall be in addition to, and not in lieu of, any Special Interest that may be payable as a result of the Company’s election pursuant to ‎Section 6.03. However, in no event shall the Special Interest payable for the Company’s failure to comply with its obligations to timely file any document or report that the Company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as set forth in Section 4.06(d), together with any Special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Special Interest.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Officer’s Certificate, the Trustee may conclusively assume without inquiry that no such Special Interest is payable. If the Company has paid Special Interest directly to the Persons entitled to it, the Company shall deliver to the Trustee an Officer’s Certificate setting forth the particulars of such payment.</w:t>
      </w:r>
    </w:p>
    <w:p>
      <w:pPr>
        <w:pStyle w:val="TextBody"/>
        <w:bidi w:val="0"/>
        <w:spacing w:before="0" w:after="240"/>
        <w:jc w:val="left"/>
        <w:rPr>
          <w:rFonts w:ascii="Times New Roman" w:hAnsi="Times New Roman"/>
          <w:sz w:val="20"/>
        </w:rPr>
      </w:pPr>
      <w:r>
        <w:rPr>
          <w:rFonts w:ascii="Times New Roman" w:hAnsi="Times New Roman"/>
          <w:color w:val="000000"/>
          <w:sz w:val="24"/>
        </w:rPr>
        <w:t>Section 4.07</w:t>
      </w:r>
      <w:r>
        <w:rPr>
          <w:rFonts w:ascii="Times New Roman" w:hAnsi="Times New Roman"/>
          <w:i/>
          <w:color w:val="000000"/>
          <w:sz w:val="24"/>
        </w:rPr>
        <w:t>. Stay, Extension and Usury Laws.</w:t>
      </w:r>
      <w:r>
        <w:rPr>
          <w:rFonts w:ascii="Times New Roman" w:hAnsi="Times New Roman"/>
          <w:color w:val="000000"/>
          <w:sz w:val="20"/>
        </w:rPr>
        <w:t xml:space="preserve"> </w:t>
      </w:r>
      <w:r>
        <w:rPr>
          <w:rFonts w:ascii="Times New Roman" w:hAnsi="Times New Roman"/>
          <w:color w:val="000000"/>
          <w:sz w:val="24"/>
        </w:rPr>
        <w:t>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240"/>
        <w:jc w:val="left"/>
        <w:rPr>
          <w:rFonts w:ascii="Times New Roman" w:hAnsi="Times New Roman"/>
          <w:sz w:val="20"/>
        </w:rPr>
      </w:pPr>
      <w:r>
        <w:rPr>
          <w:rFonts w:ascii="Times New Roman" w:hAnsi="Times New Roman"/>
          <w:color w:val="000000"/>
          <w:sz w:val="24"/>
        </w:rPr>
        <w:t>Section 4.08</w:t>
      </w:r>
      <w:r>
        <w:rPr>
          <w:rFonts w:ascii="Times New Roman" w:hAnsi="Times New Roman"/>
          <w:i/>
          <w:color w:val="000000"/>
          <w:sz w:val="24"/>
        </w:rPr>
        <w:t>. Compliance Certificate; Statements as to Defaults.</w:t>
      </w:r>
      <w:r>
        <w:rPr>
          <w:rFonts w:ascii="Times New Roman" w:hAnsi="Times New Roman"/>
          <w:color w:val="000000"/>
          <w:sz w:val="20"/>
        </w:rPr>
        <w:t xml:space="preserve"> </w:t>
      </w:r>
      <w:r>
        <w:rPr>
          <w:rFonts w:ascii="Times New Roman" w:hAnsi="Times New Roman"/>
          <w:color w:val="000000"/>
          <w:sz w:val="24"/>
        </w:rPr>
        <w:t>The Company shall deliver to the Trustee within 120 days after the end of each calendar year of the Company (beginning with the calendar year ending on December 31, 2026) an Officer’s Certificate stating whether the signers thereof have knowledge of any Event of Default that occurred during the previous year and, if so, specifying each such Event of Default and the nature thereof.</w:t>
      </w:r>
    </w:p>
    <w:p>
      <w:pPr>
        <w:pStyle w:val="TextBody"/>
        <w:bidi w:val="0"/>
        <w:spacing w:before="0" w:after="240"/>
        <w:jc w:val="left"/>
        <w:rPr>
          <w:rFonts w:ascii="Times New Roman" w:hAnsi="Times New Roman"/>
          <w:sz w:val="20"/>
        </w:rPr>
      </w:pPr>
      <w:r>
        <w:rPr>
          <w:rFonts w:ascii="Times New Roman" w:hAnsi="Times New Roman"/>
          <w:color w:val="000000"/>
          <w:sz w:val="24"/>
        </w:rPr>
        <w:t>In addition, the Company shall deliver to the Trustee, within 30 days after the Company obtains knowledge of the occurrence of any Event of Default or Default, an Officer’s Certificate setting forth the details of such Event of Default or Default, its status and the action that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Company is taking or proposing to take in respect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Company is not required to deliver such notice if such Event of Default or Default has been cured or is no longer continuing.</w:t>
      </w:r>
    </w:p>
    <w:p>
      <w:pPr>
        <w:pStyle w:val="TextBody"/>
        <w:bidi w:val="0"/>
        <w:spacing w:before="0" w:after="240"/>
        <w:jc w:val="left"/>
        <w:rPr>
          <w:rFonts w:ascii="Times New Roman" w:hAnsi="Times New Roman"/>
          <w:sz w:val="20"/>
        </w:rPr>
      </w:pPr>
      <w:r>
        <w:rPr>
          <w:rFonts w:ascii="Times New Roman" w:hAnsi="Times New Roman"/>
          <w:color w:val="000000"/>
          <w:sz w:val="24"/>
        </w:rPr>
        <w:t>Section 4.09</w:t>
      </w:r>
      <w:r>
        <w:rPr>
          <w:rFonts w:ascii="Times New Roman" w:hAnsi="Times New Roman"/>
          <w:i/>
          <w:color w:val="000000"/>
          <w:sz w:val="24"/>
        </w:rPr>
        <w:t>. Further Instruments and Acts.</w:t>
      </w:r>
      <w:r>
        <w:rPr>
          <w:rFonts w:ascii="Times New Roman" w:hAnsi="Times New Roman"/>
          <w:color w:val="000000"/>
          <w:sz w:val="20"/>
        </w:rPr>
        <w:t xml:space="preserve"> </w:t>
      </w:r>
      <w:r>
        <w:rPr>
          <w:rFonts w:ascii="Times New Roman" w:hAnsi="Times New Roman"/>
          <w:color w:val="000000"/>
          <w:sz w:val="24"/>
        </w:rPr>
        <w:t>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5</w:t>
      </w:r>
      <w:r>
        <w:rPr>
          <w:rFonts w:ascii="Times New Roman" w:hAnsi="Times New Roman"/>
          <w:smallCaps/>
          <w:color w:val="000000"/>
          <w:sz w:val="24"/>
        </w:rPr>
        <w:br/>
        <w:t>Lists of Holders and Reports by the Company and the Trustee</w:t>
      </w:r>
    </w:p>
    <w:p>
      <w:pPr>
        <w:pStyle w:val="TextBody"/>
        <w:bidi w:val="0"/>
        <w:spacing w:before="0" w:after="240"/>
        <w:jc w:val="left"/>
        <w:rPr>
          <w:rFonts w:ascii="Times New Roman" w:hAnsi="Times New Roman"/>
          <w:sz w:val="20"/>
        </w:rPr>
      </w:pPr>
      <w:r>
        <w:rPr>
          <w:rFonts w:ascii="Times New Roman" w:hAnsi="Times New Roman"/>
          <w:color w:val="000000"/>
          <w:sz w:val="24"/>
        </w:rPr>
        <w:t>Section 5.01</w:t>
      </w:r>
      <w:r>
        <w:rPr>
          <w:rFonts w:ascii="Times New Roman" w:hAnsi="Times New Roman"/>
          <w:i/>
          <w:color w:val="000000"/>
          <w:sz w:val="24"/>
        </w:rPr>
        <w:t>. Lists of Holders.</w:t>
      </w:r>
      <w:r>
        <w:rPr>
          <w:rFonts w:ascii="Times New Roman" w:hAnsi="Times New Roman"/>
          <w:color w:val="000000"/>
          <w:sz w:val="20"/>
        </w:rPr>
        <w:t xml:space="preserve"> </w:t>
      </w:r>
      <w:r>
        <w:rPr>
          <w:rFonts w:ascii="Times New Roman" w:hAnsi="Times New Roman"/>
          <w:color w:val="000000"/>
          <w:sz w:val="24"/>
        </w:rPr>
        <w:t>The Company covenants and agrees that it will furnish or cause to be furnished to the Trustee, semi-annually, not more than 15 days after each February 1 and August 1 in each year beginning with February 1, 2027,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240"/>
        <w:jc w:val="left"/>
        <w:rPr>
          <w:rFonts w:ascii="Times New Roman" w:hAnsi="Times New Roman"/>
          <w:sz w:val="20"/>
        </w:rPr>
      </w:pPr>
      <w:r>
        <w:rPr>
          <w:rFonts w:ascii="Times New Roman" w:hAnsi="Times New Roman"/>
          <w:color w:val="000000"/>
          <w:sz w:val="24"/>
        </w:rPr>
        <w:t>Section 5.02</w:t>
      </w:r>
      <w:r>
        <w:rPr>
          <w:rFonts w:ascii="Times New Roman" w:hAnsi="Times New Roman"/>
          <w:i/>
          <w:color w:val="000000"/>
          <w:sz w:val="24"/>
        </w:rPr>
        <w:t>. Preservation and Disclosure of Lists.</w:t>
      </w:r>
      <w:r>
        <w:rPr>
          <w:rFonts w:ascii="Times New Roman" w:hAnsi="Times New Roman"/>
          <w:color w:val="000000"/>
          <w:sz w:val="20"/>
        </w:rPr>
        <w:t xml:space="preserve"> </w:t>
      </w:r>
      <w:r>
        <w:rPr>
          <w:rFonts w:ascii="Times New Roman" w:hAnsi="Times New Roman"/>
          <w:color w:val="000000"/>
          <w:sz w:val="24"/>
        </w:rPr>
        <w:t>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6</w:t>
      </w:r>
      <w:r>
        <w:rPr>
          <w:rFonts w:ascii="Times New Roman" w:hAnsi="Times New Roman"/>
          <w:smallCaps/>
          <w:color w:val="000000"/>
          <w:sz w:val="24"/>
        </w:rPr>
        <w:br/>
        <w:t>Defaults and Remedies</w:t>
      </w:r>
    </w:p>
    <w:p>
      <w:pPr>
        <w:pStyle w:val="TextBody"/>
        <w:bidi w:val="0"/>
        <w:spacing w:before="0" w:after="240"/>
        <w:jc w:val="left"/>
        <w:rPr>
          <w:rFonts w:ascii="Times New Roman" w:hAnsi="Times New Roman"/>
          <w:sz w:val="20"/>
        </w:rPr>
      </w:pPr>
      <w:r>
        <w:rPr>
          <w:rFonts w:ascii="Times New Roman" w:hAnsi="Times New Roman"/>
          <w:color w:val="000000"/>
          <w:sz w:val="24"/>
        </w:rPr>
        <w:t>Section 6.01</w:t>
      </w:r>
      <w:r>
        <w:rPr>
          <w:rFonts w:ascii="Times New Roman" w:hAnsi="Times New Roman"/>
          <w:i/>
          <w:color w:val="000000"/>
          <w:sz w:val="24"/>
        </w:rPr>
        <w:t>. Events of Default.</w:t>
      </w:r>
      <w:r>
        <w:rPr>
          <w:rFonts w:ascii="Times New Roman" w:hAnsi="Times New Roman"/>
          <w:color w:val="000000"/>
          <w:sz w:val="20"/>
        </w:rPr>
        <w:t xml:space="preserve"> </w:t>
      </w:r>
      <w:r>
        <w:rPr>
          <w:rFonts w:ascii="Times New Roman" w:hAnsi="Times New Roman"/>
          <w:color w:val="000000"/>
          <w:sz w:val="24"/>
        </w:rPr>
        <w:t>Each of the following events shall be an “</w:t>
      </w:r>
      <w:r>
        <w:rPr>
          <w:rFonts w:ascii="Times New Roman" w:hAnsi="Times New Roman"/>
          <w:b/>
          <w:color w:val="000000"/>
          <w:sz w:val="24"/>
        </w:rPr>
        <w:t>Event of Default</w:t>
      </w:r>
      <w:r>
        <w:rPr>
          <w:rFonts w:ascii="Times New Roman" w:hAnsi="Times New Roman"/>
          <w:color w:val="000000"/>
          <w:sz w:val="20"/>
        </w:rPr>
        <w:t xml:space="preserve">” </w:t>
      </w:r>
      <w:r>
        <w:rPr>
          <w:rFonts w:ascii="Times New Roman" w:hAnsi="Times New Roman"/>
          <w:color w:val="000000"/>
          <w:sz w:val="24"/>
        </w:rPr>
        <w:t>with respect to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default in any payment of Special Interest on any Note when due and payable, and the default continues for a period of 30 days;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default in the payment of principal of any Note when due and payable on the Maturity Date, upon any Optional Redemption, upon any required repurchase, upon declaration of acceleration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failure by the Company to comply with its obligation to convert the Notes in accordance with this Indenture upon exercise of a Holder’s conversion right and such failure continues for three Business Days;</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failure by the Company to issue (i) a Fundamental Change Company Notice in accordance with ‎Section 15.02(c) or notice of a Make-Whole Fundamental Change in accordance with ‎Section 14.03(b), in either case when due and such failure continues for five Business Days, or (ii) notice of a specified corporate transaction in accordance with ‎Section 14.01(b)(ii) or ‎Section 14.01(b)(iii) when due and such failure continues for three Business Days;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failure by the Company to comply with its obligations under ‎Article 11;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failure by the Company for 60 days after written notice from the Trustee or the Holders of at least 25% in principal amount of the Notes then outstanding has been received by the Company to comply with any of its other agreements contained in the Notes or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$25,000,000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6.02. </w:t>
      </w:r>
      <w:r>
        <w:rPr>
          <w:rFonts w:ascii="Times New Roman" w:hAnsi="Times New Roman"/>
          <w:i/>
          <w:color w:val="000000"/>
          <w:sz w:val="24"/>
        </w:rPr>
        <w:t>Acceleration; Rescission and Annulment</w:t>
      </w:r>
      <w:r>
        <w:rPr>
          <w:rFonts w:ascii="Times New Roman" w:hAnsi="Times New Roman"/>
          <w:color w:val="000000"/>
          <w:sz w:val="24"/>
        </w:rPr>
        <w:t>. If one or more Events of Default shall have occurred and be continuing, then, and in each and every such case (other than an Event of Default specified in ‎Section 6.01(h) or ‎Section 6.01(i) with respect to the Company), unless the principal of, and accrued and unpaid Special Interest, if any, on,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Special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occurs and is continuing, 100% of the principal of, and accrued and unpaid Special Interest, if any, on, all Notes shall become and shall automatically be immediately due and payable.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(including, for the avoidance of doubt, the failure to pay interest, if any, due and payable on any Defaulted Amounts),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the avoidance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Special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6.03. </w:t>
      </w:r>
      <w:r>
        <w:rPr>
          <w:rFonts w:ascii="Times New Roman" w:hAnsi="Times New Roman"/>
          <w:i/>
          <w:color w:val="000000"/>
          <w:sz w:val="24"/>
        </w:rPr>
        <w:t>Special Interest</w:t>
      </w:r>
      <w:r>
        <w:rPr>
          <w:rFonts w:ascii="Times New Roman" w:hAnsi="Times New Roman"/>
          <w:color w:val="000000"/>
          <w:sz w:val="24"/>
        </w:rPr>
        <w:t>. Notwithstanding anything in this Indenture or in the Notes to the contrary, to the extent the Company elects, the sole remedy for an Event of Default relating to the Company’s failure to comply with its obligations as set forth in ‎Section 4.06(b) (such default, a “</w:t>
      </w:r>
      <w:r>
        <w:rPr>
          <w:rFonts w:ascii="Times New Roman" w:hAnsi="Times New Roman"/>
          <w:b/>
          <w:color w:val="000000"/>
          <w:sz w:val="24"/>
        </w:rPr>
        <w:t>Reporting Event of Default</w:t>
      </w:r>
      <w:r>
        <w:rPr>
          <w:rFonts w:ascii="Times New Roman" w:hAnsi="Times New Roman"/>
          <w:color w:val="000000"/>
          <w:sz w:val="20"/>
        </w:rPr>
        <w:t>”</w:t>
      </w:r>
      <w:r>
        <w:rPr>
          <w:rFonts w:ascii="Times New Roman" w:hAnsi="Times New Roman"/>
          <w:color w:val="000000"/>
          <w:sz w:val="24"/>
        </w:rPr>
        <w:t>) shall, for the first 365 days after the occurrence of such an Event of Default, consist exclusively of the right to receive Special Interest on the Notes at a rate equal to (x) 0.25% per annum of the principal amount of the Notes outstanding for each day that such Event of Default is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Subject to the last paragraph of this Section 6.03, Special Interest payable pursuant to this ‎Section 6.03 shall be in addition to, not in lieu of, any Special Interest payable pursuant to ‎Section 4.06(d) or ‎Section 4.06(e). If the Company so elects, such Special Interest shall be payable in the same manner and on the same dates as the stated 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Special Interest following an Event of Default in accordance with this ‎Section 6.03 or the Company elected to make such payment but does not pay the Special Interest when due, the Notes shall be immediately subject to acceleration as provided in ‎Section 6.02 as a result of the Event of Default pursuant to ‎Section 6.01(f) if such Event of Default is then continuing.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order to elect to pay Special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w:t>
      </w:r>
    </w:p>
    <w:p>
      <w:pPr>
        <w:pStyle w:val="TextBody"/>
        <w:bidi w:val="0"/>
        <w:spacing w:before="0" w:after="240"/>
        <w:jc w:val="left"/>
        <w:rPr>
          <w:rFonts w:ascii="Times New Roman" w:hAnsi="Times New Roman"/>
          <w:sz w:val="20"/>
        </w:rPr>
      </w:pPr>
      <w:r>
        <w:rPr>
          <w:rFonts w:ascii="Times New Roman" w:hAnsi="Times New Roman"/>
          <w:color w:val="000000"/>
          <w:sz w:val="24"/>
        </w:rPr>
        <w:t>In no event shall Special Interest payable at the Company’s election for failure to comply with its obligations pursuant to Section 4.06(b) as set forth in this Section 6.03, together with any Special Interest that may accrue as a result of the Company’s failure to timely file any document or report that the Company is required to file with the Commission pursuant to Section 13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pursuant to Section 4.06(d), accrue at a rate in excess of 0.50% per annum pursuant to this Indenture, regardless of the number of events or circumstances giving rise to the requirement to pay such Special Interest.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6.04 </w:t>
      </w:r>
      <w:r>
        <w:rPr>
          <w:rFonts w:ascii="Times New Roman" w:hAnsi="Times New Roman"/>
          <w:i/>
          <w:color w:val="000000"/>
          <w:sz w:val="24"/>
        </w:rPr>
        <w:t>Payments of Notes on Default; Suit Therefor.</w:t>
      </w:r>
      <w:r>
        <w:rPr>
          <w:rFonts w:ascii="Times New Roman" w:hAnsi="Times New Roman"/>
          <w:color w:val="000000"/>
          <w:sz w:val="20"/>
        </w:rPr>
        <w:t xml:space="preserve"> </w:t>
      </w:r>
      <w:r>
        <w:rPr>
          <w:rFonts w:ascii="Times New Roman" w:hAnsi="Times New Roman"/>
          <w:color w:val="000000"/>
          <w:sz w:val="24"/>
        </w:rPr>
        <w:t>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no interest accruing on any overdue principal or Special Interest unless Special Interest was payable pursuant to this Indenture on the required payment date, in which case such overdue amounts shall accrue interest per annum at the then-applicable Special Interest rate borne by the Notes, subject to the enforceability thereof under applicable law, from, and including,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240"/>
        <w:jc w:val="left"/>
        <w:rPr>
          <w:rFonts w:ascii="Times New Roman" w:hAnsi="Times New Roman"/>
          <w:sz w:val="20"/>
        </w:rPr>
      </w:pPr>
      <w:r>
        <w:rPr>
          <w:rFonts w:ascii="Times New Roman" w:hAnsi="Times New Roman"/>
          <w:color w:val="000000"/>
          <w:sz w:val="24"/>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240"/>
        <w:jc w:val="left"/>
        <w:rPr>
          <w:rFonts w:ascii="Times New Roman" w:hAnsi="Times New Roman"/>
          <w:sz w:val="20"/>
        </w:rPr>
      </w:pPr>
      <w:r>
        <w:rPr>
          <w:rFonts w:ascii="Times New Roman" w:hAnsi="Times New Roman"/>
          <w:color w:val="000000"/>
          <w:sz w:val="24"/>
        </w:rPr>
        <w:t>Section 6.05</w:t>
      </w:r>
      <w:r>
        <w:rPr>
          <w:rFonts w:ascii="Times New Roman" w:hAnsi="Times New Roman"/>
          <w:i/>
          <w:color w:val="000000"/>
          <w:sz w:val="24"/>
        </w:rPr>
        <w:t>. Application of Monies Collected by Trustee.</w:t>
      </w:r>
      <w:r>
        <w:rPr>
          <w:rFonts w:ascii="Times New Roman" w:hAnsi="Times New Roman"/>
          <w:color w:val="000000"/>
          <w:sz w:val="20"/>
        </w:rPr>
        <w:t xml:space="preserve"> </w:t>
      </w:r>
      <w:r>
        <w:rPr>
          <w:rFonts w:ascii="Times New Roman" w:hAnsi="Times New Roman"/>
          <w:color w:val="000000"/>
          <w:sz w:val="24"/>
        </w:rPr>
        <w:t>Any monies or property collected by the Trustee pursuant to this ‎Article 6 with respect to the Notes shall be applied in the following order, at the date or dates fixed by the Trustee for the distribution of such monies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property, upon presentation of the several Notes, and stamping thereon the payment, if only partially paid, and upon surrender thereof, if fully paid:</w:t>
      </w:r>
    </w:p>
    <w:p>
      <w:pPr>
        <w:pStyle w:val="TextBody"/>
        <w:bidi w:val="0"/>
        <w:spacing w:before="0" w:after="240"/>
        <w:jc w:val="left"/>
        <w:rPr>
          <w:rFonts w:ascii="Times New Roman" w:hAnsi="Times New Roman"/>
          <w:sz w:val="20"/>
        </w:rPr>
      </w:pPr>
      <w:r>
        <w:rPr>
          <w:rFonts w:ascii="Times New Roman" w:hAnsi="Times New Roman"/>
          <w:b/>
          <w:color w:val="000000"/>
          <w:sz w:val="24"/>
        </w:rPr>
        <w:t>First</w:t>
      </w:r>
      <w:r>
        <w:rPr>
          <w:rFonts w:ascii="Times New Roman" w:hAnsi="Times New Roman"/>
          <w:color w:val="000000"/>
          <w:sz w:val="24"/>
        </w:rPr>
        <w:t>, to the payment of all amounts due the Trustee in all of its capacities under this Indenture, including its agents and counsel;</w:t>
      </w:r>
    </w:p>
    <w:p>
      <w:pPr>
        <w:pStyle w:val="TextBody"/>
        <w:bidi w:val="0"/>
        <w:spacing w:before="0" w:after="240"/>
        <w:jc w:val="left"/>
        <w:rPr>
          <w:rFonts w:ascii="Times New Roman" w:hAnsi="Times New Roman"/>
          <w:sz w:val="20"/>
        </w:rPr>
      </w:pPr>
      <w:r>
        <w:rPr>
          <w:rFonts w:ascii="Times New Roman" w:hAnsi="Times New Roman"/>
          <w:b/>
          <w:color w:val="000000"/>
          <w:sz w:val="24"/>
        </w:rPr>
        <w:t>Second</w:t>
      </w:r>
      <w:r>
        <w:rPr>
          <w:rFonts w:ascii="Times New Roman" w:hAnsi="Times New Roman"/>
          <w:color w:val="000000"/>
          <w:sz w:val="24"/>
        </w:rPr>
        <w:t>, in case the principal of the outstanding Notes shall not have become due and be unpaid, to the payment of interest, if any, on, and any 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of Special Interest then payable on such Notes, if any, such payments to be made ratably to the Persons entitled thereto;</w:t>
      </w:r>
    </w:p>
    <w:p>
      <w:pPr>
        <w:pStyle w:val="TextBody"/>
        <w:bidi w:val="0"/>
        <w:spacing w:before="0" w:after="240"/>
        <w:jc w:val="left"/>
        <w:rPr>
          <w:rFonts w:ascii="Times New Roman" w:hAnsi="Times New Roman"/>
          <w:sz w:val="20"/>
        </w:rPr>
      </w:pPr>
      <w:r>
        <w:rPr>
          <w:rFonts w:ascii="Times New Roman" w:hAnsi="Times New Roman"/>
          <w:b/>
          <w:color w:val="000000"/>
          <w:sz w:val="24"/>
        </w:rPr>
        <w:t>Third</w:t>
      </w:r>
      <w:r>
        <w:rPr>
          <w:rFonts w:ascii="Times New Roman" w:hAnsi="Times New Roman"/>
          <w:color w:val="000000"/>
          <w:sz w:val="24"/>
        </w:rPr>
        <w:t>, in case the principal of the outstanding Notes shall have become due, by declaration or otherwise, and be unpaid to the payment of the whole amount (including, if applicable, the payment of the Redemption Price and the Fundamental Change Repurchase Price and any cash due upon conversion) then owing and unpaid upon the Notes for principal and interest, if any, with interest (to the extent any Special Interest is then payable on the Notes) on the overdue principal and, to the extent that such interest has been collected by the Trustee, upon overdue installments of interest at the rate of Special Interest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any accrued and unpaid interest; and</w:t>
      </w:r>
    </w:p>
    <w:p>
      <w:pPr>
        <w:pStyle w:val="TextBody"/>
        <w:bidi w:val="0"/>
        <w:spacing w:before="0" w:after="240"/>
        <w:jc w:val="left"/>
        <w:rPr>
          <w:rFonts w:ascii="Times New Roman" w:hAnsi="Times New Roman"/>
          <w:sz w:val="20"/>
        </w:rPr>
      </w:pPr>
      <w:r>
        <w:rPr>
          <w:rFonts w:ascii="Times New Roman" w:hAnsi="Times New Roman"/>
          <w:b/>
          <w:color w:val="000000"/>
          <w:sz w:val="24"/>
        </w:rPr>
        <w:t>Fourth</w:t>
      </w:r>
      <w:r>
        <w:rPr>
          <w:rFonts w:ascii="Times New Roman" w:hAnsi="Times New Roman"/>
          <w:color w:val="000000"/>
          <w:sz w:val="24"/>
        </w:rPr>
        <w:t>, to the payment of the remainder, if any,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Section 6.06</w:t>
      </w:r>
      <w:r>
        <w:rPr>
          <w:rFonts w:ascii="Times New Roman" w:hAnsi="Times New Roman"/>
          <w:i/>
          <w:color w:val="000000"/>
          <w:sz w:val="24"/>
        </w:rPr>
        <w:t>. Proceedings by Holders.</w:t>
      </w:r>
      <w:r>
        <w:rPr>
          <w:rFonts w:ascii="Times New Roman" w:hAnsi="Times New Roman"/>
          <w:color w:val="000000"/>
          <w:sz w:val="20"/>
        </w:rPr>
        <w:t xml:space="preserve"> </w:t>
      </w:r>
      <w:r>
        <w:rPr>
          <w:rFonts w:ascii="Times New Roman" w:hAnsi="Times New Roman"/>
          <w:color w:val="000000"/>
          <w:sz w:val="24"/>
        </w:rPr>
        <w:t>Except to enforce the right to receive payment of principal (including, if applicable, the Redemption Price and the Fundamental Change Repurchase Price) or interest, if any,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such Holder previously shall have given to the Trustee written notice of an Event of Default and of the continuance thereof, as herein provided;</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such Holders shall have offered and, if requested, provided to the Trustee such security or indemnity satisfactory to it against any loss, claim, liability or expense to be incurred therein or thereby;</w:t>
      </w:r>
    </w:p>
    <w:p>
      <w:pPr>
        <w:pStyle w:val="TextBody"/>
        <w:bidi w:val="0"/>
        <w:spacing w:before="0" w:after="240"/>
        <w:jc w:val="left"/>
        <w:rPr>
          <w:rFonts w:ascii="Times New Roman" w:hAnsi="Times New Roman"/>
          <w:sz w:val="20"/>
        </w:rPr>
      </w:pPr>
      <w:r>
        <w:rPr>
          <w:rFonts w:ascii="Times New Roman" w:hAnsi="Times New Roman"/>
          <w:color w:val="000000"/>
          <w:sz w:val="24"/>
        </w:rPr>
        <w:t>(d) the Trustee for 60 days after its receipt of such notice, request and offer of such security or indemnity, shall have neglected or refused to institute any such action, suit or proceeding;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(e) no direction that, in the opinion of the Trustee, is inconsistent with such written request shall have been given to the Trustee by the Holders of a majority of the aggregate principal amount of the Notes then outstanding within such 60-day period pursuant to ‎Section 6.09,</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pStyle w:val="TextBody"/>
        <w:bidi w:val="0"/>
        <w:spacing w:before="0" w:after="240"/>
        <w:jc w:val="left"/>
        <w:rPr>
          <w:rFonts w:ascii="Times New Roman" w:hAnsi="Times New Roman"/>
          <w:sz w:val="20"/>
        </w:rPr>
      </w:pPr>
      <w:r>
        <w:rPr>
          <w:rFonts w:ascii="Times New Roman" w:hAnsi="Times New Roman"/>
          <w:color w:val="000000"/>
          <w:sz w:val="24"/>
        </w:rPr>
        <w:t>Section 6.07</w:t>
      </w:r>
      <w:r>
        <w:rPr>
          <w:rFonts w:ascii="Times New Roman" w:hAnsi="Times New Roman"/>
          <w:i/>
          <w:color w:val="000000"/>
          <w:sz w:val="24"/>
        </w:rPr>
        <w:t>. Proceedings by Trustee.</w:t>
      </w:r>
      <w:r>
        <w:rPr>
          <w:rFonts w:ascii="Times New Roman" w:hAnsi="Times New Roman"/>
          <w:color w:val="000000"/>
          <w:sz w:val="20"/>
        </w:rPr>
        <w:t xml:space="preserve"> </w:t>
      </w:r>
      <w:r>
        <w:rPr>
          <w:rFonts w:ascii="Times New Roman" w:hAnsi="Times New Roman"/>
          <w:color w:val="000000"/>
          <w:sz w:val="24"/>
        </w:rPr>
        <w:t>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6.08</w:t>
      </w:r>
      <w:r>
        <w:rPr>
          <w:rFonts w:ascii="Times New Roman" w:hAnsi="Times New Roman"/>
          <w:i/>
          <w:color w:val="000000"/>
          <w:sz w:val="24"/>
        </w:rPr>
        <w:t>. Remedies Cumulative and Continuing.</w:t>
      </w:r>
      <w:r>
        <w:rPr>
          <w:rFonts w:ascii="Times New Roman" w:hAnsi="Times New Roman"/>
          <w:color w:val="000000"/>
          <w:sz w:val="20"/>
        </w:rPr>
        <w:t xml:space="preserve"> </w:t>
      </w:r>
      <w:r>
        <w:rPr>
          <w:rFonts w:ascii="Times New Roman" w:hAnsi="Times New Roman"/>
          <w:color w:val="000000"/>
          <w:sz w:val="24"/>
        </w:rPr>
        <w:t>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pStyle w:val="TextBody"/>
        <w:bidi w:val="0"/>
        <w:spacing w:before="0" w:after="240"/>
        <w:jc w:val="left"/>
        <w:rPr>
          <w:rFonts w:ascii="Times New Roman" w:hAnsi="Times New Roman"/>
          <w:sz w:val="20"/>
        </w:rPr>
      </w:pPr>
      <w:r>
        <w:rPr>
          <w:rFonts w:ascii="Times New Roman" w:hAnsi="Times New Roman"/>
          <w:color w:val="000000"/>
          <w:sz w:val="24"/>
        </w:rPr>
        <w:t>Section 6.09</w:t>
      </w:r>
      <w:r>
        <w:rPr>
          <w:rFonts w:ascii="Times New Roman" w:hAnsi="Times New Roman"/>
          <w:i/>
          <w:color w:val="000000"/>
          <w:sz w:val="24"/>
        </w:rPr>
        <w:t>. Direction of Proceedings and Waiver of Defaults by Majority of Holders.</w:t>
      </w:r>
      <w:r>
        <w:rPr>
          <w:rFonts w:ascii="Times New Roman" w:hAnsi="Times New Roman"/>
          <w:color w:val="000000"/>
          <w:sz w:val="20"/>
        </w:rPr>
        <w:t xml:space="preserve"> </w:t>
      </w:r>
      <w:r>
        <w:rPr>
          <w:rFonts w:ascii="Times New Roman" w:hAnsi="Times New Roman"/>
          <w:color w:val="000000"/>
          <w:sz w:val="24"/>
        </w:rPr>
        <w:t xml:space="preserve">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Holder (it being understood that the Trustee shall not have an affirmative duty to ascertain whether or not any such direction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6.10</w:t>
      </w:r>
      <w:r>
        <w:rPr>
          <w:rFonts w:ascii="Times New Roman" w:hAnsi="Times New Roman"/>
          <w:i/>
          <w:color w:val="000000"/>
          <w:sz w:val="24"/>
        </w:rPr>
        <w:t>. Notice of Defaults.</w:t>
      </w:r>
      <w:r>
        <w:rPr>
          <w:rFonts w:ascii="Times New Roman" w:hAnsi="Times New Roman"/>
          <w:color w:val="000000"/>
          <w:sz w:val="20"/>
        </w:rPr>
        <w:t xml:space="preserve"> </w:t>
      </w:r>
      <w:r>
        <w:rPr>
          <w:rFonts w:ascii="Times New Roman" w:hAnsi="Times New Roman"/>
          <w:color w:val="000000"/>
          <w:sz w:val="24"/>
        </w:rPr>
        <w:t xml:space="preserve">The Trustee shall, within 90 days after a Responsible Officer obtains knowledge of the occurrence of a Default that is then continuing, deliver to all Holders notice of all Defaults actually known to a Responsible Officer, unless such Defaults shall have been cured or waived before the giving of such notice;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except in the case of a Default in the payment of the principal of (including the Redemption Price and the Fundamental Change Repurchase Price, if applicable), or accrued and unpaid Special Interest on, any of the Notes or a Default in the payment or delivery of the consideration due upon conversion, the Trustee shall be protected in withholding such notice if and so long as it determines that the withholding of such notice is in the interests of the Holders.</w:t>
      </w:r>
    </w:p>
    <w:p>
      <w:pPr>
        <w:pStyle w:val="TextBody"/>
        <w:bidi w:val="0"/>
        <w:spacing w:before="0" w:after="240"/>
        <w:jc w:val="left"/>
        <w:rPr>
          <w:rFonts w:ascii="Times New Roman" w:hAnsi="Times New Roman"/>
          <w:sz w:val="20"/>
        </w:rPr>
      </w:pPr>
      <w:r>
        <w:rPr>
          <w:rFonts w:ascii="Times New Roman" w:hAnsi="Times New Roman"/>
          <w:color w:val="000000"/>
          <w:sz w:val="24"/>
        </w:rPr>
        <w:t>Section 6.11</w:t>
      </w:r>
      <w:r>
        <w:rPr>
          <w:rFonts w:ascii="Times New Roman" w:hAnsi="Times New Roman"/>
          <w:i/>
          <w:color w:val="000000"/>
          <w:sz w:val="24"/>
        </w:rPr>
        <w:t>. Undertaking to Pay Costs.</w:t>
      </w:r>
      <w:r>
        <w:rPr>
          <w:rFonts w:ascii="Times New Roman" w:hAnsi="Times New Roman"/>
          <w:color w:val="000000"/>
          <w:sz w:val="20"/>
        </w:rPr>
        <w:t xml:space="preserve"> </w:t>
      </w:r>
      <w:r>
        <w:rPr>
          <w:rFonts w:ascii="Times New Roman" w:hAnsi="Times New Roman"/>
          <w:color w:val="000000"/>
          <w:sz w:val="24"/>
        </w:rPr>
        <w:t xml:space="preserve">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7</w:t>
      </w:r>
      <w:r>
        <w:rPr>
          <w:rFonts w:ascii="Times New Roman" w:hAnsi="Times New Roman"/>
          <w:smallCaps/>
          <w:color w:val="000000"/>
          <w:sz w:val="24"/>
        </w:rPr>
        <w:br/>
        <w:t>Concerning the Trustee</w:t>
      </w:r>
    </w:p>
    <w:p>
      <w:pPr>
        <w:pStyle w:val="TextBody"/>
        <w:bidi w:val="0"/>
        <w:spacing w:before="0" w:after="240"/>
        <w:jc w:val="left"/>
        <w:rPr>
          <w:rFonts w:ascii="Times New Roman" w:hAnsi="Times New Roman"/>
          <w:sz w:val="20"/>
        </w:rPr>
      </w:pPr>
      <w:r>
        <w:rPr>
          <w:rFonts w:ascii="Times New Roman" w:hAnsi="Times New Roman"/>
          <w:color w:val="000000"/>
          <w:sz w:val="24"/>
        </w:rPr>
        <w:t>Section 7.01</w:t>
      </w:r>
      <w:r>
        <w:rPr>
          <w:rFonts w:ascii="Times New Roman" w:hAnsi="Times New Roman"/>
          <w:i/>
          <w:color w:val="000000"/>
          <w:sz w:val="24"/>
        </w:rPr>
        <w:t>. Duties and Responsibilities of Trustee.</w:t>
      </w:r>
      <w:r>
        <w:rPr>
          <w:rFonts w:ascii="Times New Roman" w:hAnsi="Times New Roman"/>
          <w:color w:val="000000"/>
          <w:sz w:val="20"/>
        </w:rPr>
        <w:t xml:space="preserve"> </w:t>
      </w:r>
      <w:r>
        <w:rPr>
          <w:rFonts w:ascii="Times New Roman" w:hAnsi="Times New Roman"/>
          <w:color w:val="000000"/>
          <w:sz w:val="24"/>
        </w:rPr>
        <w:t xml:space="preserve">The Trustee, prior to the occurrence of an Event of Default of which a Responsible Officer of the Trustee has received written notice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prior to the occurrence of an Event of Default and after the curing or waiving of all Events of Default that may have occurred: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in the absence of gross negligence or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240"/>
        <w:jc w:val="left"/>
        <w:rPr>
          <w:rFonts w:ascii="Times New Roman" w:hAnsi="Times New Roman"/>
          <w:sz w:val="20"/>
        </w:rPr>
      </w:pPr>
      <w:r>
        <w:rPr>
          <w:rFonts w:ascii="Times New Roman" w:hAnsi="Times New Roman"/>
          <w:color w:val="000000"/>
          <w:sz w:val="24"/>
        </w:rPr>
        <w:t>(f) if any party fails to deliver a notice relating to an event the fact of which, pursuant to this Indenture, requires notice to be sent to the Trustee, the Trustee may conclusively rely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its failure to receive such notice as reason to act as if no such event occurred, unless a Responsible Officer of the Trustee had actual knowledge of such event;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the Trustee shall not be required to give any bond or surety in respect of the execution of the trusts and powers under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be entitled to indemnification or security satisfactory to it against any loss, liability or expense caused by taking or not taking such action.</w:t>
      </w:r>
    </w:p>
    <w:p>
      <w:pPr>
        <w:pStyle w:val="TextBody"/>
        <w:bidi w:val="0"/>
        <w:spacing w:before="0" w:after="240"/>
        <w:jc w:val="left"/>
        <w:rPr>
          <w:rFonts w:ascii="Times New Roman" w:hAnsi="Times New Roman"/>
          <w:sz w:val="20"/>
        </w:rPr>
      </w:pPr>
      <w:r>
        <w:rPr>
          <w:rFonts w:ascii="Times New Roman" w:hAnsi="Times New Roman"/>
          <w:color w:val="000000"/>
          <w:sz w:val="24"/>
        </w:rPr>
        <w:t>Section 7.02</w:t>
      </w:r>
      <w:r>
        <w:rPr>
          <w:rFonts w:ascii="Times New Roman" w:hAnsi="Times New Roman"/>
          <w:i/>
          <w:color w:val="000000"/>
          <w:sz w:val="24"/>
        </w:rPr>
        <w:t>. Reliance on Documents, Opinions, Etc.</w:t>
      </w:r>
      <w:r>
        <w:rPr>
          <w:rFonts w:ascii="Times New Roman" w:hAnsi="Times New Roman"/>
          <w:color w:val="000000"/>
          <w:sz w:val="20"/>
        </w:rPr>
        <w:t xml:space="preserve"> </w:t>
      </w:r>
      <w:r>
        <w:rPr>
          <w:rFonts w:ascii="Times New Roman" w:hAnsi="Times New Roman"/>
          <w:color w:val="000000"/>
          <w:sz w:val="24"/>
        </w:rPr>
        <w:t>Except as otherwise provided in ‎Section 7.01: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240"/>
        <w:jc w:val="left"/>
        <w:rPr>
          <w:rFonts w:ascii="Times New Roman" w:hAnsi="Times New Roman"/>
          <w:sz w:val="20"/>
        </w:rPr>
      </w:pPr>
      <w:r>
        <w:rPr>
          <w:rFonts w:ascii="Times New Roman" w:hAnsi="Times New Roman"/>
          <w:color w:val="000000"/>
          <w:sz w:val="24"/>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the permissive rights of the Trustee enumerated herein shall not be construed as duties;</w:t>
      </w:r>
    </w:p>
    <w:p>
      <w:pPr>
        <w:pStyle w:val="TextBody"/>
        <w:bidi w:val="0"/>
        <w:spacing w:before="0" w:after="240"/>
        <w:jc w:val="left"/>
        <w:rPr>
          <w:rFonts w:ascii="Times New Roman" w:hAnsi="Times New Roman"/>
          <w:sz w:val="20"/>
        </w:rPr>
      </w:pPr>
      <w:r>
        <w:rPr>
          <w:rFonts w:ascii="Times New Roman" w:hAnsi="Times New Roman"/>
          <w:color w:val="000000"/>
          <w:sz w:val="24"/>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240"/>
        <w:jc w:val="left"/>
        <w:rPr>
          <w:rFonts w:ascii="Times New Roman" w:hAnsi="Times New Roman"/>
          <w:sz w:val="20"/>
        </w:rPr>
      </w:pPr>
      <w:r>
        <w:rPr>
          <w:rFonts w:ascii="Times New Roman" w:hAnsi="Times New Roman"/>
          <w:color w:val="000000"/>
          <w:sz w:val="24"/>
        </w:rPr>
        <w:t>(k)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 before the Trustee acts or refrains from acting, it may require an Officer’s Certificate or an Opinion of Counsel or both;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the Trustee shall not be liable for any action it takes or omits to take in good faith in reliance on such Officer’s Certificate or Opinion of Counsel;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 the Trustee shall not be required to give any bond or surety in respect of the execution of the trusts and powers under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w:t>
      </w:r>
    </w:p>
    <w:p>
      <w:pPr>
        <w:pStyle w:val="TextBody"/>
        <w:bidi w:val="0"/>
        <w:spacing w:before="0" w:after="240"/>
        <w:jc w:val="left"/>
        <w:rPr>
          <w:rFonts w:ascii="Times New Roman" w:hAnsi="Times New Roman"/>
          <w:sz w:val="20"/>
        </w:rPr>
      </w:pPr>
      <w:r>
        <w:rPr>
          <w:rFonts w:ascii="Times New Roman" w:hAnsi="Times New Roman"/>
          <w:color w:val="000000"/>
          <w:sz w:val="24"/>
        </w:rPr>
        <w:t>Section 7.03</w:t>
      </w:r>
      <w:r>
        <w:rPr>
          <w:rFonts w:ascii="Times New Roman" w:hAnsi="Times New Roman"/>
          <w:i/>
          <w:color w:val="000000"/>
          <w:sz w:val="24"/>
        </w:rPr>
        <w:t>. No Responsibility for Recitals, Etc.</w:t>
      </w:r>
      <w:r>
        <w:rPr>
          <w:rFonts w:ascii="Times New Roman" w:hAnsi="Times New Roman"/>
          <w:color w:val="000000"/>
          <w:sz w:val="20"/>
        </w:rPr>
        <w:t xml:space="preserve"> </w:t>
      </w:r>
      <w:r>
        <w:rPr>
          <w:rFonts w:ascii="Times New Roman" w:hAnsi="Times New Roman"/>
          <w:color w:val="000000"/>
          <w:sz w:val="24"/>
        </w:rPr>
        <w:t>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pStyle w:val="TextBody"/>
        <w:bidi w:val="0"/>
        <w:spacing w:before="0" w:after="240"/>
        <w:jc w:val="left"/>
        <w:rPr>
          <w:rFonts w:ascii="Times New Roman" w:hAnsi="Times New Roman"/>
          <w:sz w:val="20"/>
        </w:rPr>
      </w:pPr>
      <w:r>
        <w:rPr>
          <w:rFonts w:ascii="Times New Roman" w:hAnsi="Times New Roman"/>
          <w:color w:val="000000"/>
          <w:sz w:val="24"/>
        </w:rPr>
        <w:t>Section 7.04</w:t>
      </w:r>
      <w:r>
        <w:rPr>
          <w:rFonts w:ascii="Times New Roman" w:hAnsi="Times New Roman"/>
          <w:i/>
          <w:color w:val="000000"/>
          <w:sz w:val="24"/>
        </w:rPr>
        <w:t>. Trustee, Paying Agents, Conversion Agents, Bid Solicitation Agent or Note Registrar May Own Notes.</w:t>
      </w:r>
      <w:r>
        <w:rPr>
          <w:rFonts w:ascii="Times New Roman" w:hAnsi="Times New Roman"/>
          <w:color w:val="000000"/>
          <w:sz w:val="20"/>
        </w:rPr>
        <w:t xml:space="preserve"> </w:t>
      </w:r>
      <w:r>
        <w:rPr>
          <w:rFonts w:ascii="Times New Roman" w:hAnsi="Times New Roman"/>
          <w:color w:val="000000"/>
          <w:sz w:val="24"/>
        </w:rPr>
        <w:t>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pStyle w:val="TextBody"/>
        <w:bidi w:val="0"/>
        <w:spacing w:before="0" w:after="240"/>
        <w:jc w:val="left"/>
        <w:rPr>
          <w:rFonts w:ascii="Times New Roman" w:hAnsi="Times New Roman"/>
          <w:sz w:val="20"/>
        </w:rPr>
      </w:pPr>
      <w:r>
        <w:rPr>
          <w:rFonts w:ascii="Times New Roman" w:hAnsi="Times New Roman"/>
          <w:color w:val="000000"/>
          <w:sz w:val="24"/>
        </w:rPr>
        <w:t>Section 7.05</w:t>
      </w:r>
      <w:r>
        <w:rPr>
          <w:rFonts w:ascii="Times New Roman" w:hAnsi="Times New Roman"/>
          <w:i/>
          <w:color w:val="000000"/>
          <w:sz w:val="24"/>
        </w:rPr>
        <w:t>. Monies and Shares of Common Stock To Be Held in Trust.</w:t>
      </w:r>
      <w:r>
        <w:rPr>
          <w:rFonts w:ascii="Times New Roman" w:hAnsi="Times New Roman"/>
          <w:color w:val="000000"/>
          <w:sz w:val="20"/>
        </w:rPr>
        <w:t xml:space="preserve"> </w:t>
      </w:r>
      <w:r>
        <w:rPr>
          <w:rFonts w:ascii="Times New Roman" w:hAnsi="Times New Roman"/>
          <w:color w:val="000000"/>
          <w:sz w:val="24"/>
        </w:rPr>
        <w:t>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pStyle w:val="TextBody"/>
        <w:bidi w:val="0"/>
        <w:spacing w:before="0" w:after="240"/>
        <w:jc w:val="left"/>
        <w:rPr>
          <w:rFonts w:ascii="Times New Roman" w:hAnsi="Times New Roman"/>
          <w:sz w:val="20"/>
        </w:rPr>
      </w:pPr>
      <w:r>
        <w:rPr>
          <w:rFonts w:ascii="Times New Roman" w:hAnsi="Times New Roman"/>
          <w:color w:val="000000"/>
          <w:sz w:val="24"/>
        </w:rPr>
        <w:t>Section 7.06</w:t>
      </w:r>
      <w:r>
        <w:rPr>
          <w:rFonts w:ascii="Times New Roman" w:hAnsi="Times New Roman"/>
          <w:i/>
          <w:color w:val="000000"/>
          <w:sz w:val="24"/>
        </w:rPr>
        <w:t>. Compensation and Expenses of Trustee.</w:t>
      </w:r>
      <w:r>
        <w:rPr>
          <w:rFonts w:ascii="Times New Roman" w:hAnsi="Times New Roman"/>
          <w:color w:val="000000"/>
          <w:sz w:val="20"/>
        </w:rPr>
        <w:t xml:space="preserve"> </w:t>
      </w:r>
      <w:r>
        <w:rPr>
          <w:rFonts w:ascii="Times New Roman" w:hAnsi="Times New Roman"/>
          <w:color w:val="000000"/>
          <w:sz w:val="24"/>
        </w:rPr>
        <w:t>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order of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as determined by a final order of a court of competent jurisdiction,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pStyle w:val="TextBody"/>
        <w:bidi w:val="0"/>
        <w:spacing w:before="0" w:after="240"/>
        <w:jc w:val="left"/>
        <w:rPr>
          <w:rFonts w:ascii="Times New Roman" w:hAnsi="Times New Roman"/>
          <w:sz w:val="20"/>
        </w:rPr>
      </w:pPr>
      <w:r>
        <w:rPr>
          <w:rFonts w:ascii="Times New Roman" w:hAnsi="Times New Roman"/>
          <w:color w:val="000000"/>
          <w:sz w:val="24"/>
        </w:rPr>
        <w:t>Section 7.07</w:t>
      </w:r>
      <w:r>
        <w:rPr>
          <w:rFonts w:ascii="Times New Roman" w:hAnsi="Times New Roman"/>
          <w:i/>
          <w:color w:val="000000"/>
          <w:sz w:val="24"/>
        </w:rPr>
        <w:t xml:space="preserve">. Officer’s Certificate as Evidence. </w:t>
      </w:r>
      <w:r>
        <w:rPr>
          <w:rFonts w:ascii="Times New Roman" w:hAnsi="Times New Roman"/>
          <w:color w:val="000000"/>
          <w:sz w:val="24"/>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7.08</w:t>
      </w:r>
      <w:r>
        <w:rPr>
          <w:rFonts w:ascii="Times New Roman" w:hAnsi="Times New Roman"/>
          <w:i/>
          <w:color w:val="000000"/>
          <w:sz w:val="24"/>
        </w:rPr>
        <w:t>. Eligibility of Trustee.</w:t>
      </w:r>
      <w:r>
        <w:rPr>
          <w:rFonts w:ascii="Times New Roman" w:hAnsi="Times New Roman"/>
          <w:color w:val="000000"/>
          <w:sz w:val="20"/>
        </w:rPr>
        <w:t xml:space="preserve"> </w:t>
      </w:r>
      <w:r>
        <w:rPr>
          <w:rFonts w:ascii="Times New Roman" w:hAnsi="Times New Roman"/>
          <w:color w:val="000000"/>
          <w:sz w:val="24"/>
        </w:rPr>
        <w:t>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w:t>
      </w:r>
    </w:p>
    <w:p>
      <w:pPr>
        <w:pStyle w:val="TextBody"/>
        <w:bidi w:val="0"/>
        <w:spacing w:before="0" w:after="240"/>
        <w:jc w:val="left"/>
        <w:rPr>
          <w:rFonts w:ascii="Times New Roman" w:hAnsi="Times New Roman"/>
          <w:sz w:val="20"/>
        </w:rPr>
      </w:pPr>
      <w:r>
        <w:rPr>
          <w:rFonts w:ascii="Times New Roman" w:hAnsi="Times New Roman"/>
          <w:color w:val="000000"/>
          <w:sz w:val="24"/>
        </w:rPr>
        <w:t>Section 7.09</w:t>
      </w:r>
      <w:r>
        <w:rPr>
          <w:rFonts w:ascii="Times New Roman" w:hAnsi="Times New Roman"/>
          <w:i/>
          <w:color w:val="000000"/>
          <w:sz w:val="24"/>
        </w:rPr>
        <w:t>. Resignation or Removal of Trustee.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In case at any time any of the following shall occur: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Trustee shall cease to be eligible in accordance with the provisions of ‎Section 7.08 and shall fail to resign after written request therefor by the Company or by any such Holder,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240"/>
        <w:jc w:val="left"/>
        <w:rPr>
          <w:rFonts w:ascii="Times New Roman" w:hAnsi="Times New Roman"/>
          <w:sz w:val="20"/>
        </w:rPr>
      </w:pPr>
      <w:r>
        <w:rPr>
          <w:rFonts w:ascii="Times New Roman" w:hAnsi="Times New Roman"/>
          <w:color w:val="000000"/>
          <w:sz w:val="24"/>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trustee. Such court may thereupon, after such notice, if any, as it may deem proper and prescribe, remove the Trustee and appoint a successor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240"/>
        <w:jc w:val="left"/>
        <w:rPr>
          <w:rFonts w:ascii="Times New Roman" w:hAnsi="Times New Roman"/>
          <w:sz w:val="20"/>
        </w:rPr>
      </w:pPr>
      <w:r>
        <w:rPr>
          <w:rFonts w:ascii="Times New Roman" w:hAnsi="Times New Roman"/>
          <w:color w:val="000000"/>
          <w:sz w:val="24"/>
        </w:rPr>
        <w:t>Section 7.10</w:t>
      </w:r>
      <w:r>
        <w:rPr>
          <w:rFonts w:ascii="Times New Roman" w:hAnsi="Times New Roman"/>
          <w:i/>
          <w:color w:val="000000"/>
          <w:sz w:val="24"/>
        </w:rPr>
        <w:t>. Acceptance by Successor Trustee.</w:t>
      </w:r>
      <w:r>
        <w:rPr>
          <w:rFonts w:ascii="Times New Roman" w:hAnsi="Times New Roman"/>
          <w:color w:val="000000"/>
          <w:sz w:val="20"/>
        </w:rPr>
        <w:t xml:space="preserve"> </w:t>
      </w:r>
      <w:r>
        <w:rPr>
          <w:rFonts w:ascii="Times New Roman" w:hAnsi="Times New Roman"/>
          <w:color w:val="000000"/>
          <w:sz w:val="24"/>
        </w:rPr>
        <w:t>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successor trustee shall accept appointment as provided in this ‎Section 7.10 unless at the time of such acceptance such successor trustee shall be eligible under the provisions of ‎Section 7.08.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7.11</w:t>
      </w:r>
      <w:r>
        <w:rPr>
          <w:rFonts w:ascii="Times New Roman" w:hAnsi="Times New Roman"/>
          <w:i/>
          <w:color w:val="000000"/>
          <w:sz w:val="24"/>
        </w:rPr>
        <w:t>. Succession by Merger, Etc.</w:t>
      </w:r>
      <w:r>
        <w:rPr>
          <w:rFonts w:ascii="Times New Roman" w:hAnsi="Times New Roman"/>
          <w:color w:val="000000"/>
          <w:sz w:val="20"/>
        </w:rPr>
        <w:t xml:space="preserve"> </w:t>
      </w:r>
      <w:r>
        <w:rPr>
          <w:rFonts w:ascii="Times New Roman" w:hAnsi="Times New Roman"/>
          <w:color w:val="000000"/>
          <w:sz w:val="24"/>
        </w:rPr>
        <w:t xml:space="preserve">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 the case of any organization or other entity succeeding to all or substantially all of the corporate trust business of the Trustee such organization or other entity shall be eligible under the provisions of ‎Section 7.08.</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240"/>
        <w:jc w:val="left"/>
        <w:rPr>
          <w:rFonts w:ascii="Times New Roman" w:hAnsi="Times New Roman"/>
          <w:sz w:val="20"/>
        </w:rPr>
      </w:pPr>
      <w:r>
        <w:rPr>
          <w:rFonts w:ascii="Times New Roman" w:hAnsi="Times New Roman"/>
          <w:color w:val="000000"/>
          <w:sz w:val="24"/>
        </w:rPr>
        <w:t>Section 7.12</w:t>
      </w:r>
      <w:r>
        <w:rPr>
          <w:rFonts w:ascii="Times New Roman" w:hAnsi="Times New Roman"/>
          <w:i/>
          <w:color w:val="000000"/>
          <w:sz w:val="24"/>
        </w:rPr>
        <w:t>. Trustee’s Application for Instructions from the Company.</w:t>
      </w:r>
      <w:r>
        <w:rPr>
          <w:rFonts w:ascii="Times New Roman" w:hAnsi="Times New Roman"/>
          <w:color w:val="000000"/>
          <w:sz w:val="20"/>
        </w:rPr>
        <w:t xml:space="preserve"> </w:t>
      </w:r>
      <w:r>
        <w:rPr>
          <w:rFonts w:ascii="Times New Roman" w:hAnsi="Times New Roman"/>
          <w:color w:val="000000"/>
          <w:sz w:val="24"/>
        </w:rPr>
        <w:t>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40"/>
        <w:jc w:val="center"/>
        <w:rPr>
          <w:rFonts w:ascii="Times New Roman" w:hAnsi="Times New Roman"/>
          <w:sz w:val="20"/>
        </w:rPr>
      </w:pPr>
      <w:r>
        <w:rPr>
          <w:rFonts w:ascii="Times New Roman" w:hAnsi="Times New Roman"/>
          <w:caps/>
          <w:color w:val="000000"/>
          <w:sz w:val="24"/>
        </w:rPr>
        <w:t>Article 8</w:t>
      </w:r>
      <w:r>
        <w:rPr>
          <w:rFonts w:ascii="Times New Roman" w:hAnsi="Times New Roman"/>
          <w:smallCaps/>
          <w:color w:val="000000"/>
          <w:sz w:val="24"/>
        </w:rPr>
        <w:br/>
        <w:t>Concerning the Holders</w:t>
      </w:r>
    </w:p>
    <w:p>
      <w:pPr>
        <w:pStyle w:val="TextBody"/>
        <w:bidi w:val="0"/>
        <w:spacing w:before="0" w:after="240"/>
        <w:jc w:val="left"/>
        <w:rPr>
          <w:rFonts w:ascii="Times New Roman" w:hAnsi="Times New Roman"/>
          <w:sz w:val="20"/>
        </w:rPr>
      </w:pPr>
      <w:r>
        <w:rPr>
          <w:rFonts w:ascii="Times New Roman" w:hAnsi="Times New Roman"/>
          <w:color w:val="000000"/>
          <w:sz w:val="24"/>
        </w:rPr>
        <w:t>Section 8.01</w:t>
      </w:r>
      <w:r>
        <w:rPr>
          <w:rFonts w:ascii="Times New Roman" w:hAnsi="Times New Roman"/>
          <w:i/>
          <w:color w:val="000000"/>
          <w:sz w:val="24"/>
        </w:rPr>
        <w:t>. Action by Holders.</w:t>
      </w:r>
      <w:r>
        <w:rPr>
          <w:rFonts w:ascii="Times New Roman" w:hAnsi="Times New Roman"/>
          <w:color w:val="000000"/>
          <w:sz w:val="20"/>
        </w:rPr>
        <w:t xml:space="preserve"> </w:t>
      </w:r>
      <w:r>
        <w:rPr>
          <w:rFonts w:ascii="Times New Roman" w:hAnsi="Times New Roman"/>
          <w:color w:val="000000"/>
          <w:sz w:val="24"/>
        </w:rPr>
        <w:t>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240"/>
        <w:jc w:val="left"/>
        <w:rPr>
          <w:rFonts w:ascii="Times New Roman" w:hAnsi="Times New Roman"/>
          <w:sz w:val="20"/>
        </w:rPr>
      </w:pPr>
      <w:r>
        <w:rPr>
          <w:rFonts w:ascii="Times New Roman" w:hAnsi="Times New Roman"/>
          <w:color w:val="000000"/>
          <w:sz w:val="24"/>
        </w:rPr>
        <w:t>Section 8.02</w:t>
      </w:r>
      <w:r>
        <w:rPr>
          <w:rFonts w:ascii="Times New Roman" w:hAnsi="Times New Roman"/>
          <w:i/>
          <w:color w:val="000000"/>
          <w:sz w:val="24"/>
        </w:rPr>
        <w:t>. Proof of Execution by Holders.</w:t>
      </w:r>
      <w:r>
        <w:rPr>
          <w:rFonts w:ascii="Times New Roman" w:hAnsi="Times New Roman"/>
          <w:color w:val="000000"/>
          <w:sz w:val="20"/>
        </w:rPr>
        <w:t xml:space="preserve"> </w:t>
      </w:r>
      <w:r>
        <w:rPr>
          <w:rFonts w:ascii="Times New Roman" w:hAnsi="Times New Roman"/>
          <w:color w:val="000000"/>
          <w:sz w:val="24"/>
        </w:rPr>
        <w:t>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240"/>
        <w:jc w:val="left"/>
        <w:rPr>
          <w:rFonts w:ascii="Times New Roman" w:hAnsi="Times New Roman"/>
          <w:sz w:val="20"/>
        </w:rPr>
      </w:pPr>
      <w:r>
        <w:rPr>
          <w:rFonts w:ascii="Times New Roman" w:hAnsi="Times New Roman"/>
          <w:color w:val="000000"/>
          <w:sz w:val="24"/>
        </w:rPr>
        <w:t>Section 8.03</w:t>
      </w:r>
      <w:r>
        <w:rPr>
          <w:rFonts w:ascii="Times New Roman" w:hAnsi="Times New Roman"/>
          <w:i/>
          <w:color w:val="000000"/>
          <w:sz w:val="24"/>
        </w:rPr>
        <w:t>. Who Are Deemed Absolute Owners.</w:t>
      </w:r>
      <w:r>
        <w:rPr>
          <w:rFonts w:ascii="Times New Roman" w:hAnsi="Times New Roman"/>
          <w:color w:val="000000"/>
          <w:sz w:val="20"/>
        </w:rPr>
        <w:t xml:space="preserve"> </w:t>
      </w:r>
      <w:r>
        <w:rPr>
          <w:rFonts w:ascii="Times New Roman" w:hAnsi="Times New Roman"/>
          <w:color w:val="000000"/>
          <w:sz w:val="24"/>
        </w:rPr>
        <w:t>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if any,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account of a Deemed Redemption pursuant to ‎Section 14.01(b)(v), and (y) such holder’s right to exchange such beneficial interest for a Note in certificated form in accordance with the provisions of this Indenture following an Event of Default.</w:t>
      </w:r>
    </w:p>
    <w:p>
      <w:pPr>
        <w:pStyle w:val="TextBody"/>
        <w:bidi w:val="0"/>
        <w:spacing w:before="0" w:after="240"/>
        <w:jc w:val="left"/>
        <w:rPr>
          <w:rFonts w:ascii="Times New Roman" w:hAnsi="Times New Roman"/>
          <w:sz w:val="20"/>
        </w:rPr>
      </w:pPr>
      <w:r>
        <w:rPr>
          <w:rFonts w:ascii="Times New Roman" w:hAnsi="Times New Roman"/>
          <w:color w:val="000000"/>
          <w:sz w:val="24"/>
        </w:rPr>
        <w:t>Section 8.04</w:t>
      </w:r>
      <w:r>
        <w:rPr>
          <w:rFonts w:ascii="Times New Roman" w:hAnsi="Times New Roman"/>
          <w:i/>
          <w:color w:val="000000"/>
          <w:sz w:val="24"/>
        </w:rPr>
        <w:t>. Company-Owned Notes Disregarded.</w:t>
      </w:r>
      <w:r>
        <w:rPr>
          <w:rFonts w:ascii="Times New Roman" w:hAnsi="Times New Roman"/>
          <w:color w:val="000000"/>
          <w:sz w:val="20"/>
        </w:rPr>
        <w:t xml:space="preserve"> </w:t>
      </w:r>
      <w:r>
        <w:rPr>
          <w:rFonts w:ascii="Times New Roman" w:hAnsi="Times New Roman"/>
          <w:color w:val="000000"/>
          <w:sz w:val="24"/>
        </w:rPr>
        <w:t xml:space="preserve">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240"/>
        <w:jc w:val="left"/>
        <w:rPr>
          <w:rFonts w:ascii="Times New Roman" w:hAnsi="Times New Roman"/>
          <w:sz w:val="20"/>
        </w:rPr>
      </w:pPr>
      <w:r>
        <w:rPr>
          <w:rFonts w:ascii="Times New Roman" w:hAnsi="Times New Roman"/>
          <w:color w:val="000000"/>
          <w:sz w:val="24"/>
        </w:rPr>
        <w:t>Section 8.05</w:t>
      </w:r>
      <w:r>
        <w:rPr>
          <w:rFonts w:ascii="Times New Roman" w:hAnsi="Times New Roman"/>
          <w:i/>
          <w:color w:val="000000"/>
          <w:sz w:val="24"/>
        </w:rPr>
        <w:t>. Revocation of Consents; Future Holders Bound.</w:t>
      </w:r>
      <w:r>
        <w:rPr>
          <w:rFonts w:ascii="Times New Roman" w:hAnsi="Times New Roman"/>
          <w:color w:val="000000"/>
          <w:sz w:val="20"/>
        </w:rPr>
        <w:t xml:space="preserve"> </w:t>
      </w:r>
      <w:r>
        <w:rPr>
          <w:rFonts w:ascii="Times New Roman" w:hAnsi="Times New Roman"/>
          <w:color w:val="000000"/>
          <w:sz w:val="24"/>
        </w:rPr>
        <w:t>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40"/>
        <w:jc w:val="center"/>
        <w:rPr>
          <w:rFonts w:ascii="Times New Roman" w:hAnsi="Times New Roman"/>
          <w:sz w:val="20"/>
        </w:rPr>
      </w:pPr>
      <w:r>
        <w:rPr>
          <w:rFonts w:ascii="Times New Roman" w:hAnsi="Times New Roman"/>
          <w:caps/>
          <w:color w:val="000000"/>
          <w:sz w:val="24"/>
        </w:rPr>
        <w:t>Article 9</w:t>
      </w:r>
      <w:r>
        <w:rPr>
          <w:rFonts w:ascii="Times New Roman" w:hAnsi="Times New Roman"/>
          <w:smallCaps/>
          <w:color w:val="000000"/>
          <w:sz w:val="24"/>
        </w:rPr>
        <w:br/>
        <w:t>Holders’ Meetings</w:t>
      </w:r>
    </w:p>
    <w:p>
      <w:pPr>
        <w:pStyle w:val="TextBody"/>
        <w:bidi w:val="0"/>
        <w:spacing w:before="0" w:after="240"/>
        <w:jc w:val="left"/>
        <w:rPr>
          <w:rFonts w:ascii="Times New Roman" w:hAnsi="Times New Roman"/>
          <w:sz w:val="20"/>
        </w:rPr>
      </w:pPr>
      <w:r>
        <w:rPr>
          <w:rFonts w:ascii="Times New Roman" w:hAnsi="Times New Roman"/>
          <w:color w:val="000000"/>
          <w:sz w:val="24"/>
        </w:rPr>
        <w:t>Section 9.01</w:t>
      </w:r>
      <w:r>
        <w:rPr>
          <w:rFonts w:ascii="Times New Roman" w:hAnsi="Times New Roman"/>
          <w:i/>
          <w:color w:val="000000"/>
          <w:sz w:val="24"/>
        </w:rPr>
        <w:t>. Purpose of Meetings.</w:t>
      </w:r>
      <w:r>
        <w:rPr>
          <w:rFonts w:ascii="Times New Roman" w:hAnsi="Times New Roman"/>
          <w:color w:val="000000"/>
          <w:sz w:val="20"/>
        </w:rPr>
        <w:t xml:space="preserve"> </w:t>
      </w:r>
      <w:r>
        <w:rPr>
          <w:rFonts w:ascii="Times New Roman" w:hAnsi="Times New Roman"/>
          <w:color w:val="000000"/>
          <w:sz w:val="24"/>
        </w:rPr>
        <w:t>A meeting of Holders may be called at any time and from time to time pursuant to the provisions of this ‎Article 9 for any of the following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remove the Trustee and nominate a successor trustee pursuant to the provisions of ‎Article 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consent to the execution of an indenture or indentures supplemental hereto pursuant to the provisions of ‎Section 10.02;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240"/>
        <w:jc w:val="left"/>
        <w:rPr>
          <w:rFonts w:ascii="Times New Roman" w:hAnsi="Times New Roman"/>
          <w:sz w:val="20"/>
        </w:rPr>
      </w:pPr>
      <w:r>
        <w:rPr>
          <w:rFonts w:ascii="Times New Roman" w:hAnsi="Times New Roman"/>
          <w:color w:val="000000"/>
          <w:sz w:val="24"/>
        </w:rPr>
        <w:t>Section 9.02</w:t>
      </w:r>
      <w:r>
        <w:rPr>
          <w:rFonts w:ascii="Times New Roman" w:hAnsi="Times New Roman"/>
          <w:i/>
          <w:color w:val="000000"/>
          <w:sz w:val="24"/>
        </w:rPr>
        <w:t>. Call of Meetings by Trustee.</w:t>
      </w:r>
      <w:r>
        <w:rPr>
          <w:rFonts w:ascii="Times New Roman" w:hAnsi="Times New Roman"/>
          <w:color w:val="000000"/>
          <w:sz w:val="20"/>
        </w:rPr>
        <w:t xml:space="preserve"> </w:t>
      </w:r>
      <w:r>
        <w:rPr>
          <w:rFonts w:ascii="Times New Roman" w:hAnsi="Times New Roman"/>
          <w:color w:val="000000"/>
          <w:sz w:val="24"/>
        </w:rPr>
        <w:t>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240"/>
        <w:jc w:val="left"/>
        <w:rPr>
          <w:rFonts w:ascii="Times New Roman" w:hAnsi="Times New Roman"/>
          <w:sz w:val="20"/>
        </w:rPr>
      </w:pPr>
      <w:r>
        <w:rPr>
          <w:rFonts w:ascii="Times New Roman" w:hAnsi="Times New Roman"/>
          <w:color w:val="000000"/>
          <w:sz w:val="24"/>
        </w:rPr>
        <w:t>Section 9.03</w:t>
      </w:r>
      <w:r>
        <w:rPr>
          <w:rFonts w:ascii="Times New Roman" w:hAnsi="Times New Roman"/>
          <w:i/>
          <w:color w:val="000000"/>
          <w:sz w:val="24"/>
        </w:rPr>
        <w:t>. Call of Meetings by Company or Holders.</w:t>
      </w:r>
      <w:r>
        <w:rPr>
          <w:rFonts w:ascii="Times New Roman" w:hAnsi="Times New Roman"/>
          <w:color w:val="000000"/>
          <w:sz w:val="20"/>
        </w:rPr>
        <w:t xml:space="preserve"> </w:t>
      </w:r>
      <w:r>
        <w:rPr>
          <w:rFonts w:ascii="Times New Roman" w:hAnsi="Times New Roman"/>
          <w:color w:val="000000"/>
          <w:sz w:val="24"/>
        </w:rPr>
        <w:t>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9.04</w:t>
      </w:r>
      <w:r>
        <w:rPr>
          <w:rFonts w:ascii="Times New Roman" w:hAnsi="Times New Roman"/>
          <w:i/>
          <w:color w:val="000000"/>
          <w:sz w:val="24"/>
        </w:rPr>
        <w:t>. Qualifications for Voting.</w:t>
      </w:r>
      <w:r>
        <w:rPr>
          <w:rFonts w:ascii="Times New Roman" w:hAnsi="Times New Roman"/>
          <w:color w:val="000000"/>
          <w:sz w:val="20"/>
        </w:rPr>
        <w:t xml:space="preserve"> </w:t>
      </w:r>
      <w:r>
        <w:rPr>
          <w:rFonts w:ascii="Times New Roman" w:hAnsi="Times New Roman"/>
          <w:color w:val="000000"/>
          <w:sz w:val="24"/>
        </w:rPr>
        <w:t>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240"/>
        <w:jc w:val="left"/>
        <w:rPr>
          <w:rFonts w:ascii="Times New Roman" w:hAnsi="Times New Roman"/>
          <w:sz w:val="20"/>
        </w:rPr>
      </w:pPr>
      <w:r>
        <w:rPr>
          <w:rFonts w:ascii="Times New Roman" w:hAnsi="Times New Roman"/>
          <w:color w:val="000000"/>
          <w:sz w:val="24"/>
        </w:rPr>
        <w:t>Section 9.05</w:t>
      </w:r>
      <w:r>
        <w:rPr>
          <w:rFonts w:ascii="Times New Roman" w:hAnsi="Times New Roman"/>
          <w:i/>
          <w:color w:val="000000"/>
          <w:sz w:val="24"/>
        </w:rPr>
        <w:t>. Regulations.</w:t>
      </w:r>
      <w:r>
        <w:rPr>
          <w:rFonts w:ascii="Times New Roman" w:hAnsi="Times New Roman"/>
          <w:color w:val="000000"/>
          <w:sz w:val="20"/>
        </w:rPr>
        <w:t xml:space="preserve"> </w:t>
      </w:r>
      <w:r>
        <w:rPr>
          <w:rFonts w:ascii="Times New Roman" w:hAnsi="Times New Roman"/>
          <w:color w:val="000000"/>
          <w:sz w:val="24"/>
        </w:rPr>
        <w:t>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 to the provisions of ‎Section 8.04, at any meeting of Holders each Holder or proxyholder shall be entitled to one vote for each $1,000 principal amount of Notes held or represented by him or her;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240"/>
        <w:jc w:val="left"/>
        <w:rPr>
          <w:rFonts w:ascii="Times New Roman" w:hAnsi="Times New Roman"/>
          <w:sz w:val="20"/>
        </w:rPr>
      </w:pPr>
      <w:r>
        <w:rPr>
          <w:rFonts w:ascii="Times New Roman" w:hAnsi="Times New Roman"/>
          <w:color w:val="000000"/>
          <w:sz w:val="24"/>
        </w:rPr>
        <w:t>Section 9.06</w:t>
      </w:r>
      <w:r>
        <w:rPr>
          <w:rFonts w:ascii="Times New Roman" w:hAnsi="Times New Roman"/>
          <w:i/>
          <w:color w:val="000000"/>
          <w:sz w:val="24"/>
        </w:rPr>
        <w:t>. Voting.</w:t>
      </w:r>
      <w:r>
        <w:rPr>
          <w:rFonts w:ascii="Times New Roman" w:hAnsi="Times New Roman"/>
          <w:color w:val="000000"/>
          <w:sz w:val="20"/>
        </w:rPr>
        <w:t xml:space="preserve"> </w:t>
      </w:r>
      <w:r>
        <w:rPr>
          <w:rFonts w:ascii="Times New Roman" w:hAnsi="Times New Roman"/>
          <w:color w:val="000000"/>
          <w:sz w:val="24"/>
        </w:rPr>
        <w:t>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record so signed and verified shall be conclusive evidence of the matters therein stated.</w:t>
      </w:r>
    </w:p>
    <w:p>
      <w:pPr>
        <w:pStyle w:val="TextBody"/>
        <w:bidi w:val="0"/>
        <w:spacing w:before="0" w:after="240"/>
        <w:jc w:val="left"/>
        <w:rPr>
          <w:rFonts w:ascii="Times New Roman" w:hAnsi="Times New Roman"/>
          <w:sz w:val="20"/>
        </w:rPr>
      </w:pPr>
      <w:r>
        <w:rPr>
          <w:rFonts w:ascii="Times New Roman" w:hAnsi="Times New Roman"/>
          <w:color w:val="000000"/>
          <w:sz w:val="24"/>
        </w:rPr>
        <w:t>Section 9.07</w:t>
      </w:r>
      <w:r>
        <w:rPr>
          <w:rFonts w:ascii="Times New Roman" w:hAnsi="Times New Roman"/>
          <w:i/>
          <w:color w:val="000000"/>
          <w:sz w:val="24"/>
        </w:rPr>
        <w:t>. No Delay of Rights by Meeting.</w:t>
      </w:r>
      <w:r>
        <w:rPr>
          <w:rFonts w:ascii="Times New Roman" w:hAnsi="Times New Roman"/>
          <w:color w:val="000000"/>
          <w:sz w:val="20"/>
        </w:rPr>
        <w:t xml:space="preserve"> </w:t>
      </w:r>
      <w:r>
        <w:rPr>
          <w:rFonts w:ascii="Times New Roman" w:hAnsi="Times New Roman"/>
          <w:color w:val="000000"/>
          <w:sz w:val="24"/>
        </w:rPr>
        <w:t>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10</w:t>
      </w:r>
      <w:r>
        <w:rPr>
          <w:rFonts w:ascii="Times New Roman" w:hAnsi="Times New Roman"/>
          <w:smallCaps/>
          <w:color w:val="000000"/>
          <w:sz w:val="24"/>
        </w:rPr>
        <w:br/>
        <w:t>Supplemental Indentures</w:t>
      </w:r>
    </w:p>
    <w:p>
      <w:pPr>
        <w:pStyle w:val="TextBody"/>
        <w:bidi w:val="0"/>
        <w:spacing w:before="0" w:after="240"/>
        <w:jc w:val="left"/>
        <w:rPr>
          <w:rFonts w:ascii="Times New Roman" w:hAnsi="Times New Roman"/>
          <w:sz w:val="20"/>
        </w:rPr>
      </w:pPr>
      <w:r>
        <w:rPr>
          <w:rFonts w:ascii="Times New Roman" w:hAnsi="Times New Roman"/>
          <w:color w:val="000000"/>
          <w:sz w:val="24"/>
        </w:rPr>
        <w:t>Section 10.01</w:t>
      </w:r>
      <w:r>
        <w:rPr>
          <w:rFonts w:ascii="Times New Roman" w:hAnsi="Times New Roman"/>
          <w:i/>
          <w:color w:val="000000"/>
          <w:sz w:val="24"/>
        </w:rPr>
        <w:t>. Supplemental Indentures Without Consent of Holders.</w:t>
      </w:r>
      <w:r>
        <w:rPr>
          <w:rFonts w:ascii="Times New Roman" w:hAnsi="Times New Roman"/>
          <w:color w:val="000000"/>
          <w:sz w:val="20"/>
        </w:rPr>
        <w:t xml:space="preserve"> </w:t>
      </w:r>
      <w:r>
        <w:rPr>
          <w:rFonts w:ascii="Times New Roman" w:hAnsi="Times New Roman"/>
          <w:color w:val="000000"/>
          <w:sz w:val="24"/>
        </w:rPr>
        <w:t>The Company and the Trustee, at the Company’s expense, may from time to time and at any time enter into an indenture or indentures supplemental hereto for one or more of the following purposes: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cure any ambiguity, omission, defect or inconsistency;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to provide for the assumption by a Successor Entity of the obligations of the Company under this Indenture pursuant to ‎Article 11;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to add guarantees with respect to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to secure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to add to the covenants or Events of Default of the Company for the benefit of the Holders or surrender any right or power conferred upon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to make any change that does not adversely affect the rights of any Holder as determined by the Company in good faith as certified by the Company in an Officer’s Certificate;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in connection with any Share Exchange Event, to provide that the Notes are convertible into Reference Property, subject to the provisions of ‎Section 14.02, and make such related changes to the terms of the Notes to the extent expressly required by ‎Section 14.07;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to conform the provisions of this Indenture or the Notes to the “Description of Notes” section of the Offering Memorandum as evidenced in an Officer’s Certificate;</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to comply with the rules of any applicable Depositary, including The Depository Trust Company, so long as such amendment does not adversely affect the rights of any Holder in any material respect;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to appoint a successor trustee with respect to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to increase the Conversion Rate as provided in this Indenture; or</w:t>
      </w:r>
    </w:p>
    <w:p>
      <w:pPr>
        <w:pStyle w:val="TextBody"/>
        <w:bidi w:val="0"/>
        <w:spacing w:before="0" w:after="240"/>
        <w:jc w:val="left"/>
        <w:rPr>
          <w:rFonts w:ascii="Times New Roman" w:hAnsi="Times New Roman"/>
          <w:sz w:val="20"/>
        </w:rPr>
      </w:pPr>
      <w:r>
        <w:rPr>
          <w:rFonts w:ascii="Times New Roman" w:hAnsi="Times New Roman"/>
          <w:color w:val="000000"/>
          <w:sz w:val="24"/>
        </w:rPr>
        <w:t>(l) to provide for the acceptance of appointment by a successor Trustee, Note Registrar, Paying Agent, Bid Solicitation Agent or Conversion Agent to facilitate the administration of the trusts under this Indenture by more than one trustee.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240"/>
        <w:jc w:val="left"/>
        <w:rPr>
          <w:rFonts w:ascii="Times New Roman" w:hAnsi="Times New Roman"/>
          <w:sz w:val="20"/>
        </w:rPr>
      </w:pPr>
      <w:r>
        <w:rPr>
          <w:rFonts w:ascii="Times New Roman" w:hAnsi="Times New Roman"/>
          <w:color w:val="000000"/>
          <w:sz w:val="24"/>
        </w:rPr>
        <w:t>Section 10.02</w:t>
      </w:r>
      <w:r>
        <w:rPr>
          <w:rFonts w:ascii="Times New Roman" w:hAnsi="Times New Roman"/>
          <w:i/>
          <w:color w:val="000000"/>
          <w:sz w:val="24"/>
        </w:rPr>
        <w:t>. Supplemental Indentures with Consent of Holders.</w:t>
      </w:r>
      <w:r>
        <w:rPr>
          <w:rFonts w:ascii="Times New Roman" w:hAnsi="Times New Roman"/>
          <w:color w:val="000000"/>
          <w:sz w:val="20"/>
        </w:rPr>
        <w:t xml:space="preserve"> </w:t>
      </w:r>
      <w:r>
        <w:rPr>
          <w:rFonts w:ascii="Times New Roman" w:hAnsi="Times New Roman"/>
          <w:color w:val="000000"/>
          <w:sz w:val="24"/>
        </w:rPr>
        <w:t xml:space="preserve">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the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without the consent of each Holder of an outstanding Note affected, no such supplemental indenture shall: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reduce the principal amount of Notes whose Holders must consent to an amendment;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reduce the rate of or extend the stated time for payment of any interest (including Special Interest and interest payable pursuant to Section 2.03(c)) on any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reduce the principal amount of or extend the Maturity Date of any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except as required by this Indenture, make any change that adversely affects the conversion rights of any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make any Note payable in a currency, or at a place of payment, other than that stated in the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change the ranking of the Notes;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make any change in this ‎Article 10 that requires each Holder’s consent or in the waiver provisions in ‎Section 6.02 or ‎Section 6.09.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240"/>
        <w:jc w:val="left"/>
        <w:rPr>
          <w:rFonts w:ascii="Times New Roman" w:hAnsi="Times New Roman"/>
          <w:sz w:val="20"/>
        </w:rPr>
      </w:pPr>
      <w:r>
        <w:rPr>
          <w:rFonts w:ascii="Times New Roman" w:hAnsi="Times New Roman"/>
          <w:color w:val="000000"/>
          <w:sz w:val="24"/>
        </w:rPr>
        <w:t>Section 10.03</w:t>
      </w:r>
      <w:r>
        <w:rPr>
          <w:rFonts w:ascii="Times New Roman" w:hAnsi="Times New Roman"/>
          <w:i/>
          <w:color w:val="000000"/>
          <w:sz w:val="24"/>
        </w:rPr>
        <w:t>. Effect of Supplemental Indentures.</w:t>
      </w:r>
      <w:r>
        <w:rPr>
          <w:rFonts w:ascii="Times New Roman" w:hAnsi="Times New Roman"/>
          <w:color w:val="000000"/>
          <w:sz w:val="20"/>
        </w:rPr>
        <w:t xml:space="preserve"> </w:t>
      </w:r>
      <w:r>
        <w:rPr>
          <w:rFonts w:ascii="Times New Roman" w:hAnsi="Times New Roman"/>
          <w:color w:val="000000"/>
          <w:sz w:val="24"/>
        </w:rPr>
        <w:t>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240"/>
        <w:jc w:val="left"/>
        <w:rPr>
          <w:rFonts w:ascii="Times New Roman" w:hAnsi="Times New Roman"/>
          <w:sz w:val="20"/>
        </w:rPr>
      </w:pPr>
      <w:r>
        <w:rPr>
          <w:rFonts w:ascii="Times New Roman" w:hAnsi="Times New Roman"/>
          <w:color w:val="000000"/>
          <w:sz w:val="24"/>
        </w:rPr>
        <w:t>Section 10.04</w:t>
      </w:r>
      <w:r>
        <w:rPr>
          <w:rFonts w:ascii="Times New Roman" w:hAnsi="Times New Roman"/>
          <w:i/>
          <w:color w:val="000000"/>
          <w:sz w:val="24"/>
        </w:rPr>
        <w:t>. Notation on Notes.</w:t>
      </w:r>
      <w:r>
        <w:rPr>
          <w:rFonts w:ascii="Times New Roman" w:hAnsi="Times New Roman"/>
          <w:color w:val="000000"/>
          <w:sz w:val="20"/>
        </w:rPr>
        <w:t xml:space="preserve"> </w:t>
      </w:r>
      <w:r>
        <w:rPr>
          <w:rFonts w:ascii="Times New Roman" w:hAnsi="Times New Roman"/>
          <w:color w:val="000000"/>
          <w:sz w:val="24"/>
        </w:rPr>
        <w:t>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pStyle w:val="TextBody"/>
        <w:bidi w:val="0"/>
        <w:spacing w:before="0" w:after="240"/>
        <w:jc w:val="left"/>
        <w:rPr>
          <w:rFonts w:ascii="Times New Roman" w:hAnsi="Times New Roman"/>
          <w:sz w:val="20"/>
        </w:rPr>
      </w:pPr>
      <w:r>
        <w:rPr>
          <w:rFonts w:ascii="Times New Roman" w:hAnsi="Times New Roman"/>
          <w:color w:val="000000"/>
          <w:sz w:val="24"/>
        </w:rPr>
        <w:t>Section 10.05</w:t>
      </w:r>
      <w:r>
        <w:rPr>
          <w:rFonts w:ascii="Times New Roman" w:hAnsi="Times New Roman"/>
          <w:i/>
          <w:color w:val="000000"/>
          <w:sz w:val="24"/>
        </w:rPr>
        <w:t>. Evidence of Compliance of Supplemental Indenture To Be Furnished to Trustee.</w:t>
      </w:r>
      <w:r>
        <w:rPr>
          <w:rFonts w:ascii="Times New Roman" w:hAnsi="Times New Roman"/>
          <w:color w:val="000000"/>
          <w:sz w:val="20"/>
        </w:rPr>
        <w:t xml:space="preserve"> </w:t>
      </w:r>
      <w:r>
        <w:rPr>
          <w:rFonts w:ascii="Times New Roman" w:hAnsi="Times New Roman"/>
          <w:color w:val="000000"/>
          <w:sz w:val="24"/>
        </w:rPr>
        <w:t>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r>
        <w:rPr>
          <w:rFonts w:ascii="Times New Roman" w:hAnsi="Times New Roman"/>
          <w:color w:val="000000"/>
          <w:sz w:val="20"/>
        </w:rPr>
        <w:t xml:space="preserve"> </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11</w:t>
      </w:r>
      <w:r>
        <w:rPr>
          <w:rFonts w:ascii="Times New Roman" w:hAnsi="Times New Roman"/>
          <w:smallCaps/>
          <w:color w:val="000000"/>
          <w:sz w:val="24"/>
        </w:rPr>
        <w:br/>
        <w:t>Consolidation, Merger, Sale, Conveyance and Lease</w:t>
      </w:r>
    </w:p>
    <w:p>
      <w:pPr>
        <w:pStyle w:val="TextBody"/>
        <w:bidi w:val="0"/>
        <w:spacing w:before="0" w:after="240"/>
        <w:jc w:val="left"/>
        <w:rPr>
          <w:rFonts w:ascii="Times New Roman" w:hAnsi="Times New Roman"/>
          <w:sz w:val="20"/>
        </w:rPr>
      </w:pPr>
      <w:r>
        <w:rPr>
          <w:rFonts w:ascii="Times New Roman" w:hAnsi="Times New Roman"/>
          <w:color w:val="000000"/>
          <w:sz w:val="24"/>
        </w:rPr>
        <w:t>Section 11.01</w:t>
      </w:r>
      <w:r>
        <w:rPr>
          <w:rFonts w:ascii="Times New Roman" w:hAnsi="Times New Roman"/>
          <w:i/>
          <w:color w:val="000000"/>
          <w:sz w:val="24"/>
        </w:rPr>
        <w:t>. Company May Consolidate, Etc. on Certain Terms.</w:t>
      </w:r>
      <w:r>
        <w:rPr>
          <w:rFonts w:ascii="Times New Roman" w:hAnsi="Times New Roman"/>
          <w:color w:val="000000"/>
          <w:sz w:val="20"/>
        </w:rPr>
        <w:t xml:space="preserve"> </w:t>
      </w:r>
      <w:r>
        <w:rPr>
          <w:rFonts w:ascii="Times New Roman" w:hAnsi="Times New Roman"/>
          <w:color w:val="000000"/>
          <w:sz w:val="24"/>
        </w:rPr>
        <w:t>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hAnsi="Times New Roman"/>
          <w:b/>
          <w:color w:val="000000"/>
          <w:sz w:val="24"/>
        </w:rPr>
        <w:t>Business Combination Event</w:t>
      </w:r>
      <w:r>
        <w:rPr>
          <w:rFonts w:ascii="Times New Roman" w:hAnsi="Times New Roman"/>
          <w:color w:val="000000"/>
          <w:sz w:val="20"/>
        </w:rPr>
        <w:t>”</w:t>
      </w:r>
      <w:r>
        <w:rPr>
          <w:rFonts w:ascii="Times New Roman" w:hAnsi="Times New Roman"/>
          <w:color w:val="000000"/>
          <w:sz w:val="24"/>
        </w:rPr>
        <w:t>), unless:</w:t>
      </w:r>
    </w:p>
    <w:p>
      <w:pPr>
        <w:pStyle w:val="TextBody"/>
        <w:bidi w:val="0"/>
        <w:spacing w:before="0" w:after="240"/>
        <w:jc w:val="left"/>
        <w:rPr>
          <w:rFonts w:ascii="Times New Roman" w:hAnsi="Times New Roman"/>
          <w:sz w:val="20"/>
        </w:rPr>
      </w:pPr>
      <w:r>
        <w:rPr>
          <w:rFonts w:ascii="Times New Roman" w:hAnsi="Times New Roman"/>
          <w:color w:val="000000"/>
          <w:sz w:val="24"/>
        </w:rPr>
        <w:t>(a) the resulting, surviving or transferee Person (the “</w:t>
      </w:r>
      <w:r>
        <w:rPr>
          <w:rFonts w:ascii="Times New Roman" w:hAnsi="Times New Roman"/>
          <w:b/>
          <w:color w:val="000000"/>
          <w:sz w:val="24"/>
        </w:rPr>
        <w:t>Successor Entity</w:t>
      </w:r>
      <w:r>
        <w:rPr>
          <w:rFonts w:ascii="Times New Roman" w:hAnsi="Times New Roman"/>
          <w:color w:val="000000"/>
          <w:sz w:val="20"/>
        </w:rPr>
        <w:t>”</w:t>
      </w:r>
      <w:r>
        <w:rPr>
          <w:rFonts w:ascii="Times New Roman" w:hAnsi="Times New Roman"/>
          <w:color w:val="000000"/>
          <w:sz w:val="24"/>
        </w:rPr>
        <w:t>),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immediately after giving effect to such Business Combination Event, no Default or Event of Default shall have occurred and be continuing under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w:t>
      </w:r>
    </w:p>
    <w:p>
      <w:pPr>
        <w:pStyle w:val="TextBody"/>
        <w:bidi w:val="0"/>
        <w:spacing w:before="0" w:after="240"/>
        <w:jc w:val="left"/>
        <w:rPr>
          <w:rFonts w:ascii="Times New Roman" w:hAnsi="Times New Roman"/>
          <w:sz w:val="20"/>
        </w:rPr>
      </w:pPr>
      <w:r>
        <w:rPr>
          <w:rFonts w:ascii="Times New Roman" w:hAnsi="Times New Roman"/>
          <w:color w:val="000000"/>
          <w:sz w:val="24"/>
        </w:rPr>
        <w:t>(c) If the Company is not the Successor Entity, the Successor Entity shall have delivered to the Trustee an Officer’s Certificate and Opinion of Counsel, each stating that Business Combination Event complies with this Indenture and that such supplemental indenture is authorized or permitted by this Indenture and an Opinion of Counsel stating that the supplemental indenture is the valid and binding obligation of the Successor Entity, subject to customary exceptions and qualifications.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11.02</w:t>
      </w:r>
      <w:r>
        <w:rPr>
          <w:rFonts w:ascii="Times New Roman" w:hAnsi="Times New Roman"/>
          <w:i/>
          <w:color w:val="000000"/>
          <w:sz w:val="24"/>
        </w:rPr>
        <w:t>. Successor Entity To Be Substituted.</w:t>
      </w:r>
      <w:r>
        <w:rPr>
          <w:rFonts w:ascii="Times New Roman" w:hAnsi="Times New Roman"/>
          <w:color w:val="000000"/>
          <w:sz w:val="20"/>
        </w:rPr>
        <w:t xml:space="preserve"> </w:t>
      </w:r>
      <w:r>
        <w:rPr>
          <w:rFonts w:ascii="Times New Roman" w:hAnsi="Times New Roman"/>
          <w:color w:val="000000"/>
          <w:sz w:val="24"/>
        </w:rPr>
        <w:t>In case of any such Business Combination Event and upon the assumption by the Successor Entity (if not the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covenants and conditions of this Indenture to be performed by the Company, such Successor Entity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(other than a lease of all or substantially all of the consolidated properties and assets of the Company and its Subsidiaries to another Person),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Business Combination Event, such changes in phraseology and form (but not in substance) may be made in the Notes thereafter to be issued as may be appropriate.</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12</w:t>
      </w:r>
      <w:r>
        <w:rPr>
          <w:rFonts w:ascii="Times New Roman" w:hAnsi="Times New Roman"/>
          <w:smallCaps/>
          <w:color w:val="000000"/>
          <w:sz w:val="24"/>
        </w:rPr>
        <w:br/>
        <w:t>Immunity of Incorporators, Stockholders, Officers and Directors</w:t>
      </w:r>
    </w:p>
    <w:p>
      <w:pPr>
        <w:pStyle w:val="TextBody"/>
        <w:bidi w:val="0"/>
        <w:spacing w:before="0" w:after="240"/>
        <w:jc w:val="left"/>
        <w:rPr>
          <w:rFonts w:ascii="Times New Roman" w:hAnsi="Times New Roman"/>
          <w:sz w:val="20"/>
        </w:rPr>
      </w:pPr>
      <w:r>
        <w:rPr>
          <w:rFonts w:ascii="Times New Roman" w:hAnsi="Times New Roman"/>
          <w:color w:val="000000"/>
          <w:sz w:val="24"/>
        </w:rPr>
        <w:t>Section 12.01</w:t>
      </w:r>
      <w:r>
        <w:rPr>
          <w:rFonts w:ascii="Times New Roman" w:hAnsi="Times New Roman"/>
          <w:i/>
          <w:color w:val="000000"/>
          <w:sz w:val="24"/>
        </w:rPr>
        <w:t>. Indenture and Notes Solely Corporate Obligations.</w:t>
      </w:r>
      <w:r>
        <w:rPr>
          <w:rFonts w:ascii="Times New Roman" w:hAnsi="Times New Roman"/>
          <w:color w:val="000000"/>
          <w:sz w:val="20"/>
        </w:rPr>
        <w:t xml:space="preserve"> </w:t>
      </w:r>
      <w:r>
        <w:rPr>
          <w:rFonts w:ascii="Times New Roman" w:hAnsi="Times New Roman"/>
          <w:color w:val="000000"/>
          <w:sz w:val="24"/>
        </w:rPr>
        <w:t>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13</w:t>
      </w:r>
      <w:r>
        <w:rPr>
          <w:rFonts w:ascii="Times New Roman" w:hAnsi="Times New Roman"/>
          <w:smallCaps/>
          <w:color w:val="000000"/>
          <w:sz w:val="24"/>
        </w:rPr>
        <w:br/>
        <w:t>[Intentionally Omitted]</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40"/>
        <w:jc w:val="center"/>
        <w:rPr>
          <w:rFonts w:ascii="Times New Roman" w:hAnsi="Times New Roman"/>
          <w:sz w:val="20"/>
        </w:rPr>
      </w:pPr>
      <w:r>
        <w:rPr>
          <w:rFonts w:ascii="Times New Roman" w:hAnsi="Times New Roman"/>
          <w:caps/>
          <w:color w:val="000000"/>
          <w:sz w:val="24"/>
        </w:rPr>
        <w:t>Article 14</w:t>
      </w:r>
      <w:r>
        <w:rPr>
          <w:rFonts w:ascii="Times New Roman" w:hAnsi="Times New Roman"/>
          <w:smallCaps/>
          <w:color w:val="000000"/>
          <w:sz w:val="24"/>
        </w:rPr>
        <w:br/>
        <w:t>Conversion of Notes</w:t>
      </w:r>
    </w:p>
    <w:p>
      <w:pPr>
        <w:pStyle w:val="TextBody"/>
        <w:bidi w:val="0"/>
        <w:spacing w:before="0" w:after="240"/>
        <w:jc w:val="left"/>
        <w:rPr>
          <w:rFonts w:ascii="Times New Roman" w:hAnsi="Times New Roman"/>
          <w:sz w:val="20"/>
        </w:rPr>
      </w:pPr>
      <w:r>
        <w:rPr>
          <w:rFonts w:ascii="Times New Roman" w:hAnsi="Times New Roman"/>
          <w:color w:val="000000"/>
          <w:sz w:val="24"/>
        </w:rPr>
        <w:t>Section 14.01</w:t>
      </w:r>
      <w:r>
        <w:rPr>
          <w:rFonts w:ascii="Times New Roman" w:hAnsi="Times New Roman"/>
          <w:i/>
          <w:color w:val="000000"/>
          <w:sz w:val="24"/>
        </w:rPr>
        <w:t>. Conversion Privilege.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May 15, 2031 under the circumstances and during the periods set forth in Section 14.01(b), and (ii) regardless of the conditions described in ‎Section 14.01(b), on or after May 15, 2031 and prior to the close of business on the second Scheduled Trading Day immediately preceding the Maturity Date, in each case, at an initial conversion rate of 6.8594 shares of Common Stock (subject to adjustment as provided in this ‎Article 14, the “</w:t>
      </w:r>
      <w:r>
        <w:rPr>
          <w:rFonts w:ascii="Times New Roman" w:hAnsi="Times New Roman"/>
          <w:b/>
          <w:color w:val="000000"/>
          <w:sz w:val="24"/>
        </w:rPr>
        <w:t>Conversion Rate</w:t>
      </w:r>
      <w:r>
        <w:rPr>
          <w:rFonts w:ascii="Times New Roman" w:hAnsi="Times New Roman"/>
          <w:color w:val="000000"/>
          <w:sz w:val="20"/>
        </w:rPr>
        <w:t>”</w:t>
      </w:r>
      <w:r>
        <w:rPr>
          <w:rFonts w:ascii="Times New Roman" w:hAnsi="Times New Roman"/>
          <w:color w:val="000000"/>
          <w:sz w:val="24"/>
        </w:rPr>
        <w:t>) per $1,000 principal amount of Notes (subject to, and in accordance with, the settlement provisions of ‎Section 14.02, the “</w:t>
      </w:r>
      <w:r>
        <w:rPr>
          <w:rFonts w:ascii="Times New Roman" w:hAnsi="Times New Roman"/>
          <w:b/>
          <w:color w:val="000000"/>
          <w:sz w:val="24"/>
        </w:rPr>
        <w:t>Conversion Obligation</w:t>
      </w:r>
      <w:r>
        <w:rPr>
          <w:rFonts w:ascii="Times New Roman" w:hAnsi="Times New Roman"/>
          <w:color w:val="000000"/>
          <w:sz w:val="20"/>
        </w:rPr>
        <w:t>”</w:t>
      </w:r>
      <w:r>
        <w:rPr>
          <w:rFonts w:ascii="Times New Roman" w:hAnsi="Times New Roman"/>
          <w:color w:val="000000"/>
          <w:sz w:val="24"/>
        </w:rPr>
        <w:t>). The Trustee shall have no obligation to make any determination as to whether any of the conditions described in ‎Section 14.01(b) have been satisfied.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(b) </w:t>
      </w:r>
    </w:p>
    <w:p>
      <w:pPr>
        <w:pStyle w:val="TextBody"/>
        <w:bidi w:val="0"/>
        <w:spacing w:before="0" w:after="240"/>
        <w:jc w:val="left"/>
        <w:rPr>
          <w:rFonts w:ascii="Times New Roman" w:hAnsi="Times New Roman"/>
          <w:sz w:val="20"/>
        </w:rPr>
      </w:pPr>
      <w:r>
        <w:rPr>
          <w:rFonts w:ascii="Times New Roman" w:hAnsi="Times New Roman"/>
          <w:color w:val="000000"/>
          <w:sz w:val="24"/>
        </w:rPr>
        <w:t>(i) Prior to the close of business on the Business Day immediately preceding May 15, 2031, a Holder may surrender all or any portion of its Notes for conversion at any time during the five Business Day period immediately after any 10 consecutive Trading Day period (the “</w:t>
      </w:r>
      <w:r>
        <w:rPr>
          <w:rFonts w:ascii="Times New Roman" w:hAnsi="Times New Roman"/>
          <w:b/>
          <w:color w:val="000000"/>
          <w:sz w:val="24"/>
        </w:rPr>
        <w:t>Measurement Period</w:t>
      </w:r>
      <w:r>
        <w:rPr>
          <w:rFonts w:ascii="Times New Roman" w:hAnsi="Times New Roman"/>
          <w:color w:val="000000"/>
          <w:sz w:val="20"/>
        </w:rPr>
        <w:t>”</w:t>
      </w:r>
      <w:r>
        <w:rPr>
          <w:rFonts w:ascii="Times New Roman" w:hAnsi="Times New Roman"/>
          <w:color w:val="000000"/>
          <w:sz w:val="24"/>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(or such lesser amount as may be outstanding) aggregate principal amount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Notes is greater than or equal to 98% of the product of the Last Reported Sale Price of the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If, prior to the close of business on the Business Day immediately preceding May 15, 2031, the Company elects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exceeding 10% of the Last Reported Sale Price of the Common Stock on the Trading Day preceding the date of announcement for such distribution,</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then, in either case, the Company shall notify all Holders of the Notes, the Trustee and the Conversion Agent (if other than the Trustee) in writing at least 38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in each case, even if the Notes are not otherwise convertible at such time;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Holders may not convert their Notes pursuant to this subsection (b)(ii) if they participate, at the same time and upon the same terms as holders of the Common Stock and solely as a result of holding the Notes, in any of the transactions described in clause (A) or (B) of this subsection (b)(ii) without having to convert their Notes as if they held a number of shares of Common Stock equal to the Conversion Rate,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the principal amount (expressed in thousands) of Notes held by such Holder.</w:t>
      </w:r>
    </w:p>
    <w:p>
      <w:pPr>
        <w:pStyle w:val="TextBody"/>
        <w:bidi w:val="0"/>
        <w:spacing w:before="0" w:after="240"/>
        <w:jc w:val="left"/>
        <w:rPr>
          <w:rFonts w:ascii="Times New Roman" w:hAnsi="Times New Roman"/>
          <w:sz w:val="20"/>
        </w:rPr>
      </w:pPr>
      <w:r>
        <w:rPr>
          <w:rFonts w:ascii="Times New Roman" w:hAnsi="Times New Roman"/>
          <w:color w:val="000000"/>
          <w:sz w:val="24"/>
        </w:rPr>
        <w:t>(iii) If (A) a transaction or event that constitutes a Fundamental Change or a Make-Whole Fundamental Change occurs prior to the close of business on the Business Day immediately preceding May 15, 2031, regardless of whether a Holder has the right to require the Company to repurchase the Notes pursuant to ‎Section 15.02, or (B)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 that occurs prior to the close of business on the Business Day immediately preceding May 15, 2031, (each such Fundamental Change, Make-Whole Fundamental Change or Share Exchange Event, a “</w:t>
      </w:r>
      <w:r>
        <w:rPr>
          <w:rFonts w:ascii="Times New Roman" w:hAnsi="Times New Roman"/>
          <w:b/>
          <w:color w:val="000000"/>
          <w:sz w:val="24"/>
        </w:rPr>
        <w:t>Corporate Event</w:t>
      </w:r>
      <w:r>
        <w:rPr>
          <w:rFonts w:ascii="Times New Roman" w:hAnsi="Times New Roman"/>
          <w:color w:val="000000"/>
          <w:sz w:val="20"/>
        </w:rPr>
        <w:t>”</w:t>
      </w:r>
      <w:r>
        <w:rPr>
          <w:rFonts w:ascii="Times New Roman" w:hAnsi="Times New Roman"/>
          <w:color w:val="000000"/>
          <w:sz w:val="24"/>
        </w:rPr>
        <w:t>), all or any portion of a Holder’s Notes may be surrendered for conversion at any time from and after the effective date of such Corporate Event to, and including, the earlier of (x) the close of business on the 35th Trading Day after the effective date of such Corporate Event (or, if the Company gives notice after the effective date of such Corporate Event, until the close of business on the 35th Trading Day after the date the Company gives notice of such Corporate Event) or, if such Corporate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two Business Days after the effective date of such Corporate Event.</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Prior to the close of business on the Business Day immediately preceding May 15, 2031, a Holder may surrender all or any portion of its Notes for conversion at any time during the 30 consecutive Trading Day period beginning on, and including, the 21st Trading Day of any calendar quarter commencing after the calendar quarter ending on September 30, 2026, if the Last Reported Sale Price of the Common Stock exceeds 130% of the Conversion Price for each of at least five Trading Days (whether or not consecutive) during the first 20 consecutive Trading Days of such calendar quarter.</w:t>
      </w:r>
    </w:p>
    <w:p>
      <w:pPr>
        <w:pStyle w:val="TextBody"/>
        <w:bidi w:val="0"/>
        <w:spacing w:before="0" w:after="240"/>
        <w:jc w:val="left"/>
        <w:rPr>
          <w:rFonts w:ascii="Times New Roman" w:hAnsi="Times New Roman"/>
          <w:sz w:val="20"/>
        </w:rPr>
      </w:pPr>
      <w:r>
        <w:rPr>
          <w:rFonts w:ascii="Times New Roman" w:hAnsi="Times New Roman"/>
          <w:color w:val="000000"/>
          <w:sz w:val="24"/>
        </w:rPr>
        <w:t>(v) If the Company calls any Notes for Optional Redemption pursuant to ‎Article 16, then a Holder may surrender all or any portion of its Called Notes for conversion at any time prior to the close of business on the second Scheduled Trading Day immediately preceding the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Scheduled Trading Day immediately preceding the date on which the Redemption Price has been paid or duly provided for. If the Company elects to redeem fewer than all of the outstanding Notes for redemption pursuant to ‎Article 16, and the Holder of any Note (or any owner of a beneficial interest in any Global Note) is reasonably not able to determine, prior to the close of business on the 34th Scheduled Trading Day immediately preceding the relevant Redemption Date, whether such Note or beneficial interest, as applicable, is to be redeemed pursuant to such Optional Redemption (and, as a result thereof, convertible on account of the related Notice of Redemption in accordance with the provisions of this Indenture), then such Holder or owner, as applicable, shall be entitled to convert such Note or beneficial interest, as applicable, at any time during the related Redemption Period, and each such conversion shall be deemed to be of a Note called for Optional Redemption, and such Note or beneficial interest shall be deemed called for Optional Redemption solely for the purposes of such conversion (“</w:t>
      </w:r>
      <w:r>
        <w:rPr>
          <w:rFonts w:ascii="Times New Roman" w:hAnsi="Times New Roman"/>
          <w:b/>
          <w:color w:val="000000"/>
          <w:sz w:val="24"/>
        </w:rPr>
        <w:t>Deemed Redemption</w:t>
      </w:r>
      <w:r>
        <w:rPr>
          <w:rFonts w:ascii="Times New Roman" w:hAnsi="Times New Roman"/>
          <w:color w:val="000000"/>
          <w:sz w:val="20"/>
        </w:rPr>
        <w:t>”</w:t>
      </w:r>
      <w:r>
        <w:rPr>
          <w:rFonts w:ascii="Times New Roman" w:hAnsi="Times New Roman"/>
          <w:color w:val="000000"/>
          <w:sz w:val="24"/>
        </w:rPr>
        <w:t>). If a Holder elects to convert Called Notes during the related Redemption Period, such conversion will be deemed “in connection with” the relevant Notice of Redemption pursuant to ‎Section 14.03(a), and the Company shall, under certain circumstances, increase the Conversion Rate for such Called Notes pursuant to ‎‎Section 14.03. Accordingly, if the Company elects to redeem fewer than all of the outstanding Notes pursuant to ‎‎Article 16, Holders of the Notes that are not Called Notes will not be entitled to convert such Notes pursuant to this ‎‎Section 14.01(b)(v) and will not be entitled to an increase in the Conversion Rate on account of the Notice of Redemption for conversions of such Notes during the related Redemption Period, even if such Notes are otherwise convertible pursuant to any other provision of this ‎‎Section 14.01(b).</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14.02</w:t>
      </w:r>
      <w:r>
        <w:rPr>
          <w:rFonts w:ascii="Times New Roman" w:hAnsi="Times New Roman"/>
          <w:i/>
          <w:color w:val="000000"/>
          <w:sz w:val="24"/>
        </w:rPr>
        <w:t>. Conversion Procedure; Settlement Upon Conversion.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Except as provided in ‎Section 14.03(b) and ‎Section 14.07(a), upon conversion of any Note, on the second Business Day immediately following the last Trading Day of the relevant Observation Period, the Company shall satisfy its Conversion Obligation by paying or delivering, as the case may be, to the converting Holder, in respect of each $1,000 principal amount of Notes being converted, a “</w:t>
      </w:r>
      <w:r>
        <w:rPr>
          <w:rFonts w:ascii="Times New Roman" w:hAnsi="Times New Roman"/>
          <w:b/>
          <w:color w:val="000000"/>
          <w:sz w:val="24"/>
        </w:rPr>
        <w:t>Settlement Amount</w:t>
      </w:r>
      <w:r>
        <w:rPr>
          <w:rFonts w:ascii="Times New Roman" w:hAnsi="Times New Roman"/>
          <w:color w:val="000000"/>
          <w:sz w:val="20"/>
        </w:rPr>
        <w:t xml:space="preserve">” </w:t>
      </w:r>
      <w:r>
        <w:rPr>
          <w:rFonts w:ascii="Times New Roman" w:hAnsi="Times New Roman"/>
          <w:color w:val="000000"/>
          <w:sz w:val="24"/>
        </w:rPr>
        <w:t>equal to the sum of the Daily Settlement Amounts for each of the 30 Trading Days during the relevant Observation Period for such Note, together with cash, if applicable, in lieu of delivering any fractional share of Common Stock in accordance with subsection ‎(j) of this ‎Section 14.02.</w:t>
      </w:r>
    </w:p>
    <w:p>
      <w:pPr>
        <w:pStyle w:val="TextBody"/>
        <w:bidi w:val="0"/>
        <w:spacing w:before="0" w:after="240"/>
        <w:jc w:val="left"/>
        <w:rPr>
          <w:rFonts w:ascii="Times New Roman" w:hAnsi="Times New Roman"/>
          <w:sz w:val="20"/>
        </w:rPr>
      </w:pPr>
      <w:r>
        <w:rPr>
          <w:rFonts w:ascii="Times New Roman" w:hAnsi="Times New Roman"/>
          <w:color w:val="000000"/>
          <w:sz w:val="24"/>
        </w:rPr>
        <w:t>(i) All conversions of Called Notes for which the relevant Conversion Date occurs during the related Redemption Period, and all conversions for which the relevant Conversion Date occurs on or after May 15, 2031, shall be settled using the same forms and amounts of consideration.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Except for any conversions of Called Notes for which the relevant Conversion Date occurs during the related Redemption Period, and any conversions for which the relevant Conversion Date occurs on or after May 15, 2031, the Company shall use the same forms and amounts of consideration for all conversions with the same Conversion Date, but the Company shall not have any obligation to use the same forms and amounts of consideration with respect to conversions with different Conversion Dates.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(iii) If, in respect of any Conversion Date (or any conversions of Called Notes for which the relevant Conversion Date occurs during the related Redemption Period or any conversions for which the relevant Conversion Date occurs on or after May 15, 2031), the Company elects to settle all or a portion of its Conversion Obligation in excess of the principal portion of the Notes being converted in cash in respect of such Conversion Date (or such period, as the case may be), the Company shall inform converting Holders, the Trustee and the Conversion Agent (if other than the Trustee) of such election (the “</w:t>
      </w:r>
      <w:r>
        <w:rPr>
          <w:rFonts w:ascii="Times New Roman" w:hAnsi="Times New Roman"/>
          <w:b/>
          <w:color w:val="000000"/>
          <w:sz w:val="24"/>
        </w:rPr>
        <w:t>Settlement Notice</w:t>
      </w:r>
      <w:r>
        <w:rPr>
          <w:rFonts w:ascii="Times New Roman" w:hAnsi="Times New Roman"/>
          <w:color w:val="000000"/>
          <w:sz w:val="20"/>
        </w:rPr>
        <w:t>”</w:t>
      </w:r>
      <w:r>
        <w:rPr>
          <w:rFonts w:ascii="Times New Roman" w:hAnsi="Times New Roman"/>
          <w:color w:val="000000"/>
          <w:sz w:val="24"/>
        </w:rPr>
        <w:t>) no later than the close of business on the Trading Day immediately following the relevant Conversion Date (or, in the case of (A) any conversions of Called Notes for which the relevant Conversion Date occurs during the related Redemption Period, in the related Notice of Redemption, or (B) any conversions of Notes for which the relevant Conversion Date occurs on or after May 15, 2031, no later than May 15, 2031) and the Company shall indicate in such Settlement Notice the percentage of the Conversion Obligation in excess of the principal portion of the Notes being converted that shall be paid in cash (the “</w:t>
      </w:r>
      <w:r>
        <w:rPr>
          <w:rFonts w:ascii="Times New Roman" w:hAnsi="Times New Roman"/>
          <w:b/>
          <w:color w:val="000000"/>
          <w:sz w:val="24"/>
        </w:rPr>
        <w:t>Cash Percentage</w:t>
      </w:r>
      <w:r>
        <w:rPr>
          <w:rFonts w:ascii="Times New Roman" w:hAnsi="Times New Roman"/>
          <w:color w:val="000000"/>
          <w:sz w:val="20"/>
        </w:rPr>
        <w:t>”</w:t>
      </w:r>
      <w:r>
        <w:rPr>
          <w:rFonts w:ascii="Times New Roman" w:hAnsi="Times New Roman"/>
          <w:color w:val="000000"/>
          <w:sz w:val="24"/>
        </w:rPr>
        <w:t>). If the Company does not timely notify Holders of such an election of a Cash Percentage prior to the deadline set forth in the immediately preceding sentence, the Company shall no longer have the right to elect a Cash Percentage with respect to any conversion on such Conversion Date or during such period, and the Company shall be deemed to have elected a Cash Percentage of 0% with respect to such conversion.</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Daily Settlement Amounts, the Daily Net Settlement Amounts (if applicable) and the Daily Conversion Values shall be determined by the Company promptly following the last day of the Observation Period. Promptly after such determination of the Daily Settlement Amounts, the Daily Net Settlement Amounts (if applicable) and the Daily Conversion Values and the amount of cash payable in lieu of delivering any fractional share of Common Stock, the Company shall notify the Trustee and the Conversion Agent (if other than the Trustee) of the Daily Settlement Amounts, the Daily Net Settlement Amounts (if applicable) and the Daily Conversion Values and the amount of cash payable in lieu of delivering any fractional shares of Common Stock. The Trustee and the Conversion Agent (if other than the Trustee) shall have no responsibility for any such determination.</w:t>
      </w:r>
    </w:p>
    <w:p>
      <w:pPr>
        <w:pStyle w:val="TextBody"/>
        <w:bidi w:val="0"/>
        <w:spacing w:before="0" w:after="240"/>
        <w:jc w:val="left"/>
        <w:rPr>
          <w:rFonts w:ascii="Times New Roman" w:hAnsi="Times New Roman"/>
          <w:sz w:val="20"/>
        </w:rPr>
      </w:pPr>
      <w:r>
        <w:rPr>
          <w:rFonts w:ascii="Times New Roman" w:hAnsi="Times New Roman"/>
          <w:color w:val="000000"/>
          <w:sz w:val="24"/>
        </w:rPr>
        <w:t>(b) Subject to ‎Section 14.02(e), before any Holder of a Note shall be entitled to convert a Note as set forth above, such Holder shall (i) in the case of a Global Note, comply with the applicable procedures of the Depositary in effect at that time and, if required, pay funds equal to any Special Interest payable on the next Special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hAnsi="Times New Roman"/>
          <w:b/>
          <w:color w:val="000000"/>
          <w:sz w:val="24"/>
        </w:rPr>
        <w:t>Notice of Conversion</w:t>
      </w:r>
      <w:r>
        <w:rPr>
          <w:rFonts w:ascii="Times New Roman" w:hAnsi="Times New Roman"/>
          <w:color w:val="000000"/>
          <w:sz w:val="20"/>
        </w:rPr>
        <w:t>”</w:t>
      </w:r>
      <w:r>
        <w:rPr>
          <w:rFonts w:ascii="Times New Roman" w:hAnsi="Times New Roman"/>
          <w:color w:val="000000"/>
          <w:sz w:val="24"/>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Special Interest payable on the next Special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240"/>
        <w:jc w:val="left"/>
        <w:rPr>
          <w:rFonts w:ascii="Times New Roman" w:hAnsi="Times New Roman"/>
          <w:sz w:val="20"/>
        </w:rPr>
      </w:pPr>
      <w:r>
        <w:rPr>
          <w:rFonts w:ascii="Times New Roman" w:hAnsi="Times New Roman"/>
          <w:color w:val="000000"/>
          <w:sz w:val="24"/>
        </w:rPr>
        <w:t>(c) A Note shall be deemed to have been converted immediately prior to the close of business on the date (the “</w:t>
      </w:r>
      <w:r>
        <w:rPr>
          <w:rFonts w:ascii="Times New Roman" w:hAnsi="Times New Roman"/>
          <w:b/>
          <w:color w:val="000000"/>
          <w:sz w:val="24"/>
        </w:rPr>
        <w:t>Conversion Date</w:t>
      </w:r>
      <w:r>
        <w:rPr>
          <w:rFonts w:ascii="Times New Roman" w:hAnsi="Times New Roman"/>
          <w:color w:val="000000"/>
          <w:sz w:val="20"/>
        </w:rPr>
        <w:t>”</w:t>
      </w:r>
      <w:r>
        <w:rPr>
          <w:rFonts w:ascii="Times New Roman" w:hAnsi="Times New Roman"/>
          <w:color w:val="000000"/>
          <w:sz w:val="24"/>
        </w:rPr>
        <w:t>) that the Holder has complied with the requirements set forth in subsection ‎(b) above. If any shares of Common Stock are due to a converting Holder, the Company shall issue or cause to be issued, and deliver (if applicable) to the Conversion Agent or to such Holder, or such Holder’s nominee or nominees, the full number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shares of Common Stock to which such Holder shall be entitled, in book-entry format through the Depositary, in satisfaction of the Company’s Conversion Obligation.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240"/>
        <w:jc w:val="left"/>
        <w:rPr>
          <w:rFonts w:ascii="Times New Roman" w:hAnsi="Times New Roman"/>
          <w:sz w:val="20"/>
        </w:rPr>
      </w:pPr>
      <w:r>
        <w:rPr>
          <w:rFonts w:ascii="Times New Roman" w:hAnsi="Times New Roman"/>
          <w:color w:val="000000"/>
          <w:sz w:val="24"/>
        </w:rPr>
        <w:t>(e) 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Except as provided in ‎Section 14.04, no adjustment shall be made for dividends on any shares of Common Stock issued upon the conversion of any Note as provided in this Article 14.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240"/>
        <w:jc w:val="left"/>
        <w:rPr>
          <w:rFonts w:ascii="Times New Roman" w:hAnsi="Times New Roman"/>
          <w:sz w:val="20"/>
        </w:rPr>
      </w:pPr>
      <w:r>
        <w:rPr>
          <w:rFonts w:ascii="Times New Roman" w:hAnsi="Times New Roman"/>
          <w:color w:val="000000"/>
          <w:sz w:val="24"/>
        </w:rPr>
        <w:t>(h) 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any accrued and unpaid interest shall be deemed to be paid first out of the cash paid upon such conversion. Notwithstanding the foregoing, if Notes are converted after the close of business on a Special Interest Record Date for the payment of Special Interest but prior to the open of business on the corresponding Special Interest Payment Date, Holders of such Notes as of the close of business on such Special Interest Record Date will receive the full amount of any Special Interest payable on such Notes on such Special Interest Payment Date notwithstanding the conversion. Notes surrendered for conversion during the period from the close of business on any Special Interest Record Date to the open of business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immediately following Special Interest Payment Date must be accompanied by funds equal to the amount of any Special Interest payable on the Notes so converted;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such payment shall be required (1) for conversions following the close of business on August 1, 2031, (if and to the extent any Special Interest is payable on the Maturity Date); (2) for conversions of Called Notes if the Company has specified a Redemption Date that is after a Special Interest Record Date and on or prior to the second Business Day immediately following the corresponding Special Interest Payment Date; (3) if the Company has specified a Fundamental Change Repurchase Date that is after a Special Interest Record Date and on or prior to the Business Day immediately following the corresponding Special Interest Payment Date; or (4) to the extent of any overdue interest, if any overdue interest exists at the time of conversion with respect to such Note. Therefore, for the avoidance of doubt, all Holders of record on August 1, 2031 (if and to the extent Special Interest is payable on the Maturity Date) shall receive the full Special Interest payment due on the Maturity Date in cash regardless of whether their Notes have been converted following August 1, 2031.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Person in whose name any shares of Common Stock shall be issuable upon conversion shall be treated as a stockholder of record of such shares of Common Stock as of the close of business on the last Trading Day of the relevant Observation Period. Upon a conversion of Notes, such Person shall no longer be a Holder of such Notes surrendered for conversion.</w:t>
      </w:r>
    </w:p>
    <w:p>
      <w:pPr>
        <w:pStyle w:val="TextBody"/>
        <w:bidi w:val="0"/>
        <w:spacing w:before="0" w:after="240"/>
        <w:jc w:val="left"/>
        <w:rPr>
          <w:rFonts w:ascii="Times New Roman" w:hAnsi="Times New Roman"/>
          <w:sz w:val="20"/>
        </w:rPr>
      </w:pPr>
      <w:r>
        <w:rPr>
          <w:rFonts w:ascii="Times New Roman" w:hAnsi="Times New Roman"/>
          <w:color w:val="000000"/>
          <w:sz w:val="24"/>
        </w:rPr>
        <w:t>(j) 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if any, that shall be issued upon conversion thereof shall be computed on the basis of the aggregate Daily Settlement Amounts for the relevant Observation Period and any fractional shares remaining after such computation shall be paid in cash.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14.03</w:t>
      </w:r>
      <w:r>
        <w:rPr>
          <w:rFonts w:ascii="Times New Roman" w:hAnsi="Times New Roman"/>
          <w:i/>
          <w:color w:val="000000"/>
          <w:sz w:val="24"/>
        </w:rPr>
        <w:t>. Increased Conversion Rate Applicable to Certain Notes Surrendered in Connection with Make-Whole Fundamental Changes or a Notice of Redemption.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w:t>
      </w:r>
      <w:r>
        <w:rPr>
          <w:rFonts w:ascii="Times New Roman" w:hAnsi="Times New Roman"/>
          <w:b/>
          <w:color w:val="000000"/>
          <w:sz w:val="24"/>
        </w:rPr>
        <w:t>Additional Shares</w:t>
      </w:r>
      <w:r>
        <w:rPr>
          <w:rFonts w:ascii="Times New Roman" w:hAnsi="Times New Roman"/>
          <w:color w:val="000000"/>
          <w:sz w:val="20"/>
        </w:rPr>
        <w:t>”</w:t>
      </w:r>
      <w:r>
        <w:rPr>
          <w:rFonts w:ascii="Times New Roman" w:hAnsi="Times New Roman"/>
          <w:color w:val="000000"/>
          <w:sz w:val="24"/>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hAnsi="Times New Roman"/>
          <w:i/>
          <w:color w:val="000000"/>
          <w:sz w:val="24"/>
        </w:rPr>
        <w:t>proviso</w:t>
      </w:r>
      <w:r>
        <w:rPr>
          <w:rFonts w:ascii="Times New Roman" w:hAnsi="Times New Roman"/>
          <w:color w:val="000000"/>
          <w:sz w:val="20"/>
        </w:rPr>
        <w:t xml:space="preserve"> </w:t>
      </w:r>
      <w:r>
        <w:rPr>
          <w:rFonts w:ascii="Times New Roman" w:hAnsi="Times New Roman"/>
          <w:color w:val="000000"/>
          <w:sz w:val="24"/>
        </w:rPr>
        <w:t>in clause (b) of the definition thereof, the 35th Trading Day immediately following the Effective Date of such Make-Whole Fundamental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Change) (such period, the “</w:t>
      </w:r>
      <w:r>
        <w:rPr>
          <w:rFonts w:ascii="Times New Roman" w:hAnsi="Times New Roman"/>
          <w:b/>
          <w:color w:val="000000"/>
          <w:sz w:val="24"/>
        </w:rPr>
        <w:t>Make-Whole Fundamental Change Period</w:t>
      </w:r>
      <w:r>
        <w:rPr>
          <w:rFonts w:ascii="Times New Roman" w:hAnsi="Times New Roman"/>
          <w:color w:val="000000"/>
          <w:sz w:val="20"/>
        </w:rPr>
        <w:t>”</w:t>
      </w:r>
      <w:r>
        <w:rPr>
          <w:rFonts w:ascii="Times New Roman" w:hAnsi="Times New Roman"/>
          <w:color w:val="000000"/>
          <w:sz w:val="24"/>
        </w:rPr>
        <w:t>).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pursuant to ‎‎Article 16, Holders of the Notes that are not Called Notes will not be entitled to convert such Notes pursuant to‎ ‎Section 14.01(b)(v) and will not be entitled to an increase in the Conversion Rate for conversions of such Notes (on account of the Notice of Redemption) during the applicable Redemption Period, even if such Notes are otherwise convertible pursuant to ‎Section 14.01(b)(i)-‎(iv).</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Upon surrender of Notes for conversion in connection with a Make-Whole Fundamental Change or a Notice of Redemption, the Company shall pay or deliver, as the case may be, the Settlement Amount due in respect of such Notes in accordance with ‎Section 14.02 based on the Conversion Rate as increased to reflect the Additional Shares in accordance with this ‎Section 14.03;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w:t>
      </w:r>
    </w:p>
    <w:p>
      <w:pPr>
        <w:pStyle w:val="TextBody"/>
        <w:bidi w:val="0"/>
        <w:spacing w:before="0" w:after="240"/>
        <w:jc w:val="left"/>
        <w:rPr>
          <w:rFonts w:ascii="Times New Roman" w:hAnsi="Times New Roman"/>
          <w:sz w:val="20"/>
        </w:rPr>
      </w:pPr>
      <w:r>
        <w:rPr>
          <w:rFonts w:ascii="Times New Roman" w:hAnsi="Times New Roman"/>
          <w:color w:val="000000"/>
          <w:sz w:val="24"/>
        </w:rPr>
        <w:t>(c) 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and the price (the “</w:t>
      </w:r>
      <w:r>
        <w:rPr>
          <w:rFonts w:ascii="Times New Roman" w:hAnsi="Times New Roman"/>
          <w:b/>
          <w:color w:val="000000"/>
          <w:sz w:val="24"/>
        </w:rPr>
        <w:t>Stock Price</w:t>
      </w:r>
      <w:r>
        <w:rPr>
          <w:rFonts w:ascii="Times New Roman" w:hAnsi="Times New Roman"/>
          <w:color w:val="000000"/>
          <w:sz w:val="20"/>
        </w:rPr>
        <w:t>”</w:t>
      </w:r>
      <w:r>
        <w:rPr>
          <w:rFonts w:ascii="Times New Roman" w:hAnsi="Times New Roman"/>
          <w:color w:val="000000"/>
          <w:sz w:val="24"/>
        </w:rPr>
        <w:t>) paid (or deemed to be paid) per share of the Common Stock in the Make-Whole Fundamental Change or determined with respect to the Notice of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Make-Whole Fundamental Change, as applicable, and the later event shall be deemed not to have occurred for purposes of such conversion for purposes of this ‎Section 14.03.</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pStyle w:val="TextBody"/>
        <w:bidi w:val="0"/>
        <w:jc w:val="left"/>
        <w:rPr>
          <w:rFonts w:ascii="Times New Roman" w:hAnsi="Times New Roman"/>
          <w:color w:val="000000"/>
          <w:sz w:val="24"/>
        </w:rPr>
      </w:pPr>
      <w:r>
        <w:rPr>
          <w:rFonts w:ascii="Times New Roman" w:hAnsi="Times New Roman"/>
          <w:color w:val="000000"/>
          <w:sz w:val="24"/>
        </w:rPr>
        <w:t>(e) The following table sets forth the number of Additional Shares by which the Conversion Rate shall be increased per $1,000 principal amount of Notes pursuant to this ‎Section 14.03 for each Stock Price and Effective Date set forth below:</w:t>
      </w:r>
    </w:p>
    <w:p>
      <w:pPr>
        <w:pStyle w:val="TextBody"/>
        <w:bidi w:val="0"/>
        <w:jc w:val="left"/>
        <w:rPr/>
      </w:pPr>
      <w:r>
        <w:rPr/>
        <w:t> </w:t>
      </w:r>
    </w:p>
    <w:tbl>
      <w:tblPr>
        <w:tblW w:w="9294" w:type="dxa"/>
        <w:jc w:val="left"/>
        <w:tblInd w:w="0" w:type="dxa"/>
        <w:tblLayout w:type="fixed"/>
        <w:tblCellMar>
          <w:top w:w="28" w:type="dxa"/>
          <w:left w:w="28" w:type="dxa"/>
          <w:bottom w:w="28" w:type="dxa"/>
          <w:right w:w="28" w:type="dxa"/>
        </w:tblCellMar>
      </w:tblPr>
      <w:tblGrid>
        <w:gridCol w:w="1156"/>
        <w:gridCol w:w="436"/>
        <w:gridCol w:w="496"/>
        <w:gridCol w:w="496"/>
        <w:gridCol w:w="496"/>
        <w:gridCol w:w="496"/>
        <w:gridCol w:w="526"/>
        <w:gridCol w:w="496"/>
        <w:gridCol w:w="496"/>
        <w:gridCol w:w="496"/>
        <w:gridCol w:w="496"/>
        <w:gridCol w:w="496"/>
        <w:gridCol w:w="496"/>
        <w:gridCol w:w="496"/>
        <w:gridCol w:w="496"/>
        <w:gridCol w:w="496"/>
        <w:gridCol w:w="728"/>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496" w:type="dxa"/>
            <w:tcBorders/>
            <w:shd w:fill="FFFFFF" w:val="clear"/>
            <w:vAlign w:val="center"/>
          </w:tcPr>
          <w:p>
            <w:pPr>
              <w:pStyle w:val="TableContents"/>
              <w:bidi w:val="0"/>
              <w:spacing w:before="0" w:after="283"/>
              <w:jc w:val="left"/>
              <w:rPr>
                <w:sz w:val="4"/>
                <w:szCs w:val="4"/>
              </w:rPr>
            </w:pPr>
            <w:r>
              <w:rPr>
                <w:sz w:val="4"/>
                <w:szCs w:val="4"/>
              </w:rPr>
            </w:r>
          </w:p>
        </w:tc>
        <w:tc>
          <w:tcPr>
            <w:tcW w:w="728"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top w:val="single" w:sz="18" w:space="0" w:color="000000"/>
              <w:bottom w:val="single" w:sz="8" w:space="0" w:color="000000"/>
            </w:tcBorders>
            <w:tcMar>
              <w:left w:w="0" w:type="dxa"/>
              <w:right w:w="0" w:type="dxa"/>
            </w:tcMar>
            <w:vAlign w:val="center"/>
          </w:tcPr>
          <w:p>
            <w:pPr>
              <w:pStyle w:val="TableContents"/>
              <w:bidi w:val="0"/>
              <w:spacing w:before="60" w:after="283"/>
              <w:jc w:val="both"/>
              <w:rPr/>
            </w:pPr>
            <w:r>
              <w:rPr/>
              <w:t> </w:t>
            </w:r>
          </w:p>
        </w:tc>
        <w:tc>
          <w:tcPr>
            <w:tcW w:w="8138" w:type="dxa"/>
            <w:gridSpan w:val="16"/>
            <w:tcBorders>
              <w:top w:val="single" w:sz="18" w:space="0" w:color="000000"/>
              <w:bottom w:val="single" w:sz="8"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Stock Price</w:t>
            </w:r>
          </w:p>
        </w:tc>
      </w:tr>
      <w:tr>
        <w:trPr/>
        <w:tc>
          <w:tcPr>
            <w:tcW w:w="1156"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16"/>
              </w:rPr>
            </w:pPr>
            <w:r>
              <w:rPr>
                <w:rFonts w:ascii="Times New Roman" w:hAnsi="Times New Roman"/>
                <w:b/>
                <w:color w:val="000000"/>
                <w:sz w:val="16"/>
              </w:rPr>
              <w:t>Effective Date</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$97.19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$110.00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$120.00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$130.00</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$145.79</w:t>
            </w:r>
            <w:r>
              <w:rPr>
                <w:rFonts w:ascii="Times New Roman" w:hAnsi="Times New Roman"/>
                <w:color w:val="000000"/>
                <w:sz w:val="12"/>
              </w:rPr>
              <w:t xml:space="preserve">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$150.00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$170.00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$189.52</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$250.00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$300.00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$400.00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$500.00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$700.00</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b/>
                <w:color w:val="000000"/>
                <w:sz w:val="12"/>
              </w:rPr>
            </w:pPr>
            <w:r>
              <w:rPr>
                <w:rFonts w:ascii="Times New Roman" w:hAnsi="Times New Roman"/>
                <w:b/>
                <w:color w:val="000000"/>
                <w:sz w:val="12"/>
              </w:rPr>
              <w:t>$875.00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18, 2026</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3.2727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2.7905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2.4031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2.0870</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1.6945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1.6071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1.2652</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0.9120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0.5604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0.3614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0.1620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0.0746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0.0119</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color w:val="000000"/>
                <w:sz w:val="12"/>
              </w:rPr>
            </w:pPr>
            <w:r>
              <w:rPr>
                <w:rFonts w:ascii="Times New Roman" w:hAnsi="Times New Roman"/>
                <w:color w:val="000000"/>
                <w:sz w:val="12"/>
              </w:rPr>
              <w:t>0.0000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15, 2027</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3.2727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2.7905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2.4031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2.0812</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1.6698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1.5787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1.2245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0.9719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0.8635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0.5119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0.3185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0.1323</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0.0554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0.0056</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color w:val="000000"/>
                <w:sz w:val="12"/>
              </w:rPr>
            </w:pPr>
            <w:r>
              <w:rPr>
                <w:rFonts w:ascii="Times New Roman" w:hAnsi="Times New Roman"/>
                <w:color w:val="000000"/>
                <w:sz w:val="12"/>
              </w:rPr>
              <w:t>0.0000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15, 2028</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3.2727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2.7905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2.3837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2.0310</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1.6000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1.5053</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1.1408</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0.8853</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0.7771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0.4350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0.2554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0.0934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0.0330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0.0001</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color w:val="000000"/>
                <w:sz w:val="12"/>
              </w:rPr>
            </w:pPr>
            <w:r>
              <w:rPr>
                <w:rFonts w:ascii="Times New Roman" w:hAnsi="Times New Roman"/>
                <w:color w:val="000000"/>
                <w:sz w:val="12"/>
              </w:rPr>
              <w:t>0.0000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15, 2029</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3.2727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2.7444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2.2747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1.9001</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1.4496 </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1.3520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0.9829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0.7321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0.3164</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0.1663</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0.0469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0.0108</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color w:val="000000"/>
                <w:sz w:val="12"/>
              </w:rPr>
            </w:pPr>
            <w:r>
              <w:rPr>
                <w:rFonts w:ascii="Times New Roman" w:hAnsi="Times New Roman"/>
                <w:color w:val="000000"/>
                <w:sz w:val="12"/>
              </w:rPr>
              <w:t>0.0000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15, 2030</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3.2189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2.5458</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2.0241</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1.6170</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1.1445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1.0456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0.6873</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0.4630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0.3766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0.1457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0.0576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0.0068</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728"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color w:val="000000"/>
                <w:sz w:val="12"/>
              </w:rPr>
            </w:pPr>
            <w:r>
              <w:rPr>
                <w:rFonts w:ascii="Times New Roman" w:hAnsi="Times New Roman"/>
                <w:color w:val="000000"/>
                <w:sz w:val="12"/>
              </w:rPr>
              <w:t>0.0000</w:t>
            </w:r>
          </w:p>
        </w:tc>
      </w:tr>
      <w:tr>
        <w:trPr/>
        <w:tc>
          <w:tcPr>
            <w:tcW w:w="1156" w:type="dxa"/>
            <w:tcBorders/>
            <w:tcMar>
              <w:top w:w="0" w:type="dxa"/>
              <w:left w:w="0" w:type="dxa"/>
              <w:bottom w:w="0" w:type="dxa"/>
              <w:right w:w="0" w:type="dxa"/>
            </w:tcMar>
            <w:vAlign w:val="center"/>
          </w:tcPr>
          <w:p>
            <w:pPr>
              <w:pStyle w:val="TableContents"/>
              <w:bidi w:val="0"/>
              <w:spacing w:before="0" w:after="283"/>
              <w:ind w:left="0" w:right="0" w:firstLine="187"/>
              <w:jc w:val="left"/>
              <w:rPr>
                <w:rFonts w:ascii="Times New Roman" w:hAnsi="Times New Roman"/>
                <w:color w:val="000000"/>
                <w:sz w:val="12"/>
              </w:rPr>
            </w:pPr>
            <w:r>
              <w:rPr>
                <w:rFonts w:ascii="Times New Roman" w:hAnsi="Times New Roman"/>
                <w:color w:val="000000"/>
                <w:sz w:val="12"/>
              </w:rPr>
              <w:t>August 15, 2031</w:t>
            </w:r>
          </w:p>
        </w:tc>
        <w:tc>
          <w:tcPr>
            <w:tcW w:w="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3.4297</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3.1406</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2.2315</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1.4739</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0.8329</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0.0000</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exact Stock Price and Effective Date may not be set forth in the table above, in which case: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w:t>
      </w:r>
    </w:p>
    <w:p>
      <w:pPr>
        <w:pStyle w:val="TextBody"/>
        <w:bidi w:val="0"/>
        <w:spacing w:before="0" w:after="240"/>
        <w:jc w:val="left"/>
        <w:rPr>
          <w:rFonts w:ascii="Times New Roman" w:hAnsi="Times New Roman"/>
          <w:sz w:val="20"/>
        </w:rPr>
      </w:pPr>
      <w:r>
        <w:rPr>
          <w:rFonts w:ascii="Times New Roman" w:hAnsi="Times New Roman"/>
          <w:color w:val="000000"/>
          <w:sz w:val="24"/>
        </w:rPr>
        <w:t>(ii) if the Stock Price is greater than $875.00 per share (subject to adjustment in the same manner as the Stock Prices set forth in the column headings of the table above pursuant to subsection (d) of this Section 14.03), no Additional Shares shall be added to the Conversion Rate; and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if the Stock Price is less than $97.19 per share (subject to adjustment in the same manner as the Stock Prices set forth in the column headings of the table above pursuant to subsection (d) of this Section 14.03), no Additional Shares shall be added to the Conversion Rate.</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the foregoing, in no event shall the Conversion Rate per $1,000 principal amount of Notes exceed 10.2891 shares of Common Stock, subject to adjustment in the same manner as the Conversion Rate pursuant to ‎Section 14.04.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Nothing in this ‎Section 14.03 shall prevent an adjustment to the Conversion Rate that would otherwise be required pursuant to ‎Section 14.04 in respect of a Make-Whole Fundamental Change.</w:t>
      </w:r>
    </w:p>
    <w:p>
      <w:pPr>
        <w:pStyle w:val="TextBody"/>
        <w:bidi w:val="0"/>
        <w:spacing w:before="0" w:after="240"/>
        <w:jc w:val="left"/>
        <w:rPr>
          <w:rFonts w:ascii="Times New Roman" w:hAnsi="Times New Roman"/>
          <w:sz w:val="20"/>
        </w:rPr>
      </w:pPr>
      <w:r>
        <w:rPr>
          <w:rFonts w:ascii="Times New Roman" w:hAnsi="Times New Roman"/>
          <w:color w:val="000000"/>
          <w:sz w:val="24"/>
        </w:rPr>
        <w:t>Section 14.04</w:t>
      </w:r>
      <w:r>
        <w:rPr>
          <w:rFonts w:ascii="Times New Roman" w:hAnsi="Times New Roman"/>
          <w:i/>
          <w:color w:val="000000"/>
          <w:sz w:val="24"/>
        </w:rPr>
        <w:t>. Adjustment of Conversion Rate.</w:t>
      </w:r>
      <w:r>
        <w:rPr>
          <w:rFonts w:ascii="Times New Roman" w:hAnsi="Times New Roman"/>
          <w:color w:val="000000"/>
          <w:sz w:val="20"/>
        </w:rPr>
        <w:t xml:space="preserve"> </w:t>
      </w:r>
      <w:r>
        <w:rPr>
          <w:rFonts w:ascii="Times New Roman" w:hAnsi="Times New Roman"/>
          <w:color w:val="000000"/>
          <w:sz w:val="24"/>
        </w:rPr>
        <w:t xml:space="preserve">The Conversion Rate shall be adjusted from time to time by the Company if any of the following events occur,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the principal amount (expressed in thousands) of Notes held by such Holder.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the Company exclusively issues shares of Common Stock as a dividend or distribution on shares of the Common Stock, or if the Company effects a share split or share combination, the Conversion Rate shall be adjusted based on the following formula:</w:t>
      </w:r>
    </w:p>
    <w:p>
      <w:pPr>
        <w:pStyle w:val="TextBody"/>
        <w:bidi w:val="0"/>
        <w:spacing w:before="0" w:after="240"/>
        <w:jc w:val="center"/>
        <w:rPr/>
      </w:pPr>
      <w:r>
        <w:rPr/>
        <w:drawing>
          <wp:inline distT="0" distB="0" distL="0" distR="0">
            <wp:extent cx="11144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4425" cy="428625"/>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241"/>
        <w:gridCol w:w="9423"/>
      </w:tblGrid>
      <w:tr>
        <w:trPr/>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3"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prior to the open of business on the Ex-Dividend Date of such dividend or distribution, or immediately prior to the open of business on the Effective Date of such share split or share combination, as applicable;</w:t>
            </w:r>
          </w:p>
        </w:tc>
      </w:tr>
      <w:tr>
        <w:trPr/>
        <w:tc>
          <w:tcPr>
            <w:tcW w:w="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after the open of business on such Ex-Dividend Date or Effective Date;</w:t>
            </w:r>
          </w:p>
        </w:tc>
      </w:tr>
      <w:tr>
        <w:trPr/>
        <w:tc>
          <w:tcPr>
            <w:tcW w:w="5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OS</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number of shares of Common Stock outstanding immediately prior to the open of business on such Ex-Dividend Date or Effective Date (before giving effect to any such dividend, distribution, split or combination); and</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OS'</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number of shares of Common Stock outstanding immediately after giving effect to such dividend, distribution, share split or share combination.</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pStyle w:val="TextBody"/>
        <w:bidi w:val="0"/>
        <w:spacing w:before="0" w:after="200"/>
        <w:jc w:val="center"/>
        <w:rPr/>
      </w:pPr>
      <w:r>
        <w:rPr/>
        <w:drawing>
          <wp:inline distT="0" distB="0" distL="0" distR="0">
            <wp:extent cx="13430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43025" cy="428625"/>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241"/>
        <w:gridCol w:w="9423"/>
      </w:tblGrid>
      <w:tr>
        <w:trPr/>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3"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prior to the open of business on the Ex-Dividend Date for such distribution;</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after the open of business on such Ex-Dividend Date;</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OS</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number of shares of Common Stock outstanding immediately prior to the open of business on such Ex-Dividend Date;</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X</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total number of shares of Common Stock issuable pursuant to such rights, options or warrants; and</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the number of shares of Common Stock equal to the aggregate price payable to exercise such rights, options or warrants, </w:t>
            </w:r>
            <w:r>
              <w:rPr>
                <w:rFonts w:ascii="Times New Roman" w:hAnsi="Times New Roman"/>
                <w:i/>
                <w:color w:val="000000"/>
                <w:sz w:val="24"/>
              </w:rPr>
              <w:t>divided by</w:t>
            </w:r>
            <w:r>
              <w:rPr>
                <w:rFonts w:ascii="Times New Roman" w:hAnsi="Times New Roman"/>
                <w:color w:val="000000"/>
                <w:sz w:val="24"/>
              </w:rPr>
              <w:t> the average of the Last Reported Sale Prices of the Common Stock over the 10 consecutive Trading Day period ending on, and including, the Trading Day immediately preceding the date of announcement of the distribution of such rights, options or warrants.</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For purposes of this ‎Section 14.04(b) and for the purpose of ‎Section 14.01(b)(ii)(A), in determining whether any rights, options or warrants entitle the holders of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pursuant to ‎Section 14.04(a) or ‎Section 14.04(b), (ii) except as otherwise provided in Section 14.11, rights issued pursuant to any stockholder rights plan of the Company then in effect, (iii) distributions of Reference Property issued in exchange for, or upon conversion of, Common Stock in a Share Exchange Event, (iv) dividends or distributions paid exclusively in cash as to which the provisions set forth in ‎Section 14.04(d) shall apply,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hAnsi="Times New Roman"/>
          <w:b/>
          <w:color w:val="000000"/>
          <w:sz w:val="24"/>
        </w:rPr>
        <w:t>Distributed Property</w:t>
      </w:r>
      <w:r>
        <w:rPr>
          <w:rFonts w:ascii="Times New Roman" w:hAnsi="Times New Roman"/>
          <w:color w:val="000000"/>
          <w:sz w:val="20"/>
        </w:rPr>
        <w:t>”</w:t>
      </w:r>
      <w:r>
        <w:rPr>
          <w:rFonts w:ascii="Times New Roman" w:hAnsi="Times New Roman"/>
          <w:color w:val="000000"/>
          <w:sz w:val="24"/>
        </w:rPr>
        <w:t>), then the Conversion Rate shall be increased based on the following formula:</w:t>
      </w:r>
    </w:p>
    <w:p>
      <w:pPr>
        <w:pStyle w:val="TextBody"/>
        <w:bidi w:val="0"/>
        <w:spacing w:before="0" w:after="240"/>
        <w:jc w:val="center"/>
        <w:rPr/>
      </w:pPr>
      <w:r>
        <w:rPr/>
        <w:drawing>
          <wp:inline distT="0" distB="0" distL="0" distR="0">
            <wp:extent cx="1524000" cy="428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428625"/>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241"/>
        <w:gridCol w:w="9318"/>
      </w:tblGrid>
      <w:tr>
        <w:trPr/>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8"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318"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prior to the open of business on the Ex-Dividend Date for such distribution;</w:t>
            </w:r>
          </w:p>
        </w:tc>
      </w:tr>
      <w:tr>
        <w:trPr/>
        <w:tc>
          <w:tcPr>
            <w:tcW w:w="6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318"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after the open of business on such Ex-Dividend Date;</w:t>
            </w:r>
          </w:p>
        </w:tc>
      </w:tr>
      <w:tr>
        <w:trPr/>
        <w:tc>
          <w:tcPr>
            <w:tcW w:w="6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SP</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318"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average of the Last Reported Sale Prices of the Common Stock over the 10 consecutive Trading Day period ending on, and including, the Trading Day immediately preceding the Ex-Dividend Date for such distribution; and</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FMV</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3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fair market value (as determined by the Company in good faith) of the Distributed Property with respect to each outstanding share of the Common Stock on the Ex-Dividend Date for such distribution.</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 w:hAnsi="Times New Roman"/>
          <w:color w:val="000000"/>
          <w:sz w:val="16"/>
        </w:rPr>
        <w:t>0</w:t>
      </w:r>
      <w:r>
        <w:rPr>
          <w:rFonts w:ascii="Times New Roman" w:hAnsi="Times New Roman"/>
          <w:color w:val="000000"/>
          <w:sz w:val="20"/>
        </w:rPr>
        <w:t xml:space="preserve">” </w:t>
      </w:r>
      <w:r>
        <w:rPr>
          <w:rFonts w:ascii="Times New Roman" w:hAnsi="Times New Roman"/>
          <w:color w:val="000000"/>
          <w:sz w:val="24"/>
        </w:rPr>
        <w:t>(as defined above), in lieu of the foregoing increase, each Holder of a Note shall receive, in respect of each $1,000 principal amount thereof, at the same time and upon the same terms as holders of the Common Stock receive the Distributed Property, without having to convert its Notes, the amount and kind of Distributed Property such Holder would have received if such Holder owned a number of shares of Common Stock equal to the Conversion Rate in effect on the Ex-Dividend Date for the distribution.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hAnsi="Times New Roman"/>
          <w:b/>
          <w:color w:val="000000"/>
          <w:sz w:val="24"/>
        </w:rPr>
        <w:t>Spin-Off</w:t>
      </w:r>
      <w:r>
        <w:rPr>
          <w:rFonts w:ascii="Times New Roman" w:hAnsi="Times New Roman"/>
          <w:color w:val="000000"/>
          <w:sz w:val="20"/>
        </w:rPr>
        <w:t>”</w:t>
      </w:r>
      <w:r>
        <w:rPr>
          <w:rFonts w:ascii="Times New Roman" w:hAnsi="Times New Roman"/>
          <w:color w:val="000000"/>
          <w:sz w:val="24"/>
        </w:rPr>
        <w:t>), the Conversion Rate shall be increased based on the following formula:</w:t>
      </w:r>
    </w:p>
    <w:p>
      <w:pPr>
        <w:pStyle w:val="TextBody"/>
        <w:bidi w:val="0"/>
        <w:spacing w:before="0" w:after="240"/>
        <w:jc w:val="center"/>
        <w:rPr/>
      </w:pPr>
      <w:r>
        <w:rPr/>
        <w:drawing>
          <wp:inline distT="0" distB="0" distL="0" distR="0">
            <wp:extent cx="1628775" cy="428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28775" cy="428625"/>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241"/>
        <w:gridCol w:w="9228"/>
      </w:tblGrid>
      <w:tr>
        <w:trPr/>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22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prior to the end of the Valuation Period;</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22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after the end of the Valuation Period;</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FMV</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22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rFonts w:ascii="Times New Roman" w:hAnsi="Times New Roman"/>
                <w:b/>
                <w:color w:val="000000"/>
                <w:sz w:val="24"/>
              </w:rPr>
              <w:t>Valuation Period</w:t>
            </w:r>
            <w:r>
              <w:rPr>
                <w:rFonts w:ascii="Times New Roman" w:hAnsi="Times New Roman"/>
                <w:color w:val="000000"/>
                <w:sz w:val="24"/>
              </w:rPr>
              <w:t>”); and</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MP</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2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average of the Last Reported Sale Prices of the Common Stock over the Valuation Period.</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increase to the Conversion Rate under the preceding paragraph shall occur at the close of business on the last Trading Day of the Valuation Period;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 respect of any conversion of Notes, for any Trading Day that falls within the relevant Observation Period for the relevant conversion and within the Valuation Period, the reference to “10” in the preceding paragraph shall be deemed to be replaced with such lesser number of Trading Days as have elapsed from, and including, the Ex-Dividend Date of such Spin-Off to, and including,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pStyle w:val="TextBody"/>
        <w:bidi w:val="0"/>
        <w:spacing w:before="0" w:after="240"/>
        <w:jc w:val="left"/>
        <w:rPr>
          <w:rFonts w:ascii="Times New Roman" w:hAnsi="Times New Roman"/>
          <w:sz w:val="20"/>
        </w:rPr>
      </w:pPr>
      <w:r>
        <w:rPr>
          <w:rFonts w:ascii="Times New Roman" w:hAnsi="Times New Roman"/>
          <w:color w:val="000000"/>
          <w:sz w:val="24"/>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hAnsi="Times New Roman"/>
          <w:b/>
          <w:color w:val="000000"/>
          <w:sz w:val="24"/>
        </w:rPr>
        <w:t>Trigger Event</w:t>
      </w:r>
      <w:r>
        <w:rPr>
          <w:rFonts w:ascii="Times New Roman" w:hAnsi="Times New Roman"/>
          <w:color w:val="000000"/>
          <w:sz w:val="20"/>
        </w:rPr>
        <w:t>”</w:t>
      </w:r>
      <w:r>
        <w:rPr>
          <w:rFonts w:ascii="Times New Roman" w:hAnsi="Times New Roman"/>
          <w:color w:val="000000"/>
          <w:sz w:val="24"/>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240"/>
        <w:jc w:val="left"/>
        <w:rPr>
          <w:rFonts w:ascii="Times New Roman" w:hAnsi="Times New Roman"/>
          <w:sz w:val="20"/>
        </w:rPr>
      </w:pPr>
      <w:r>
        <w:rPr>
          <w:rFonts w:ascii="Times New Roman" w:hAnsi="Times New Roman"/>
          <w:color w:val="000000"/>
          <w:sz w:val="24"/>
        </w:rPr>
        <w:t>For purposes of ‎Section 14.04(a), ‎Section 14.04(b) and this ‎Section 14.04(c), if any dividend or distribution to which this ‎Section 14.04(c) is applicable also includes one or both of: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a dividend or distribution of shares of Common Stock to which ‎Section 14.04(a) is applicable (the “</w:t>
      </w:r>
      <w:r>
        <w:rPr>
          <w:rFonts w:ascii="Times New Roman" w:hAnsi="Times New Roman"/>
          <w:b/>
          <w:color w:val="000000"/>
          <w:sz w:val="24"/>
        </w:rPr>
        <w:t>Clause A Distribution</w:t>
      </w:r>
      <w:r>
        <w:rPr>
          <w:rFonts w:ascii="Times New Roman" w:hAnsi="Times New Roman"/>
          <w:color w:val="000000"/>
          <w:sz w:val="20"/>
        </w:rPr>
        <w:t>”</w:t>
      </w:r>
      <w:r>
        <w:rPr>
          <w:rFonts w:ascii="Times New Roman" w:hAnsi="Times New Roman"/>
          <w:color w:val="000000"/>
          <w:sz w:val="24"/>
        </w:rPr>
        <w:t>); or</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(B) a dividend or distribution of rights, options or warrants to which ‎Section 14.04(b) is applicable (the “</w:t>
      </w:r>
      <w:r>
        <w:rPr>
          <w:rFonts w:ascii="Times New Roman" w:hAnsi="Times New Roman"/>
          <w:b/>
          <w:color w:val="000000"/>
          <w:sz w:val="24"/>
        </w:rPr>
        <w:t>Clause B Distribution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then, in either case, (1) such dividend or distribution, other than the Clause A Distribution and the Clause B Distribution, shall be deemed to be a dividend or distribution to which this ‎Section 14.04(c) is applicable (the “</w:t>
      </w:r>
      <w:r>
        <w:rPr>
          <w:rFonts w:ascii="Times New Roman" w:hAnsi="Times New Roman"/>
          <w:b/>
          <w:color w:val="000000"/>
          <w:sz w:val="24"/>
        </w:rPr>
        <w:t>Clause C Distribution</w:t>
      </w:r>
      <w:r>
        <w:rPr>
          <w:rFonts w:ascii="Times New Roman" w:hAnsi="Times New Roman"/>
          <w:color w:val="000000"/>
          <w:sz w:val="20"/>
        </w:rPr>
        <w:t>”</w:t>
      </w:r>
      <w:r>
        <w:rPr>
          <w:rFonts w:ascii="Times New Roman" w:hAnsi="Times New Roman"/>
          <w:color w:val="000000"/>
          <w:sz w:val="24"/>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If the Company makes any cash dividend or distribution to all or substantially all holders of the Common Stock, the Conversion Rate shall be adjusted based on the following formula:</w:t>
      </w:r>
    </w:p>
    <w:tbl>
      <w:tblPr>
        <w:tblW w:w="2282" w:type="dxa"/>
        <w:jc w:val="left"/>
        <w:tblInd w:w="0" w:type="dxa"/>
        <w:tblLayout w:type="fixed"/>
        <w:tblCellMar>
          <w:top w:w="28" w:type="dxa"/>
          <w:left w:w="28" w:type="dxa"/>
          <w:bottom w:w="28" w:type="dxa"/>
          <w:right w:w="28" w:type="dxa"/>
        </w:tblCellMar>
      </w:tblPr>
      <w:tblGrid>
        <w:gridCol w:w="1351"/>
        <w:gridCol w:w="931"/>
      </w:tblGrid>
      <w:tr>
        <w:trPr/>
        <w:tc>
          <w:tcPr>
            <w:tcW w:w="13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35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20"/>
              </w:rPr>
              <w:t>'</w:t>
            </w:r>
            <w:r>
              <w:rPr>
                <w:rFonts w:ascii="Times New Roman" w:hAnsi="Times New Roman"/>
                <w:color w:val="000000"/>
                <w:sz w:val="24"/>
              </w:rPr>
              <w:t> = CR</w:t>
            </w:r>
            <w:r>
              <w:rPr>
                <w:rFonts w:ascii="Times New Roman" w:hAnsi="Times New Roman"/>
                <w:color w:val="000000"/>
                <w:sz w:val="16"/>
              </w:rPr>
              <w:t>0</w:t>
            </w:r>
            <w:r>
              <w:rPr>
                <w:rFonts w:ascii="Times New Roman" w:hAnsi="Times New Roman"/>
                <w:color w:val="000000"/>
                <w:sz w:val="24"/>
              </w:rPr>
              <w:t> ×</w:t>
            </w:r>
          </w:p>
        </w:tc>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sz w:val="24"/>
              </w:rPr>
            </w:pPr>
            <w:r>
              <w:rPr>
                <w:rFonts w:ascii="Times New Roman" w:hAnsi="Times New Roman"/>
                <w:color w:val="000000"/>
                <w:sz w:val="24"/>
              </w:rPr>
              <w:t>SP</w:t>
            </w:r>
            <w:r>
              <w:rPr>
                <w:rFonts w:ascii="Times New Roman" w:hAnsi="Times New Roman"/>
                <w:color w:val="000000"/>
                <w:sz w:val="16"/>
              </w:rPr>
              <w:t>0</w:t>
            </w:r>
          </w:p>
        </w:tc>
      </w:tr>
      <w:tr>
        <w:trPr/>
        <w:tc>
          <w:tcPr>
            <w:tcW w:w="1351" w:type="dxa"/>
            <w:vMerge w:val="continue"/>
            <w:tcBorders/>
            <w:tcMar>
              <w:top w:w="0" w:type="dxa"/>
              <w:left w:w="0" w:type="dxa"/>
              <w:bottom w:w="0" w:type="dxa"/>
              <w:right w:w="0" w:type="dxa"/>
            </w:tcMar>
            <w:vAlign w:val="center"/>
          </w:tcPr>
          <w:p>
            <w:pPr>
              <w:pStyle w:val="Normal"/>
              <w:bidi w:val="0"/>
              <w:jc w:val="left"/>
              <w:rPr/>
            </w:pPr>
            <w:r>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SP</w:t>
            </w:r>
            <w:r>
              <w:rPr>
                <w:rFonts w:ascii="Times New Roman" w:hAnsi="Times New Roman"/>
                <w:color w:val="000000"/>
                <w:sz w:val="16"/>
              </w:rPr>
              <w:t>0</w:t>
            </w:r>
            <w:r>
              <w:rPr>
                <w:rFonts w:ascii="Times New Roman" w:hAnsi="Times New Roman"/>
                <w:color w:val="000000"/>
                <w:sz w:val="24"/>
              </w:rPr>
              <w:t> − C</w:t>
            </w:r>
          </w:p>
        </w:tc>
      </w:tr>
    </w:tbl>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241"/>
        <w:gridCol w:w="9423"/>
      </w:tblGrid>
      <w:tr>
        <w:trPr/>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3"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prior to the open of business on the Ex-Dividend Date for such dividend or distribution;</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Conversion Rate in effect immediately after the open of business on the Ex-Dividend Date for such dividend or distribution;</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SP</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Last Reported Sale Price of the Common Stock on the Trading Day immediately preceding the Ex-Dividend Date for such dividend or distribution; and</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w:t>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amount in cash per share the Company distributes to all or substantially all holders of the Common Stock.</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hAnsi="Times New Roman"/>
          <w:color w:val="000000"/>
          <w:sz w:val="16"/>
        </w:rPr>
        <w:t>0</w:t>
      </w:r>
      <w:r>
        <w:rPr>
          <w:rFonts w:ascii="Times New Roman" w:hAnsi="Times New Roman"/>
          <w:color w:val="000000"/>
          <w:sz w:val="20"/>
        </w:rPr>
        <w:t xml:space="preserve">” </w:t>
      </w:r>
      <w:r>
        <w:rPr>
          <w:rFonts w:ascii="Times New Roman" w:hAnsi="Times New Roman"/>
          <w:color w:val="000000"/>
          <w:sz w:val="24"/>
        </w:rPr>
        <w:t>(as defined above), in lieu of the foregoing increase, each Holder of a Note shall receive,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for each $1,000 principal amount of Notes it holds, at the same time and upon the same terms as holders of shares of the Common Stock, without having to convert its Notes, the amount of cash that such Holder would have received if such Holder owned a number of shares of Common Stock equal to the Conversion Rate on the Ex-Dividend Date for such cash dividend or distribution.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240"/>
        <w:jc w:val="center"/>
        <w:rPr/>
      </w:pPr>
      <w:r>
        <w:rPr/>
        <w:drawing>
          <wp:inline distT="0" distB="0" distL="0" distR="0">
            <wp:extent cx="1781175"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81175" cy="428625"/>
                    </a:xfrm>
                    <a:prstGeom prst="rect">
                      <a:avLst/>
                    </a:prstGeom>
                  </pic:spPr>
                </pic:pic>
              </a:graphicData>
            </a:graphic>
          </wp:inline>
        </w:drawing>
      </w:r>
    </w:p>
    <w:p>
      <w:pPr>
        <w:pStyle w:val="TextBody"/>
        <w:bidi w:val="0"/>
        <w:jc w:val="left"/>
        <w:rPr>
          <w:rFonts w:ascii="Times New Roman" w:hAnsi="Times New Roman"/>
          <w:color w:val="000000"/>
          <w:sz w:val="24"/>
        </w:rPr>
      </w:pPr>
      <w:r>
        <w:rPr>
          <w:rFonts w:ascii="Times New Roman" w:hAnsi="Times New Roman"/>
          <w:color w:val="000000"/>
          <w:sz w:val="24"/>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241"/>
        <w:gridCol w:w="9423"/>
      </w:tblGrid>
      <w:tr>
        <w:trPr/>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23"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CR</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prior to the close of business on the 10th Trading Day immediately following, and including, the Trading Day next succeeding the date such tender or exchange offer expires;</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CR'</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Conversion Rate in effect immediately after the close of business on the 10th Trading Day immediately following, and including, the Trading Day next succeeding the date such tender or exchange offer expires;</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AC</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aggregate value of all cash and any other consideration (as determined by the Company in good faith) paid or payable for shares of Common Stock purchased in such tender or exchange offer;</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color w:val="000000"/>
                <w:sz w:val="24"/>
              </w:rPr>
              <w:t>OS</w:t>
            </w:r>
            <w:r>
              <w:rPr>
                <w:rFonts w:ascii="Times New Roman" w:hAnsi="Times New Roman"/>
                <w:color w:val="000000"/>
                <w:sz w:val="16"/>
              </w:rPr>
              <w:t>0</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number of shares of Common Stock outstanding immediately prior to the date such tender or exchange offer expires (prior to giving effect to the purchase of all shares of Common Stock accepted for purchase or exchange in such tender or exchange offer);</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OS'</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the number of shares of Common Stock outstanding immediately after the date such tender or exchange offer expires (after giving effect to the purchase of all shares of Common Stock accepted for purchase or exchange in such tender or exchange offer); and</w:t>
            </w:r>
          </w:p>
        </w:tc>
      </w:tr>
      <w:tr>
        <w:trPr/>
        <w:tc>
          <w:tcPr>
            <w:tcW w:w="5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SP'</w:t>
            </w:r>
          </w:p>
        </w:tc>
        <w:tc>
          <w:tcPr>
            <w:tcW w:w="24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4"/>
              </w:rPr>
            </w:pPr>
            <w:r>
              <w:rPr>
                <w:rFonts w:ascii="Times New Roman" w:hAnsi="Times New Roman"/>
                <w:color w:val="000000"/>
                <w:sz w:val="24"/>
              </w:rPr>
              <w:t>=</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in respect of any conversion of Notes, for any Trading Day that falls within the relevant Observation Period for the relevant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(g) 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 Notwithstanding anything to the contrary in this ‎Article 14, the Conversion Rate shall not be adjusted: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upon the issuance of any shares of Common Stock at a price below the Conversion Price or otherwise, other than any such issuance described in clause (a), (b) or (c) of this Section 14.04;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240"/>
        <w:jc w:val="left"/>
        <w:rPr>
          <w:rFonts w:ascii="Times New Roman" w:hAnsi="Times New Roman"/>
          <w:sz w:val="20"/>
        </w:rPr>
      </w:pPr>
      <w:r>
        <w:rPr>
          <w:rFonts w:ascii="Times New Roman" w:hAnsi="Times New Roman"/>
          <w:color w:val="000000"/>
          <w:sz w:val="24"/>
        </w:rPr>
        <w:t>(iii) upon the issuance of any shares of Common Stock or options or rights to purchase those shares pursuant to any present or future employee, director or consultant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benefit or incentive plan or program (including pursuant to any evergreen plan) of or assumed by the Company or any of the Company’s Subsidiaries;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upon the issuance of any shares of the Common Stock pursuant to any option, warrant, right or exercisable, exchangeable or convertible security not described in clause ‎(iii) of this subsection and outstanding as of the date the Notes were first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for a third-party tender offer by any party other than a tender offer by one or more of the Company’s Subsidiaries as described in clause (e) of this Section 14.04;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solely for a change in the par value (or lack of par value) of the Common Stock;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for accrued and unpaid interest, if any.</w:t>
      </w:r>
    </w:p>
    <w:p>
      <w:pPr>
        <w:pStyle w:val="TextBody"/>
        <w:bidi w:val="0"/>
        <w:spacing w:before="0" w:after="240"/>
        <w:jc w:val="left"/>
        <w:rPr>
          <w:rFonts w:ascii="Times New Roman" w:hAnsi="Times New Roman"/>
          <w:sz w:val="20"/>
        </w:rPr>
      </w:pPr>
      <w:r>
        <w:rPr>
          <w:rFonts w:ascii="Times New Roman" w:hAnsi="Times New Roman"/>
          <w:color w:val="000000"/>
          <w:sz w:val="24"/>
        </w:rPr>
        <w:t>(i) All calculations and other determinations under this ‎Article 14 shall be made by the Company and shall be made to the nearest one-ten thousandth (1/10,000th) of a share.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 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each Trading Day of any Observation Period related to any conversion of Notes, (iii) May 15, 2031, (iv) on any date on which the Company delivers a Notice of Redemption and (v) on the effective date of any Fundamental Change and/or Make-Whole Fundamental Change, in each case, unless the adjustment has already been made.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 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pStyle w:val="TextBody"/>
        <w:bidi w:val="0"/>
        <w:spacing w:before="0" w:after="240"/>
        <w:jc w:val="left"/>
        <w:rPr>
          <w:rFonts w:ascii="Times New Roman" w:hAnsi="Times New Roman"/>
          <w:sz w:val="20"/>
        </w:rPr>
      </w:pPr>
      <w:r>
        <w:rPr>
          <w:rFonts w:ascii="Times New Roman" w:hAnsi="Times New Roman"/>
          <w:color w:val="000000"/>
          <w:sz w:val="24"/>
        </w:rPr>
        <w:t>Section 14.05</w:t>
      </w:r>
      <w:r>
        <w:rPr>
          <w:rFonts w:ascii="Times New Roman" w:hAnsi="Times New Roman"/>
          <w:i/>
          <w:color w:val="000000"/>
          <w:sz w:val="24"/>
        </w:rPr>
        <w:t xml:space="preserve">. Adjustments of Prices. </w:t>
      </w:r>
      <w:r>
        <w:rPr>
          <w:rFonts w:ascii="Times New Roman" w:hAnsi="Times New Roman"/>
          <w:color w:val="000000"/>
          <w:sz w:val="24"/>
        </w:rPr>
        <w:t>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the Daily Net Settlement Amounts or the Daily Settlement Amounts are to be calculated.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14.06</w:t>
      </w:r>
      <w:r>
        <w:rPr>
          <w:rFonts w:ascii="Times New Roman" w:hAnsi="Times New Roman"/>
          <w:i/>
          <w:color w:val="000000"/>
          <w:sz w:val="24"/>
        </w:rPr>
        <w:t>. Shares To Be Fully Paid.</w:t>
      </w:r>
      <w:r>
        <w:rPr>
          <w:rFonts w:ascii="Times New Roman" w:hAnsi="Times New Roman"/>
          <w:color w:val="000000"/>
          <w:sz w:val="20"/>
        </w:rPr>
        <w:t xml:space="preserve"> </w:t>
      </w:r>
      <w:r>
        <w:rPr>
          <w:rFonts w:ascii="Times New Roman" w:hAnsi="Times New Roman"/>
          <w:color w:val="000000"/>
          <w:sz w:val="24"/>
        </w:rPr>
        <w:t>The Company shall at all times reserve, free from preemptive rights, out of its authorized but unissued shares or shares held in treasury, a number of shares of Common Stock equal to the product of (a) the number of outstanding Notes and (b) the Conversion Rate (assuming the Conversion Rate has been increased by the maximum number of Additional Shares pursuant to ‎Section 14.03), or such lesser number of shares of Common Stock sufficient, to provide for conversion of the Notes from time to time as such Notes are presented for conversion.</w:t>
      </w:r>
    </w:p>
    <w:p>
      <w:pPr>
        <w:pStyle w:val="TextBody"/>
        <w:bidi w:val="0"/>
        <w:spacing w:before="0" w:after="240"/>
        <w:jc w:val="left"/>
        <w:rPr>
          <w:rFonts w:ascii="Times New Roman" w:hAnsi="Times New Roman"/>
          <w:sz w:val="20"/>
        </w:rPr>
      </w:pPr>
      <w:r>
        <w:rPr>
          <w:rFonts w:ascii="Times New Roman" w:hAnsi="Times New Roman"/>
          <w:color w:val="000000"/>
          <w:sz w:val="24"/>
        </w:rPr>
        <w:t>Section 14.07</w:t>
      </w:r>
      <w:r>
        <w:rPr>
          <w:rFonts w:ascii="Times New Roman" w:hAnsi="Times New Roman"/>
          <w:i/>
          <w:color w:val="000000"/>
          <w:sz w:val="24"/>
        </w:rPr>
        <w:t>. Effect of Recapitalizations, Reclassifications and Changes of the Common Stock.</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In the case of:</w:t>
      </w:r>
    </w:p>
    <w:p>
      <w:pPr>
        <w:pStyle w:val="TextBody"/>
        <w:bidi w:val="0"/>
        <w:spacing w:before="0" w:after="240"/>
        <w:jc w:val="left"/>
        <w:rPr>
          <w:rFonts w:ascii="Times New Roman" w:hAnsi="Times New Roman"/>
          <w:sz w:val="20"/>
        </w:rPr>
      </w:pPr>
      <w:r>
        <w:rPr>
          <w:rFonts w:ascii="Times New Roman" w:hAnsi="Times New Roman"/>
          <w:color w:val="000000"/>
          <w:sz w:val="24"/>
        </w:rPr>
        <w:t>(i) any recapitalization, reclassification or change of the Common Stock (other than a change to par value, or from par value to no par value, or changes resulting from a subdivision or combination),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any consolidation, merger, combination or similar transaction involving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(iii) any sale, lease or other transfer to a third party of the consolidated assets of the Company and the Company’s Subsidiaries substantially as an entirety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(iv) any statutory share exchange,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in each case, as a result of which the Common Stock would be converted into, or exchanged for, stock, other securities, other property or assets (including cash or any combination thereof)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such event, a “</w:t>
      </w:r>
      <w:r>
        <w:rPr>
          <w:rFonts w:ascii="Times New Roman" w:hAnsi="Times New Roman"/>
          <w:b/>
          <w:color w:val="000000"/>
          <w:sz w:val="24"/>
        </w:rPr>
        <w:t>Share Exchange Event</w:t>
      </w:r>
      <w:r>
        <w:rPr>
          <w:rFonts w:ascii="Times New Roman" w:hAnsi="Times New Roman"/>
          <w:color w:val="000000"/>
          <w:sz w:val="20"/>
        </w:rPr>
        <w:t>”</w:t>
      </w:r>
      <w:r>
        <w:rPr>
          <w:rFonts w:ascii="Times New Roman" w:hAnsi="Times New Roman"/>
          <w:color w:val="000000"/>
          <w:sz w:val="24"/>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hAnsi="Times New Roman"/>
          <w:b/>
          <w:color w:val="000000"/>
          <w:sz w:val="24"/>
        </w:rPr>
        <w:t>Reference Property</w:t>
      </w:r>
      <w:r>
        <w:rPr>
          <w:rFonts w:ascii="Times New Roman" w:hAnsi="Times New Roman"/>
          <w:color w:val="000000"/>
          <w:sz w:val="24"/>
        </w:rPr>
        <w:t>,” with each “</w:t>
      </w:r>
      <w:r>
        <w:rPr>
          <w:rFonts w:ascii="Times New Roman" w:hAnsi="Times New Roman"/>
          <w:b/>
          <w:color w:val="000000"/>
          <w:sz w:val="24"/>
        </w:rPr>
        <w:t>unit of Reference Property</w:t>
      </w:r>
      <w:r>
        <w:rPr>
          <w:rFonts w:ascii="Times New Roman" w:hAnsi="Times New Roman"/>
          <w:color w:val="000000"/>
          <w:sz w:val="20"/>
        </w:rPr>
        <w:t xml:space="preserve">” </w:t>
      </w:r>
      <w:r>
        <w:rPr>
          <w:rFonts w:ascii="Times New Roman" w:hAnsi="Times New Roman"/>
          <w:color w:val="000000"/>
          <w:sz w:val="24"/>
        </w:rPr>
        <w:t xml:space="preserve">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at and after the effective time of the Share Exchange Event (A) the Company or the successor or acquiring Person, as the case may be, shall continue to have the right to elect to determine the form of consideration to be paid or delivered, as the case may be, in respect of the remainder, if any, of the Conversion Obligation in excess of the principal amount of the Notes being converted in accordance with ‎Section 14.02 and (B)(I) the amount payable in cash upon conversion of Notes in accordance with ‎Section 14.02 shall continue to be payable in 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Share Exchange Event and (III) the Daily VWAP shall be calculated based on the value of a unit of Reference Property that a holder of one share of Common Stock would have received in such Share Exchange Event.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in writing of such weighted average as soon as practicable after such determination is made.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hAnsi="Times New Roman"/>
          <w:i/>
          <w:color w:val="000000"/>
          <w:sz w:val="24"/>
        </w:rPr>
        <w:t>multiplied by</w:t>
      </w:r>
      <w:r>
        <w:rPr>
          <w:rFonts w:ascii="Times New Roman" w:hAnsi="Times New Roman"/>
          <w:color w:val="000000"/>
          <w:sz w:val="20"/>
        </w:rPr>
        <w:t xml:space="preserve"> </w:t>
      </w:r>
      <w:r>
        <w:rPr>
          <w:rFonts w:ascii="Times New Roman" w:hAnsi="Times New Roman"/>
          <w:color w:val="000000"/>
          <w:sz w:val="24"/>
        </w:rPr>
        <w:t>the price paid per share of Common Stock in such Share Exchange Event and (B) the Company shall satisfy the Conversion Obligation by paying cash to converting Holders on the fifth Business Day immediately following the relevant Conversion Date.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Reference Property in respect of any such Share Exchange Event includes, in whole or in part, shares of Common Equity or American depositary receipts (or other Common Equity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Common Equity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When the Company executes a supplemental indenture pursuant to subsection ‎(a) of this ‎Section 14.07, the Company shall promptly file with the Trustee an Officer’s Certificate briefly stating the reasons therefor, the kind or amount of cash, securities or property or asset that shall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shall not become a party to any Share Exchange Event unless its terms are consistent with this ‎Section 14.07. None of the foregoing provisions shall affect the right of a Holder of Notes to convert its Notes into cash up to the aggregate principal amount of such Notes and cash, shares of Common Stock or a combination of cash and shares of Common Stock, as applicable, in respect of the remainder, if any, of the Conversion Obligation in excess of the aggregate principal amount of such Notes as set forth in ‎Section 14.01 and ‎Section 14.02 prior to the effective date of such Share Exchange Event.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The above provisions of this Section shall similarly apply to successive Share Exchange Events.</w:t>
      </w:r>
    </w:p>
    <w:p>
      <w:pPr>
        <w:pStyle w:val="TextBody"/>
        <w:bidi w:val="0"/>
        <w:spacing w:before="0" w:after="240"/>
        <w:jc w:val="left"/>
        <w:rPr>
          <w:rFonts w:ascii="Times New Roman" w:hAnsi="Times New Roman"/>
          <w:sz w:val="20"/>
        </w:rPr>
      </w:pPr>
      <w:r>
        <w:rPr>
          <w:rFonts w:ascii="Times New Roman" w:hAnsi="Times New Roman"/>
          <w:color w:val="000000"/>
          <w:sz w:val="24"/>
        </w:rPr>
        <w:t>Section 14.08</w:t>
      </w:r>
      <w:r>
        <w:rPr>
          <w:rFonts w:ascii="Times New Roman" w:hAnsi="Times New Roman"/>
          <w:i/>
          <w:color w:val="000000"/>
          <w:sz w:val="24"/>
        </w:rPr>
        <w:t>. Certain Covenants.</w:t>
      </w:r>
      <w:r>
        <w:rPr>
          <w:rFonts w:ascii="Times New Roman" w:hAnsi="Times New Roman"/>
          <w:color w:val="000000"/>
          <w:sz w:val="20"/>
        </w:rPr>
        <w:t xml:space="preserve"> </w:t>
      </w:r>
      <w:r>
        <w:rPr>
          <w:rFonts w:ascii="Times New Roman" w:hAnsi="Times New Roman"/>
          <w:color w:val="000000"/>
          <w:sz w:val="24"/>
        </w:rPr>
        <w:t>(a) The Company covenants that all shares of Common Stock issued upon conversion of Notes shall be fully paid and non-assessable by the Company and free from all taxes, liens and charges with respect to the issue thereof.</w:t>
      </w:r>
    </w:p>
    <w:p>
      <w:pPr>
        <w:pStyle w:val="TextBody"/>
        <w:bidi w:val="0"/>
        <w:spacing w:before="0" w:after="240"/>
        <w:jc w:val="left"/>
        <w:rPr>
          <w:rFonts w:ascii="Times New Roman" w:hAnsi="Times New Roman"/>
          <w:sz w:val="20"/>
        </w:rPr>
      </w:pPr>
      <w:r>
        <w:rPr>
          <w:rFonts w:ascii="Times New Roman" w:hAnsi="Times New Roman"/>
          <w:color w:val="000000"/>
          <w:sz w:val="24"/>
        </w:rPr>
        <w:t>(b) The Company covenants that, if any shares of Common Stock to be provided for the purpose of conversion of Notes hereunder require registration with or approval of any governmental authority under any federal or state law before such shares of Common Stock may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be validly issued upon conversion, the Company shall, to the extent then permitted by the rules and interpretations of the Commission, secure such registration or approval, as the case may 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 further covenants that if at any time the Common Stock shall be listed on any national securities exchange or automated quotation system the Company shall list and keep listed, so long as the Common Stock shall be so listed on such exchange or automated quotation system, any Common Stock issuable upon conversion of the Notes.</w:t>
      </w:r>
    </w:p>
    <w:p>
      <w:pPr>
        <w:pStyle w:val="TextBody"/>
        <w:bidi w:val="0"/>
        <w:spacing w:before="0" w:after="240"/>
        <w:jc w:val="left"/>
        <w:rPr>
          <w:rFonts w:ascii="Times New Roman" w:hAnsi="Times New Roman"/>
          <w:sz w:val="20"/>
        </w:rPr>
      </w:pPr>
      <w:r>
        <w:rPr>
          <w:rFonts w:ascii="Times New Roman" w:hAnsi="Times New Roman"/>
          <w:color w:val="000000"/>
          <w:sz w:val="24"/>
        </w:rPr>
        <w:t>Section 14.09</w:t>
      </w:r>
      <w:r>
        <w:rPr>
          <w:rFonts w:ascii="Times New Roman" w:hAnsi="Times New Roman"/>
          <w:i/>
          <w:color w:val="000000"/>
          <w:sz w:val="24"/>
        </w:rPr>
        <w:t>. Responsibility of Trustee.</w:t>
      </w:r>
      <w:r>
        <w:rPr>
          <w:rFonts w:ascii="Times New Roman" w:hAnsi="Times New Roman"/>
          <w:color w:val="000000"/>
          <w:sz w:val="20"/>
        </w:rPr>
        <w:t xml:space="preserve"> </w:t>
      </w:r>
      <w:r>
        <w:rPr>
          <w:rFonts w:ascii="Times New Roman" w:hAnsi="Times New Roman"/>
          <w:color w:val="000000"/>
          <w:sz w:val="24"/>
        </w:rPr>
        <w:t>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w:t>
      </w:r>
    </w:p>
    <w:p>
      <w:pPr>
        <w:pStyle w:val="TextBody"/>
        <w:bidi w:val="0"/>
        <w:spacing w:before="0" w:after="240"/>
        <w:jc w:val="left"/>
        <w:rPr>
          <w:rFonts w:ascii="Times New Roman" w:hAnsi="Times New Roman"/>
          <w:sz w:val="20"/>
        </w:rPr>
      </w:pPr>
      <w:r>
        <w:rPr>
          <w:rFonts w:ascii="Times New Roman" w:hAnsi="Times New Roman"/>
          <w:color w:val="000000"/>
          <w:sz w:val="24"/>
        </w:rPr>
        <w:t>Section 14.10</w:t>
      </w:r>
      <w:r>
        <w:rPr>
          <w:rFonts w:ascii="Times New Roman" w:hAnsi="Times New Roman"/>
          <w:i/>
          <w:color w:val="000000"/>
          <w:sz w:val="24"/>
        </w:rPr>
        <w:t>. [Reserved</w:t>
      </w:r>
      <w:r>
        <w:rPr>
          <w:rFonts w:ascii="Times New Roman" w:hAnsi="Times New Roman"/>
          <w:color w:val="000000"/>
          <w:sz w:val="24"/>
        </w:rPr>
        <w:t>.</w:t>
      </w:r>
      <w:r>
        <w:rPr>
          <w:rFonts w:ascii="Times New Roman" w:hAnsi="Times New Roman"/>
          <w:i/>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Section 14.11</w:t>
      </w:r>
      <w:r>
        <w:rPr>
          <w:rFonts w:ascii="Times New Roman" w:hAnsi="Times New Roman"/>
          <w:i/>
          <w:color w:val="000000"/>
          <w:sz w:val="24"/>
        </w:rPr>
        <w:t>. Stockholder Rights Plans.</w:t>
      </w:r>
      <w:r>
        <w:rPr>
          <w:rFonts w:ascii="Times New Roman" w:hAnsi="Times New Roman"/>
          <w:color w:val="000000"/>
          <w:sz w:val="20"/>
        </w:rPr>
        <w:t xml:space="preserve"> </w:t>
      </w:r>
      <w:r>
        <w:rPr>
          <w:rFonts w:ascii="Times New Roman" w:hAnsi="Times New Roman"/>
          <w:color w:val="000000"/>
          <w:sz w:val="24"/>
        </w:rPr>
        <w:t>If the Company has a stockholder rights plan in effect upon conversion of the Notes, each share of Common Stock, if any, issued upon such conversion shall be entitled to receive the appropriate number of rights, if any,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pStyle w:val="TextBody"/>
        <w:bidi w:val="0"/>
        <w:spacing w:before="0" w:after="240"/>
        <w:jc w:val="left"/>
        <w:rPr>
          <w:rFonts w:ascii="Times New Roman" w:hAnsi="Times New Roman"/>
          <w:sz w:val="20"/>
        </w:rPr>
      </w:pPr>
      <w:r>
        <w:rPr>
          <w:rFonts w:ascii="Times New Roman" w:hAnsi="Times New Roman"/>
          <w:color w:val="000000"/>
          <w:sz w:val="24"/>
        </w:rPr>
        <w:t>Section 14.12</w:t>
      </w:r>
      <w:r>
        <w:rPr>
          <w:rFonts w:ascii="Times New Roman" w:hAnsi="Times New Roman"/>
          <w:i/>
          <w:color w:val="000000"/>
          <w:sz w:val="24"/>
        </w:rPr>
        <w:t>. Exchange in Lieu of Conversion.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When a Holder surrenders any Notes for conversion, the Company may, at its election (an “</w:t>
      </w:r>
      <w:r>
        <w:rPr>
          <w:rFonts w:ascii="Times New Roman" w:hAnsi="Times New Roman"/>
          <w:b/>
          <w:color w:val="000000"/>
          <w:sz w:val="24"/>
        </w:rPr>
        <w:t>Exchange Election</w:t>
      </w:r>
      <w:r>
        <w:rPr>
          <w:rFonts w:ascii="Times New Roman" w:hAnsi="Times New Roman"/>
          <w:color w:val="000000"/>
          <w:sz w:val="20"/>
        </w:rPr>
        <w:t>”</w:t>
      </w:r>
      <w:r>
        <w:rPr>
          <w:rFonts w:ascii="Times New Roman" w:hAnsi="Times New Roman"/>
          <w:color w:val="000000"/>
          <w:sz w:val="24"/>
        </w:rPr>
        <w:t>), direct the Conversion Agent to deliver, on or prior to the Trading Day immediately following the Conversion Date, such Notes to one or more financial institutions designated by the Company (each, a “</w:t>
      </w:r>
      <w:r>
        <w:rPr>
          <w:rFonts w:ascii="Times New Roman" w:hAnsi="Times New Roman"/>
          <w:b/>
          <w:color w:val="000000"/>
          <w:sz w:val="24"/>
        </w:rPr>
        <w:t>Designated Financial Institution</w:t>
      </w:r>
      <w:r>
        <w:rPr>
          <w:rFonts w:ascii="Times New Roman" w:hAnsi="Times New Roman"/>
          <w:color w:val="000000"/>
          <w:sz w:val="20"/>
        </w:rPr>
        <w:t>”</w:t>
      </w:r>
      <w:r>
        <w:rPr>
          <w:rFonts w:ascii="Times New Roman" w:hAnsi="Times New Roman"/>
          <w:color w:val="000000"/>
          <w:sz w:val="24"/>
        </w:rPr>
        <w:t>) for exchange in lieu of conversion. In order to accept any Notes surrendered for conversion, the Designated Financial Institution(s) must agree to timely pay and deliver, as the case may be, in exchange for such Notes, the cash up to the aggregate principal amount of such Notes and cash, shares of Common Stock or a combination thereof in respect of the remainder, if any, of the Conversion Obligation in excess of the aggregate principal amount of such Notes that would otherwise be due upon conversion pursuant to ‎Section 14.02 or such other amount agreed to by the Holder and the Designated Financial Institution(s) (the “</w:t>
      </w:r>
      <w:r>
        <w:rPr>
          <w:rFonts w:ascii="Times New Roman" w:hAnsi="Times New Roman"/>
          <w:b/>
          <w:color w:val="000000"/>
          <w:sz w:val="24"/>
        </w:rPr>
        <w:t>Conversion Consideration</w:t>
      </w:r>
      <w:r>
        <w:rPr>
          <w:rFonts w:ascii="Times New Roman" w:hAnsi="Times New Roman"/>
          <w:color w:val="000000"/>
          <w:sz w:val="20"/>
        </w:rPr>
        <w:t>”</w:t>
      </w:r>
      <w:r>
        <w:rPr>
          <w:rFonts w:ascii="Times New Roman" w:hAnsi="Times New Roman"/>
          <w:color w:val="000000"/>
          <w:sz w:val="24"/>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 delivered, as the case may be.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Any Notes delivered to the Designated Financial Institution(s) shall remain outstanding, subject to the applicable procedures of the Depositary. If the Designated Financial Institution(s) agree(s) to accept any Notes for exchange but do(es) not timely pay and deliver, as the case may be, the related Conversion Consideration, or if such Designated Financial Institution(s) do(es) not accept the Notes for exchange, the Company shall pay and deliver, as the case may be, the relevant Conversion Consideration, as, and at the time, required pursuant to this Indenture as if the Company had not made the Exchange Election.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The Company’s designation of any Designated Financial Institution(s) to which the Notes may be submitted for exchange does not require such Designated Financial Institution(s) to accept any Notes.</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360" w:after="240"/>
        <w:jc w:val="center"/>
        <w:rPr>
          <w:rFonts w:ascii="Times New Roman" w:hAnsi="Times New Roman"/>
          <w:sz w:val="20"/>
        </w:rPr>
      </w:pPr>
      <w:r>
        <w:rPr>
          <w:rFonts w:ascii="Times New Roman" w:hAnsi="Times New Roman"/>
          <w:caps/>
          <w:color w:val="000000"/>
          <w:sz w:val="24"/>
        </w:rPr>
        <w:t>Article 15</w:t>
      </w:r>
      <w:r>
        <w:rPr>
          <w:rFonts w:ascii="Times New Roman" w:hAnsi="Times New Roman"/>
          <w:smallCaps/>
          <w:color w:val="000000"/>
          <w:sz w:val="24"/>
        </w:rPr>
        <w:br/>
        <w:t>Repurchase of Notes at Option of Holders</w:t>
      </w:r>
    </w:p>
    <w:p>
      <w:pPr>
        <w:pStyle w:val="TextBody"/>
        <w:bidi w:val="0"/>
        <w:spacing w:before="0" w:after="240"/>
        <w:jc w:val="left"/>
        <w:rPr>
          <w:rFonts w:ascii="Times New Roman" w:hAnsi="Times New Roman"/>
          <w:sz w:val="20"/>
        </w:rPr>
      </w:pPr>
      <w:r>
        <w:rPr>
          <w:rFonts w:ascii="Times New Roman" w:hAnsi="Times New Roman"/>
          <w:color w:val="000000"/>
          <w:sz w:val="24"/>
        </w:rPr>
        <w:t>Section 15.01</w:t>
      </w:r>
      <w:r>
        <w:rPr>
          <w:rFonts w:ascii="Times New Roman" w:hAnsi="Times New Roman"/>
          <w:i/>
          <w:color w:val="000000"/>
          <w:sz w:val="24"/>
        </w:rPr>
        <w:t>. [Intentionally Omitted].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Section 15.02</w:t>
      </w:r>
      <w:r>
        <w:rPr>
          <w:rFonts w:ascii="Times New Roman" w:hAnsi="Times New Roman"/>
          <w:i/>
          <w:color w:val="000000"/>
          <w:sz w:val="24"/>
        </w:rPr>
        <w:t>. Repurchase</w:t>
      </w:r>
      <w:r>
        <w:rPr>
          <w:rFonts w:ascii="Times New Roman" w:hAnsi="Times New Roman"/>
          <w:color w:val="000000"/>
          <w:sz w:val="20"/>
        </w:rPr>
        <w:t xml:space="preserve"> </w:t>
      </w:r>
      <w:r>
        <w:rPr>
          <w:rFonts w:ascii="Times New Roman" w:hAnsi="Times New Roman"/>
          <w:i/>
          <w:color w:val="000000"/>
          <w:sz w:val="24"/>
        </w:rPr>
        <w:t>at Option of Holders Upon a Fundamental Change.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If a Fundamental Change (other than an Exempted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hAnsi="Times New Roman"/>
          <w:b/>
          <w:color w:val="000000"/>
          <w:sz w:val="24"/>
        </w:rPr>
        <w:t>Fundamental Change Repurchase Date</w:t>
      </w:r>
      <w:r>
        <w:rPr>
          <w:rFonts w:ascii="Times New Roman" w:hAnsi="Times New Roman"/>
          <w:color w:val="000000"/>
          <w:sz w:val="20"/>
        </w:rPr>
        <w:t>”</w:t>
      </w:r>
      <w:r>
        <w:rPr>
          <w:rFonts w:ascii="Times New Roman" w:hAnsi="Times New Roman"/>
          <w:color w:val="000000"/>
          <w:sz w:val="24"/>
        </w:rPr>
        <w:t xml:space="preserve">) specified by the Company that is not less than 20 Business Days or more than 35 Business Days following the date of the Fundamental Change Company Notice at a repurchase price equal to 100% of the principal amount thereof,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accrued and unpaid Special Interest, if any, thereon to, but excluding, the Fundamental Change Repurchase Date (the “</w:t>
      </w:r>
      <w:r>
        <w:rPr>
          <w:rFonts w:ascii="Times New Roman" w:hAnsi="Times New Roman"/>
          <w:b/>
          <w:color w:val="000000"/>
          <w:sz w:val="24"/>
        </w:rPr>
        <w:t>Fundamental Change Repurchase Price</w:t>
      </w:r>
      <w:r>
        <w:rPr>
          <w:rFonts w:ascii="Times New Roman" w:hAnsi="Times New Roman"/>
          <w:color w:val="000000"/>
          <w:sz w:val="20"/>
        </w:rPr>
        <w:t>”</w:t>
      </w:r>
      <w:r>
        <w:rPr>
          <w:rFonts w:ascii="Times New Roman" w:hAnsi="Times New Roman"/>
          <w:color w:val="000000"/>
          <w:sz w:val="24"/>
        </w:rPr>
        <w:t>), unless the Fundamental Change Repurchase Date falls after a Special Interest Record Date but on or prior to the Special Interest Payment Date to which such Special Interest Record Date relates, in which case the Company shall instead pay the full amount of accrued and unpaid Special Interest, if any, to Holders of record as of the close of business on such Special Interest Record Date on, or at the Company’s election, before such Special Interest Payment Date, and the Fundamental Change Repurchase Price shall be equal to 100% of the principal amount of Notes to be repurchased pursuant to this ‎Article 15.</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Repurchases of Notes under this ‎Section 15.02 shall be made, at the option of the Holder thereof, upon:</w:t>
      </w:r>
    </w:p>
    <w:p>
      <w:pPr>
        <w:pStyle w:val="TextBody"/>
        <w:bidi w:val="0"/>
        <w:spacing w:before="0" w:after="240"/>
        <w:jc w:val="left"/>
        <w:rPr>
          <w:rFonts w:ascii="Times New Roman" w:hAnsi="Times New Roman"/>
          <w:sz w:val="20"/>
        </w:rPr>
      </w:pPr>
      <w:r>
        <w:rPr>
          <w:rFonts w:ascii="Times New Roman" w:hAnsi="Times New Roman"/>
          <w:color w:val="000000"/>
          <w:sz w:val="24"/>
        </w:rPr>
        <w:t>(i) delivery to the Paying Agent by a Holder of a duly completed notice (the “</w:t>
      </w:r>
      <w:r>
        <w:rPr>
          <w:rFonts w:ascii="Times New Roman" w:hAnsi="Times New Roman"/>
          <w:b/>
          <w:color w:val="000000"/>
          <w:sz w:val="24"/>
        </w:rPr>
        <w:t>Fundamental Change Repurchase Notice</w:t>
      </w:r>
      <w:r>
        <w:rPr>
          <w:rFonts w:ascii="Times New Roman" w:hAnsi="Times New Roman"/>
          <w:color w:val="000000"/>
          <w:sz w:val="20"/>
        </w:rPr>
        <w:t>”</w:t>
      </w:r>
      <w:r>
        <w:rPr>
          <w:rFonts w:ascii="Times New Roman" w:hAnsi="Times New Roman"/>
          <w:color w:val="000000"/>
          <w:sz w:val="24"/>
        </w:rPr>
        <w:t>)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Fundamental Change Repurchase Notice in respect of any Physical Notes to be repurchased shall state: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certificate numbers of the Notes to be delivered for repurchase;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portion of the principal amount of Notes to be repurchased, which must be $1,000 or an integral multiple thereof;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that the Notes are to be repurchased by the Company pursuant to the applicable provisions of the Notes and this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Notes are Global Notes, to exercise the Fundamental Change repurchase right, Holders must surrender their Notes in accordance with applicable Depositary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Paying Agent shall promptly notify the Company of the receipt by it of any Fundamental Change Repurchase Notice or written notice of withdrawal thereof.</w:t>
      </w:r>
    </w:p>
    <w:p>
      <w:pPr>
        <w:pStyle w:val="TextBody"/>
        <w:bidi w:val="0"/>
        <w:spacing w:before="0" w:after="240"/>
        <w:jc w:val="left"/>
        <w:rPr>
          <w:rFonts w:ascii="Times New Roman" w:hAnsi="Times New Roman"/>
          <w:sz w:val="20"/>
        </w:rPr>
      </w:pPr>
      <w:r>
        <w:rPr>
          <w:rFonts w:ascii="Times New Roman" w:hAnsi="Times New Roman"/>
          <w:color w:val="000000"/>
          <w:sz w:val="24"/>
        </w:rPr>
        <w:t>(c) On or before the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Business Day after the occurrence of the effective date of a Fundamental Change, the Company shall provide to all Holders and the Trustee, the Conversion Agent (if other than the Trustee), and the Paying Agent (if other than the Trustee) a notice (the “</w:t>
      </w:r>
      <w:r>
        <w:rPr>
          <w:rFonts w:ascii="Times New Roman" w:hAnsi="Times New Roman"/>
          <w:b/>
          <w:color w:val="000000"/>
          <w:sz w:val="24"/>
        </w:rPr>
        <w:t>Fundamental Change Company Notice</w:t>
      </w:r>
      <w:r>
        <w:rPr>
          <w:rFonts w:ascii="Times New Roman" w:hAnsi="Times New Roman"/>
          <w:color w:val="000000"/>
          <w:sz w:val="20"/>
        </w:rPr>
        <w:t>”</w:t>
      </w:r>
      <w:r>
        <w:rPr>
          <w:rFonts w:ascii="Times New Roman" w:hAnsi="Times New Roman"/>
          <w:color w:val="000000"/>
          <w:sz w:val="24"/>
        </w:rPr>
        <w:t>) of the occurrence of the effective date of the Fundamental Change and of the resulting repurchase right at the option of the 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events causing the Fundamental 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effective date of the Fundamental 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last date on which a Holder may exercise the repurchase right pursuant to this ‎Article 15;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Fundamental Change Repurchase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the Fundamental Change Repurchase Date;</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 the name and address of the Paying Agent and the Conversion Agent, if applicable;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if applicable, the Conversion Rate and any adjustments to the Conversion Rate as a result of the Fundamental Change (or related Make-Whole Fundamental 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that the Notes with respect to which a Fundamental Change Repurchase Notice has been delivered by a Holder may be converted only if the Holder validly withdraws the Fundamental Change Repurchase Notice in accordance with the terms of this Indenture;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the procedures that Holders must follow to require the Company to repurchase their Notes.</w:t>
      </w:r>
    </w:p>
    <w:p>
      <w:pPr>
        <w:pStyle w:val="TextBody"/>
        <w:bidi w:val="0"/>
        <w:spacing w:before="0" w:after="240"/>
        <w:jc w:val="left"/>
        <w:rPr>
          <w:rFonts w:ascii="Times New Roman" w:hAnsi="Times New Roman"/>
          <w:sz w:val="20"/>
        </w:rPr>
      </w:pPr>
      <w:r>
        <w:rPr>
          <w:rFonts w:ascii="Times New Roman" w:hAnsi="Times New Roman"/>
          <w:color w:val="000000"/>
          <w:sz w:val="24"/>
        </w:rPr>
        <w:t>No failure of the Company to give the foregoing notices and no defect therein shall limit the Holders’ repurchase rights or affect the validity of the proceedings for the repurchase of the Notes pursuant to this ‎Section 15.02.</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At the Company’s written request given at least two (2) Business Days before such notice is to be sent (or such shorter period as shall be acceptable to the Trustee), the Trustee shall give such notice in the Company’s name and at the Company’s expense;</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in all cases, the text of such Fundamental Change Company Notice shall be prepared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validly withdrawn.</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(f) 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immediately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any accrued but unpaid Special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 provisions described in this ‎Section 15.02(f), the Company does not offer to repurchase any Notes is referred to as herein as an “</w:t>
      </w:r>
      <w:r>
        <w:rPr>
          <w:rFonts w:ascii="Times New Roman" w:hAnsi="Times New Roman"/>
          <w:b/>
          <w:color w:val="000000"/>
          <w:sz w:val="24"/>
        </w:rPr>
        <w:t>Exempted Fundamental Change</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Section 15.03</w:t>
      </w:r>
      <w:r>
        <w:rPr>
          <w:rFonts w:ascii="Times New Roman" w:hAnsi="Times New Roman"/>
          <w:i/>
          <w:color w:val="000000"/>
          <w:sz w:val="24"/>
        </w:rPr>
        <w:t>. Withdrawal of Fundamental Change Repurchase Notice.</w:t>
      </w:r>
      <w:r>
        <w:rPr>
          <w:rFonts w:ascii="Times New Roman" w:hAnsi="Times New Roman"/>
          <w:color w:val="000000"/>
          <w:sz w:val="20"/>
        </w:rPr>
        <w:t xml:space="preserve"> </w:t>
      </w:r>
      <w:r>
        <w:rPr>
          <w:rFonts w:ascii="Times New Roman" w:hAnsi="Times New Roman"/>
          <w:color w:val="000000"/>
          <w:sz w:val="24"/>
        </w:rPr>
        <w:t>(a)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principal amount of the Notes with respect to which such notice of withdrawal is being submitted, which must be $1,000 or an integral multiple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if Physical Notes have been issued, the certificate number of the Note in respect of which such notice of withdrawal is being submitted,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principal amount, if any, of such Note that remains subject to the original Fundamental Change Repurchase Notice, which portion must be in principal amounts of $1,000 or an integral multiple of $1,000;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Notes are Global Notes, Holders must withdraw their Notes subject to repurchase at any time prior to the close of business on the Business Day immediately preceding the Fundamental Change Repurchase Date in accordance with applicable procedures of the Depositary.</w:t>
      </w:r>
    </w:p>
    <w:p>
      <w:pPr>
        <w:pStyle w:val="TextBody"/>
        <w:bidi w:val="0"/>
        <w:spacing w:before="0" w:after="240"/>
        <w:jc w:val="left"/>
        <w:rPr>
          <w:rFonts w:ascii="Times New Roman" w:hAnsi="Times New Roman"/>
          <w:sz w:val="20"/>
        </w:rPr>
      </w:pPr>
      <w:r>
        <w:rPr>
          <w:rFonts w:ascii="Times New Roman" w:hAnsi="Times New Roman"/>
          <w:color w:val="000000"/>
          <w:sz w:val="24"/>
        </w:rPr>
        <w:t>Section 15.04</w:t>
      </w:r>
      <w:r>
        <w:rPr>
          <w:rFonts w:ascii="Times New Roman" w:hAnsi="Times New Roman"/>
          <w:i/>
          <w:color w:val="000000"/>
          <w:sz w:val="24"/>
        </w:rPr>
        <w:t>. Deposit of Fundamental Change Repurchase Price.</w:t>
      </w:r>
      <w:r>
        <w:rPr>
          <w:rFonts w:ascii="Times New Roman" w:hAnsi="Times New Roman"/>
          <w:color w:val="000000"/>
          <w:sz w:val="20"/>
        </w:rPr>
        <w:t xml:space="preserve"> </w:t>
      </w:r>
      <w:r>
        <w:rPr>
          <w:rFonts w:ascii="Times New Roman" w:hAnsi="Times New Roman"/>
          <w:color w:val="000000"/>
          <w:sz w:val="24"/>
        </w:rPr>
        <w:t>(a)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surrendered for repurchase (and not validly withdrawn prior to the close of business on the Business Day immediately preceding the Fundamental Change Repurchase Date) will be made on the later of (i) the Fundamental Change Repurchase Date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Special Interest, if applicable) of the Notes to be repurchased on such Fundamental Change Repurchase Date, then, with respect to the Notes that have been properly surrendered for repurchase and have not been validly withdrawn, (i) such Notes will cease to be outstanding, (ii) Special Interest, if any,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Special Interest, if applicable).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15.05. </w:t>
      </w:r>
      <w:r>
        <w:rPr>
          <w:rFonts w:ascii="Times New Roman" w:hAnsi="Times New Roman"/>
          <w:i/>
          <w:color w:val="000000"/>
          <w:sz w:val="24"/>
        </w:rPr>
        <w:t>Covenant to Comply with Applicable Laws Upon Repurchase of Notes</w:t>
      </w:r>
      <w:r>
        <w:rPr>
          <w:rFonts w:ascii="Times New Roman" w:hAnsi="Times New Roman"/>
          <w:color w:val="000000"/>
          <w:sz w:val="24"/>
        </w:rPr>
        <w:t>. In connection with any repurchase offer upon a Fundamental Change pursuant to this Article 15, the Company will, if required: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comply with the tender offer rules under the Exchange Act that may then be applicable;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file a Schedule TO or any other required schedule under the Exchange Act;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otherwise comply in all material respects with all federal and state securities laws in connection with any offer by the Company to repurchase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each case, so as to permit the rights and obligations under this ‎Article 15 to be exercised in the time and in the manner specified in this ‎Article 15.</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16</w:t>
      </w:r>
      <w:r>
        <w:rPr>
          <w:rFonts w:ascii="Times New Roman" w:hAnsi="Times New Roman"/>
          <w:smallCaps/>
          <w:color w:val="000000"/>
          <w:sz w:val="24"/>
        </w:rPr>
        <w:br/>
        <w:t>Optional Redemption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16.01. </w:t>
      </w:r>
      <w:r>
        <w:rPr>
          <w:rFonts w:ascii="Times New Roman" w:hAnsi="Times New Roman"/>
          <w:i/>
          <w:color w:val="000000"/>
          <w:sz w:val="24"/>
        </w:rPr>
        <w:t>Optional Redemption</w:t>
      </w:r>
      <w:r>
        <w:rPr>
          <w:rFonts w:ascii="Times New Roman" w:hAnsi="Times New Roman"/>
          <w:color w:val="000000"/>
          <w:sz w:val="24"/>
        </w:rPr>
        <w:t>. No sinking fund is provided for the Notes. The Notes shall not be redeemable by the Company prior to August 20, 2029. On a Redemption Date on or after August 20, 2029, the Company may redeem (an “</w:t>
      </w:r>
      <w:r>
        <w:rPr>
          <w:rFonts w:ascii="Times New Roman" w:hAnsi="Times New Roman"/>
          <w:b/>
          <w:color w:val="000000"/>
          <w:sz w:val="24"/>
        </w:rPr>
        <w:t>Optional Redemption</w:t>
      </w:r>
      <w:r>
        <w:rPr>
          <w:rFonts w:ascii="Times New Roman" w:hAnsi="Times New Roman"/>
          <w:color w:val="000000"/>
          <w:sz w:val="20"/>
        </w:rPr>
        <w:t>”</w:t>
      </w:r>
      <w:r>
        <w:rPr>
          <w:rFonts w:ascii="Times New Roman" w:hAnsi="Times New Roman"/>
          <w:color w:val="000000"/>
          <w:sz w:val="24"/>
        </w:rPr>
        <w:t>) for cash all or any portion of the Notes (subject to the Partial Redemption Limitation),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16.02. </w:t>
      </w:r>
      <w:r>
        <w:rPr>
          <w:rFonts w:ascii="Times New Roman" w:hAnsi="Times New Roman"/>
          <w:i/>
          <w:color w:val="000000"/>
          <w:sz w:val="24"/>
        </w:rPr>
        <w:t>Notice of Optional Redemption; Selection of Notes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In case the Company exercises its Optional Redemption right to redeem all or, as the case may be, any part of the Notes pursuant to ‎Section 16.01, it shall fix a date for redemption (each, a “</w:t>
      </w:r>
      <w:r>
        <w:rPr>
          <w:rFonts w:ascii="Times New Roman" w:hAnsi="Times New Roman"/>
          <w:b/>
          <w:color w:val="000000"/>
          <w:sz w:val="24"/>
        </w:rPr>
        <w:t>Redemption Date</w:t>
      </w:r>
      <w:r>
        <w:rPr>
          <w:rFonts w:ascii="Times New Roman" w:hAnsi="Times New Roman"/>
          <w:color w:val="000000"/>
          <w:sz w:val="20"/>
        </w:rPr>
        <w:t>”</w:t>
      </w:r>
      <w:r>
        <w:rPr>
          <w:rFonts w:ascii="Times New Roman" w:hAnsi="Times New Roman"/>
          <w:color w:val="000000"/>
          <w:sz w:val="24"/>
        </w:rPr>
        <w:t>) and it or, at its written request received by the Trustee not less than five Business Days prior to the date such Notice of Redemption is to be sent (or such shorter period of time as may be acceptable to the Trustee), the Trustee, in the name of and at the expense of the Company, shall deliver or cause to be delivered a notice of such Optional Redemption (a “</w:t>
      </w:r>
      <w:r>
        <w:rPr>
          <w:rFonts w:ascii="Times New Roman" w:hAnsi="Times New Roman"/>
          <w:b/>
          <w:color w:val="000000"/>
          <w:sz w:val="24"/>
        </w:rPr>
        <w:t>Notice of Redemption</w:t>
      </w:r>
      <w:r>
        <w:rPr>
          <w:rFonts w:ascii="Times New Roman" w:hAnsi="Times New Roman"/>
          <w:color w:val="000000"/>
          <w:sz w:val="20"/>
        </w:rPr>
        <w:t>”</w:t>
      </w:r>
      <w:r>
        <w:rPr>
          <w:rFonts w:ascii="Times New Roman" w:hAnsi="Times New Roman"/>
          <w:color w:val="000000"/>
          <w:sz w:val="24"/>
        </w:rPr>
        <w:t xml:space="preserve">) not less than 35 nor more than 55 Scheduled Trading Days prior to the Redemption Date to each Holder so to be redeemed as a whole or in part;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Company shall give such notice, it shall also give written notice of the Redemption Date to the Trustee, the Paying Agent (if other than the Trustee) and the Conversion Agent (if other than the Trustee). The Redemption Date must be a Business Day, and the Company shall not specify a Redemption Date that falls on or after the 31st Scheduled Trading Day immediately preceding the Maturity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Each Notice of Redemption shall specify: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Redemption Date;</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Redemption Price;</w:t>
      </w:r>
    </w:p>
    <w:p>
      <w:pPr>
        <w:pStyle w:val="TextBody"/>
        <w:bidi w:val="0"/>
        <w:spacing w:before="0" w:after="240"/>
        <w:jc w:val="left"/>
        <w:rPr>
          <w:rFonts w:ascii="Times New Roman" w:hAnsi="Times New Roman"/>
          <w:sz w:val="20"/>
        </w:rPr>
      </w:pPr>
      <w:r>
        <w:rPr>
          <w:rFonts w:ascii="Times New Roman" w:hAnsi="Times New Roman"/>
          <w:color w:val="000000"/>
          <w:sz w:val="24"/>
        </w:rPr>
        <w:t>(iii) that on the Redemption Date, the Redemption Price will become due and payable upon each Note to be redeemed, and that Special Interest thereon, if any, shall cease to accrue on and after payment of the Redemption Price in full on the Redemption Date;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place or places where such Notes are to be surrendered for payment of the Redemption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that Holders of Called Notes may surrender such Notes for conversion at any time during the related Redemption Period;</w:t>
      </w:r>
    </w:p>
    <w:p>
      <w:pPr>
        <w:pStyle w:val="TextBody"/>
        <w:bidi w:val="0"/>
        <w:spacing w:before="0" w:after="240"/>
        <w:jc w:val="left"/>
        <w:rPr>
          <w:rFonts w:ascii="Times New Roman" w:hAnsi="Times New Roman"/>
          <w:sz w:val="20"/>
        </w:rPr>
      </w:pPr>
      <w:r>
        <w:rPr>
          <w:rFonts w:ascii="Times New Roman" w:hAnsi="Times New Roman"/>
          <w:color w:val="000000"/>
          <w:sz w:val="24"/>
        </w:rPr>
        <w:t>(vi) the procedures a converting Holder must follow to convert its Called Notes and the Cash Percentage;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(vii) the Conversion Rate and, if applicable, the number of Additional Shares added to the Conversion Rate in accordance with ‎Section 14.03;</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the CUSIP, ISIN or other similar numbers, if any, assigned to such Notes;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in case any Note is to be redeemed in part only, the portion of the principal amount thereof to be redeemed and on and after the Redemption Date, upon surrender of such Note, a new Note in principal amount equal to the unredeemed portion thereof shall be issued.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Notice of Redemption shall be irrevocable.</w:t>
      </w:r>
    </w:p>
    <w:p>
      <w:pPr>
        <w:pStyle w:val="TextBody"/>
        <w:bidi w:val="0"/>
        <w:spacing w:before="0" w:after="240"/>
        <w:jc w:val="left"/>
        <w:rPr>
          <w:rFonts w:ascii="Times New Roman" w:hAnsi="Times New Roman"/>
          <w:sz w:val="20"/>
        </w:rPr>
      </w:pPr>
      <w:r>
        <w:rPr>
          <w:rFonts w:ascii="Times New Roman" w:hAnsi="Times New Roman"/>
          <w:color w:val="000000"/>
          <w:sz w:val="24"/>
        </w:rPr>
        <w:t>(d) If the Company elects to redeem fewer than all of the outstanding Notes, at least $75,000,000 aggregate principal amount of Notes must be outstanding and not subject to Optional Redemption as of, and after giving effect to, the delivery of the relevant Notice of Redemption (such requirement, the “</w:t>
      </w:r>
      <w:r>
        <w:rPr>
          <w:rFonts w:ascii="Times New Roman" w:hAnsi="Times New Roman"/>
          <w:b/>
          <w:color w:val="000000"/>
          <w:sz w:val="24"/>
        </w:rPr>
        <w:t>Partial Redemption Limitation</w:t>
      </w:r>
      <w:r>
        <w:rPr>
          <w:rFonts w:ascii="Times New Roman" w:hAnsi="Times New Roman"/>
          <w:color w:val="000000"/>
          <w:sz w:val="20"/>
        </w:rPr>
        <w:t>”</w:t>
      </w:r>
      <w:r>
        <w:rPr>
          <w:rFonts w:ascii="Times New Roman" w:hAnsi="Times New Roman"/>
          <w:color w:val="000000"/>
          <w:sz w:val="24"/>
        </w:rPr>
        <w:t xml:space="preserve">). If fewer than all of the outstanding Notes are to be redeemed and the Notes to be redeemed are Global Notes, the Notes to be redeemed shall be selected by the Depositary in accordance with the applicable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basis or by another method the Trustee considers to be fair and appropriate. If any Note selected for partial redemption by the Trustee (or the Depositary, with respect to Global Notes)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16.03. </w:t>
      </w:r>
      <w:r>
        <w:rPr>
          <w:rFonts w:ascii="Times New Roman" w:hAnsi="Times New Roman"/>
          <w:i/>
          <w:color w:val="000000"/>
          <w:sz w:val="24"/>
        </w:rPr>
        <w:t>Payment of Notes Called for Redemption</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If any Notice of Redemption has been given in respect of all or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16.04. </w:t>
      </w:r>
      <w:r>
        <w:rPr>
          <w:rFonts w:ascii="Times New Roman" w:hAnsi="Times New Roman"/>
          <w:i/>
          <w:color w:val="000000"/>
          <w:sz w:val="24"/>
        </w:rPr>
        <w:t>Restrictions on Redemption</w:t>
      </w:r>
      <w:r>
        <w:rPr>
          <w:rFonts w:ascii="Times New Roman" w:hAnsi="Times New Roman"/>
          <w:color w:val="000000"/>
          <w:sz w:val="24"/>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pStyle w:val="TextBody"/>
        <w:bidi w:val="0"/>
        <w:spacing w:before="120" w:after="240"/>
        <w:jc w:val="center"/>
        <w:rPr>
          <w:rFonts w:ascii="Times New Roman" w:hAnsi="Times New Roman"/>
          <w:sz w:val="20"/>
        </w:rPr>
      </w:pPr>
      <w:r>
        <w:rPr>
          <w:rFonts w:ascii="Times New Roman" w:hAnsi="Times New Roman"/>
          <w:caps/>
          <w:color w:val="000000"/>
          <w:sz w:val="24"/>
        </w:rPr>
        <w:t>Article 17</w:t>
      </w:r>
      <w:r>
        <w:rPr>
          <w:rFonts w:ascii="Times New Roman" w:hAnsi="Times New Roman"/>
          <w:smallCaps/>
          <w:color w:val="000000"/>
          <w:sz w:val="24"/>
        </w:rPr>
        <w:br/>
        <w:t>Miscellaneous Provisions</w:t>
      </w:r>
    </w:p>
    <w:p>
      <w:pPr>
        <w:pStyle w:val="TextBody"/>
        <w:bidi w:val="0"/>
        <w:spacing w:before="0" w:after="240"/>
        <w:jc w:val="left"/>
        <w:rPr>
          <w:rFonts w:ascii="Times New Roman" w:hAnsi="Times New Roman"/>
          <w:sz w:val="20"/>
        </w:rPr>
      </w:pPr>
      <w:r>
        <w:rPr>
          <w:rFonts w:ascii="Times New Roman" w:hAnsi="Times New Roman"/>
          <w:color w:val="000000"/>
          <w:sz w:val="24"/>
        </w:rPr>
        <w:t>Section 17.01</w:t>
      </w:r>
      <w:r>
        <w:rPr>
          <w:rFonts w:ascii="Times New Roman" w:hAnsi="Times New Roman"/>
          <w:i/>
          <w:color w:val="000000"/>
          <w:sz w:val="24"/>
        </w:rPr>
        <w:t>. Provisions Binding on Company’s Successors.</w:t>
      </w:r>
      <w:r>
        <w:rPr>
          <w:rFonts w:ascii="Times New Roman" w:hAnsi="Times New Roman"/>
          <w:color w:val="000000"/>
          <w:sz w:val="20"/>
        </w:rPr>
        <w:t xml:space="preserve"> </w:t>
      </w:r>
      <w:r>
        <w:rPr>
          <w:rFonts w:ascii="Times New Roman" w:hAnsi="Times New Roman"/>
          <w:color w:val="000000"/>
          <w:sz w:val="24"/>
        </w:rPr>
        <w:t>All the covenants, stipulations, promises and agreements of the Company contained in this Indenture shall bind its successors and assigns whether so expressed or not.</w:t>
      </w:r>
    </w:p>
    <w:p>
      <w:pPr>
        <w:pStyle w:val="TextBody"/>
        <w:bidi w:val="0"/>
        <w:spacing w:before="0" w:after="240"/>
        <w:jc w:val="left"/>
        <w:rPr>
          <w:rFonts w:ascii="Times New Roman" w:hAnsi="Times New Roman"/>
          <w:sz w:val="20"/>
        </w:rPr>
      </w:pPr>
      <w:r>
        <w:rPr>
          <w:rFonts w:ascii="Times New Roman" w:hAnsi="Times New Roman"/>
          <w:color w:val="000000"/>
          <w:sz w:val="24"/>
        </w:rPr>
        <w:t>Section 17.02</w:t>
      </w:r>
      <w:r>
        <w:rPr>
          <w:rFonts w:ascii="Times New Roman" w:hAnsi="Times New Roman"/>
          <w:i/>
          <w:color w:val="000000"/>
          <w:sz w:val="24"/>
        </w:rPr>
        <w:t>. Official Acts by Successor Entity.</w:t>
      </w:r>
      <w:r>
        <w:rPr>
          <w:rFonts w:ascii="Times New Roman" w:hAnsi="Times New Roman"/>
          <w:color w:val="000000"/>
          <w:sz w:val="20"/>
        </w:rPr>
        <w:t xml:space="preserve"> </w:t>
      </w:r>
      <w:r>
        <w:rPr>
          <w:rFonts w:ascii="Times New Roman" w:hAnsi="Times New Roman"/>
          <w:color w:val="000000"/>
          <w:sz w:val="24"/>
        </w:rPr>
        <w:t>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Section 17.03</w:t>
      </w:r>
      <w:r>
        <w:rPr>
          <w:rFonts w:ascii="Times New Roman" w:hAnsi="Times New Roman"/>
          <w:i/>
          <w:color w:val="000000"/>
          <w:sz w:val="24"/>
        </w:rPr>
        <w:t>. Addresses for Notices, Etc.</w:t>
      </w:r>
      <w:r>
        <w:rPr>
          <w:rFonts w:ascii="Times New Roman" w:hAnsi="Times New Roman"/>
          <w:color w:val="000000"/>
          <w:sz w:val="20"/>
        </w:rPr>
        <w:t xml:space="preserve"> </w:t>
      </w:r>
      <w:r>
        <w:rPr>
          <w:rFonts w:ascii="Times New Roman" w:hAnsi="Times New Roman"/>
          <w:color w:val="000000"/>
          <w:sz w:val="24"/>
        </w:rPr>
        <w:t>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certified mail in a post office letter box addressed (until another address is filed by the Company with the Trustee) to Diodes Incorporated, 4949 Hedgcoxe Road, Suite 200, Plano, Texas 75024, Attention: Brett Whitmire.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Trustee, by notice to the Company, may designate additional or different addresses for subsequent notices or communications.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notice to the Trustee and the Conversion Agent shall be deemed given upon actual receipt by the Trustee or the Conversion Agent, as applicable. Notwithstanding any other provision of this Indenture 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240"/>
        <w:jc w:val="left"/>
        <w:rPr>
          <w:rFonts w:ascii="Times New Roman" w:hAnsi="Times New Roman"/>
          <w:sz w:val="20"/>
        </w:rPr>
      </w:pPr>
      <w:r>
        <w:rPr>
          <w:rFonts w:ascii="Times New Roman" w:hAnsi="Times New Roman"/>
          <w:color w:val="000000"/>
          <w:sz w:val="24"/>
        </w:rPr>
        <w:t>Section 17.04</w:t>
      </w:r>
      <w:r>
        <w:rPr>
          <w:rFonts w:ascii="Times New Roman" w:hAnsi="Times New Roman"/>
          <w:i/>
          <w:color w:val="000000"/>
          <w:sz w:val="24"/>
        </w:rPr>
        <w:t>. Governing Law; Jurisdiction.</w:t>
      </w:r>
      <w:r>
        <w:rPr>
          <w:rFonts w:ascii="Times New Roman" w:hAnsi="Times New Roman"/>
          <w:color w:val="000000"/>
          <w:sz w:val="20"/>
        </w:rPr>
        <w:t xml:space="preserve"> </w:t>
      </w:r>
      <w:r>
        <w:rPr>
          <w:rFonts w:ascii="Times New Roman" w:hAnsi="Times New Roman"/>
          <w:color w:val="000000"/>
          <w:sz w:val="24"/>
        </w:rPr>
        <w:t>THIS INDENTURE AND EACH NOTE, AND ANY CLAIM, CONTROVERSY OR DISPUTE ARISING UNDER OR RELATED TO THIS INDENTURE AND EACH NOTE, SHALL BE GOVERNED BY, AND CONSTRUED IN ACCORDANCE WITH, THE LAWS OF THE STATE OF NEW YORK.</w:t>
      </w:r>
    </w:p>
    <w:p>
      <w:pPr>
        <w:pStyle w:val="TextBody"/>
        <w:bidi w:val="0"/>
        <w:spacing w:before="0" w:after="240"/>
        <w:jc w:val="left"/>
        <w:rPr>
          <w:rFonts w:ascii="Times New Roman" w:hAnsi="Times New Roman"/>
          <w:sz w:val="20"/>
        </w:rPr>
      </w:pPr>
      <w:r>
        <w:rPr>
          <w:rFonts w:ascii="Times New Roman" w:hAnsi="Times New Roman"/>
          <w:color w:val="000000"/>
          <w:sz w:val="24"/>
        </w:rPr>
        <w:t>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amounts due and to become due in respect of the Notes have been paid, hereby irrevocably consents and submits to the non-exclusive jurisdiction of each such court</w:t>
      </w:r>
      <w:r>
        <w:rPr>
          <w:rFonts w:ascii="Times New Roman" w:hAnsi="Times New Roman"/>
          <w:color w:val="000000"/>
          <w:sz w:val="20"/>
        </w:rPr>
        <w:t xml:space="preserve"> </w:t>
      </w:r>
      <w:r>
        <w:rPr>
          <w:rFonts w:ascii="Times New Roman" w:hAnsi="Times New Roman"/>
          <w:i/>
          <w:color w:val="000000"/>
          <w:sz w:val="24"/>
        </w:rPr>
        <w:t>in personam</w:t>
      </w:r>
      <w:r>
        <w:rPr>
          <w:rFonts w:ascii="Times New Roman" w:hAnsi="Times New Roman"/>
          <w:color w:val="000000"/>
          <w:sz w:val="24"/>
        </w:rPr>
        <w:t>, generally and unconditionally with respect to any action, suit or proceeding for itself in respect of its properties, assets and revenues.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240"/>
        <w:jc w:val="left"/>
        <w:rPr>
          <w:rFonts w:ascii="Times New Roman" w:hAnsi="Times New Roman"/>
          <w:sz w:val="20"/>
        </w:rPr>
      </w:pPr>
      <w:r>
        <w:rPr>
          <w:rFonts w:ascii="Times New Roman" w:hAnsi="Times New Roman"/>
          <w:color w:val="000000"/>
          <w:sz w:val="24"/>
        </w:rPr>
        <w:t>Section 17.05</w:t>
      </w:r>
      <w:r>
        <w:rPr>
          <w:rFonts w:ascii="Times New Roman" w:hAnsi="Times New Roman"/>
          <w:i/>
          <w:color w:val="000000"/>
          <w:sz w:val="24"/>
        </w:rPr>
        <w:t>. Evidence of Compliance with Conditions Precedent; Certificates and Opinions of Counsel to Trustee.</w:t>
      </w:r>
      <w:r>
        <w:rPr>
          <w:rFonts w:ascii="Times New Roman" w:hAnsi="Times New Roman"/>
          <w:color w:val="000000"/>
          <w:sz w:val="20"/>
        </w:rPr>
        <w:t xml:space="preserve"> </w:t>
      </w:r>
      <w:r>
        <w:rPr>
          <w:rFonts w:ascii="Times New Roman" w:hAnsi="Times New Roman"/>
          <w:color w:val="000000"/>
          <w:sz w:val="24"/>
        </w:rPr>
        <w:t>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and that all conditions precedent to such action have been complied with.</w:t>
      </w:r>
    </w:p>
    <w:p>
      <w:pPr>
        <w:pStyle w:val="TextBody"/>
        <w:bidi w:val="0"/>
        <w:spacing w:before="0" w:after="240"/>
        <w:jc w:val="left"/>
        <w:rPr>
          <w:rFonts w:ascii="Times New Roman" w:hAnsi="Times New Roman"/>
          <w:sz w:val="20"/>
        </w:rPr>
      </w:pPr>
      <w:r>
        <w:rPr>
          <w:rFonts w:ascii="Times New Roman" w:hAnsi="Times New Roman"/>
          <w:color w:val="000000"/>
          <w:sz w:val="24"/>
        </w:rPr>
        <w:t>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17.06</w:t>
      </w:r>
      <w:r>
        <w:rPr>
          <w:rFonts w:ascii="Times New Roman" w:hAnsi="Times New Roman"/>
          <w:i/>
          <w:color w:val="000000"/>
          <w:sz w:val="24"/>
        </w:rPr>
        <w:t>. Legal Holidays.</w:t>
      </w:r>
      <w:r>
        <w:rPr>
          <w:rFonts w:ascii="Times New Roman" w:hAnsi="Times New Roman"/>
          <w:color w:val="000000"/>
          <w:sz w:val="20"/>
        </w:rPr>
        <w:t xml:space="preserve"> </w:t>
      </w:r>
      <w:r>
        <w:rPr>
          <w:rFonts w:ascii="Times New Roman" w:hAnsi="Times New Roman"/>
          <w:color w:val="000000"/>
          <w:sz w:val="24"/>
        </w:rPr>
        <w:t>In any case where any Special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w:t>
      </w:r>
    </w:p>
    <w:p>
      <w:pPr>
        <w:pStyle w:val="TextBody"/>
        <w:bidi w:val="0"/>
        <w:spacing w:before="0" w:after="240"/>
        <w:jc w:val="left"/>
        <w:rPr>
          <w:rFonts w:ascii="Times New Roman" w:hAnsi="Times New Roman"/>
          <w:sz w:val="20"/>
        </w:rPr>
      </w:pPr>
      <w:r>
        <w:rPr>
          <w:rFonts w:ascii="Times New Roman" w:hAnsi="Times New Roman"/>
          <w:color w:val="000000"/>
          <w:sz w:val="24"/>
        </w:rPr>
        <w:t>Section 17.07</w:t>
      </w:r>
      <w:r>
        <w:rPr>
          <w:rFonts w:ascii="Times New Roman" w:hAnsi="Times New Roman"/>
          <w:i/>
          <w:color w:val="000000"/>
          <w:sz w:val="24"/>
        </w:rPr>
        <w:t>. No Security Interest Created.</w:t>
      </w:r>
      <w:r>
        <w:rPr>
          <w:rFonts w:ascii="Times New Roman" w:hAnsi="Times New Roman"/>
          <w:color w:val="000000"/>
          <w:sz w:val="20"/>
        </w:rPr>
        <w:t xml:space="preserve"> </w:t>
      </w:r>
      <w:r>
        <w:rPr>
          <w:rFonts w:ascii="Times New Roman" w:hAnsi="Times New Roman"/>
          <w:color w:val="000000"/>
          <w:sz w:val="24"/>
        </w:rPr>
        <w:t>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240"/>
        <w:jc w:val="left"/>
        <w:rPr>
          <w:rFonts w:ascii="Times New Roman" w:hAnsi="Times New Roman"/>
          <w:sz w:val="20"/>
        </w:rPr>
      </w:pPr>
      <w:r>
        <w:rPr>
          <w:rFonts w:ascii="Times New Roman" w:hAnsi="Times New Roman"/>
          <w:color w:val="000000"/>
          <w:sz w:val="24"/>
        </w:rPr>
        <w:t>Section 17.08</w:t>
      </w:r>
      <w:r>
        <w:rPr>
          <w:rFonts w:ascii="Times New Roman" w:hAnsi="Times New Roman"/>
          <w:i/>
          <w:color w:val="000000"/>
          <w:sz w:val="24"/>
        </w:rPr>
        <w:t>. Benefits of Indenture.</w:t>
      </w:r>
      <w:r>
        <w:rPr>
          <w:rFonts w:ascii="Times New Roman" w:hAnsi="Times New Roman"/>
          <w:color w:val="000000"/>
          <w:sz w:val="20"/>
        </w:rPr>
        <w:t xml:space="preserve"> </w:t>
      </w:r>
      <w:r>
        <w:rPr>
          <w:rFonts w:ascii="Times New Roman" w:hAnsi="Times New Roman"/>
          <w:color w:val="000000"/>
          <w:sz w:val="24"/>
        </w:rPr>
        <w:t>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240"/>
        <w:jc w:val="left"/>
        <w:rPr>
          <w:rFonts w:ascii="Times New Roman" w:hAnsi="Times New Roman"/>
          <w:sz w:val="20"/>
        </w:rPr>
      </w:pPr>
      <w:r>
        <w:rPr>
          <w:rFonts w:ascii="Times New Roman" w:hAnsi="Times New Roman"/>
          <w:color w:val="000000"/>
          <w:sz w:val="24"/>
        </w:rPr>
        <w:t>Section 17.09</w:t>
      </w:r>
      <w:r>
        <w:rPr>
          <w:rFonts w:ascii="Times New Roman" w:hAnsi="Times New Roman"/>
          <w:i/>
          <w:color w:val="000000"/>
          <w:sz w:val="24"/>
        </w:rPr>
        <w:t>. Table of Contents, Headings, Etc.</w:t>
      </w:r>
      <w:r>
        <w:rPr>
          <w:rFonts w:ascii="Times New Roman" w:hAnsi="Times New Roman"/>
          <w:color w:val="000000"/>
          <w:sz w:val="20"/>
        </w:rPr>
        <w:t xml:space="preserve"> </w:t>
      </w:r>
      <w:r>
        <w:rPr>
          <w:rFonts w:ascii="Times New Roman" w:hAnsi="Times New Roman"/>
          <w:color w:val="000000"/>
          <w:sz w:val="24"/>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240"/>
        <w:jc w:val="left"/>
        <w:rPr>
          <w:rFonts w:ascii="Times New Roman" w:hAnsi="Times New Roman"/>
          <w:sz w:val="20"/>
        </w:rPr>
      </w:pPr>
      <w:r>
        <w:rPr>
          <w:rFonts w:ascii="Times New Roman" w:hAnsi="Times New Roman"/>
          <w:color w:val="000000"/>
          <w:sz w:val="24"/>
        </w:rPr>
        <w:t>Section 17.10</w:t>
      </w:r>
      <w:r>
        <w:rPr>
          <w:rFonts w:ascii="Times New Roman" w:hAnsi="Times New Roman"/>
          <w:i/>
          <w:color w:val="000000"/>
          <w:sz w:val="24"/>
        </w:rPr>
        <w:t>. Authenticating Agent.</w:t>
      </w:r>
      <w:r>
        <w:rPr>
          <w:rFonts w:ascii="Times New Roman" w:hAnsi="Times New Roman"/>
          <w:color w:val="000000"/>
          <w:sz w:val="20"/>
        </w:rPr>
        <w:t xml:space="preserve"> </w:t>
      </w:r>
      <w:r>
        <w:rPr>
          <w:rFonts w:ascii="Times New Roman" w:hAnsi="Times New Roman"/>
          <w:color w:val="000000"/>
          <w:sz w:val="24"/>
        </w:rPr>
        <w:t>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pStyle w:val="TextBody"/>
        <w:bidi w:val="0"/>
        <w:spacing w:before="0" w:after="240"/>
        <w:jc w:val="left"/>
        <w:rPr>
          <w:rFonts w:ascii="Times New Roman" w:hAnsi="Times New Roman"/>
          <w:sz w:val="20"/>
        </w:rPr>
      </w:pPr>
      <w:r>
        <w:rPr>
          <w:rFonts w:ascii="Times New Roman" w:hAnsi="Times New Roman"/>
          <w:color w:val="000000"/>
          <w:sz w:val="24"/>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17.10, without the execution or filing of any paper or any further act on the part of the parties hereto or the authenticating agent or such successor corporation or other entity.</w:t>
      </w:r>
    </w:p>
    <w:p>
      <w:pPr>
        <w:pStyle w:val="TextBody"/>
        <w:bidi w:val="0"/>
        <w:spacing w:before="0" w:after="240"/>
        <w:jc w:val="left"/>
        <w:rPr>
          <w:rFonts w:ascii="Times New Roman" w:hAnsi="Times New Roman"/>
          <w:sz w:val="20"/>
        </w:rPr>
      </w:pPr>
      <w:r>
        <w:rPr>
          <w:rFonts w:ascii="Times New Roman" w:hAnsi="Times New Roman"/>
          <w:color w:val="000000"/>
          <w:sz w:val="24"/>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provisions of ‎Section 7.02, ‎Section 7.03, ‎Section 7.04, ‎Section 8.03 and this ‎Section 17.10 shall be applicable to any authenticating agent.</w:t>
      </w:r>
    </w:p>
    <w:p>
      <w:pPr>
        <w:pStyle w:val="TextBody"/>
        <w:bidi w:val="0"/>
        <w:jc w:val="left"/>
        <w:rPr>
          <w:rFonts w:ascii="Times New Roman" w:hAnsi="Times New Roman"/>
          <w:color w:val="000000"/>
          <w:sz w:val="24"/>
        </w:rPr>
      </w:pPr>
      <w:r>
        <w:rPr>
          <w:rFonts w:ascii="Times New Roman" w:hAnsi="Times New Roman"/>
          <w:color w:val="000000"/>
          <w:sz w:val="24"/>
        </w:rPr>
        <w:t>If an authenticating agent is appointed pursuant to this ‎Section 17.10, the Notes may have endorsed thereon, in addition to the Trustee’s certificate of authentication, an alternative certificate of authentication in the following form:</w:t>
      </w:r>
    </w:p>
    <w:p>
      <w:pPr>
        <w:pStyle w:val="TextBody"/>
        <w:bidi w:val="0"/>
        <w:jc w:val="left"/>
        <w:rPr/>
      </w:pPr>
      <w:r>
        <w:rPr/>
        <w:t> </w:t>
      </w:r>
    </w:p>
    <w:tbl>
      <w:tblPr>
        <w:tblW w:w="9870" w:type="dxa"/>
        <w:jc w:val="left"/>
        <w:tblInd w:w="0" w:type="dxa"/>
        <w:tblLayout w:type="fixed"/>
        <w:tblCellMar>
          <w:top w:w="28" w:type="dxa"/>
          <w:left w:w="28" w:type="dxa"/>
          <w:bottom w:w="28" w:type="dxa"/>
          <w:right w:w="28" w:type="dxa"/>
        </w:tblCellMar>
      </w:tblPr>
      <w:tblGrid>
        <w:gridCol w:w="5248"/>
        <w:gridCol w:w="1884"/>
        <w:gridCol w:w="2738"/>
      </w:tblGrid>
      <w:tr>
        <w:trPr/>
        <w:tc>
          <w:tcPr>
            <w:tcW w:w="524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r>
      <w:tr>
        <w:trPr/>
        <w:tc>
          <w:tcPr>
            <w:tcW w:w="52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9870"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as Authenticating Agent, certifies that this is one of the Notes described in the within-named Indenture.</w:t>
            </w:r>
          </w:p>
        </w:tc>
      </w:tr>
      <w:tr>
        <w:trPr/>
        <w:tc>
          <w:tcPr>
            <w:tcW w:w="5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87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Officer</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17.11</w:t>
      </w:r>
      <w:r>
        <w:rPr>
          <w:rFonts w:ascii="Times New Roman" w:hAnsi="Times New Roman"/>
          <w:i/>
          <w:color w:val="000000"/>
          <w:sz w:val="24"/>
        </w:rPr>
        <w:t>. Execution in Counterparts.</w:t>
      </w:r>
      <w:r>
        <w:rPr>
          <w:rFonts w:ascii="Times New Roman" w:hAnsi="Times New Roman"/>
          <w:color w:val="000000"/>
          <w:sz w:val="20"/>
        </w:rPr>
        <w:t xml:space="preserve"> </w:t>
      </w:r>
      <w:r>
        <w:rPr>
          <w:rFonts w:ascii="Times New Roman" w:hAnsi="Times New Roman"/>
          <w:color w:val="000000"/>
          <w:sz w:val="24"/>
        </w:rPr>
        <w:t>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pStyle w:val="TextBody"/>
        <w:bidi w:val="0"/>
        <w:spacing w:before="0" w:after="240"/>
        <w:jc w:val="left"/>
        <w:rPr>
          <w:rFonts w:ascii="Times New Roman" w:hAnsi="Times New Roman"/>
          <w:sz w:val="20"/>
        </w:rPr>
      </w:pPr>
      <w:r>
        <w:rPr>
          <w:rFonts w:ascii="Times New Roman" w:hAnsi="Times New Roman"/>
          <w:color w:val="000000"/>
          <w:sz w:val="24"/>
        </w:rPr>
        <w:t>Section 17.12</w:t>
      </w:r>
      <w:r>
        <w:rPr>
          <w:rFonts w:ascii="Times New Roman" w:hAnsi="Times New Roman"/>
          <w:i/>
          <w:color w:val="000000"/>
          <w:sz w:val="24"/>
        </w:rPr>
        <w:t>. Severability.</w:t>
      </w:r>
      <w:r>
        <w:rPr>
          <w:rFonts w:ascii="Times New Roman" w:hAnsi="Times New Roman"/>
          <w:color w:val="000000"/>
          <w:sz w:val="20"/>
        </w:rPr>
        <w:t xml:space="preserve"> </w:t>
      </w:r>
      <w:r>
        <w:rPr>
          <w:rFonts w:ascii="Times New Roman" w:hAnsi="Times New Roman"/>
          <w:color w:val="000000"/>
          <w:sz w:val="24"/>
        </w:rPr>
        <w:t>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Section 17.13</w:t>
      </w:r>
      <w:r>
        <w:rPr>
          <w:rFonts w:ascii="Times New Roman" w:hAnsi="Times New Roman"/>
          <w:i/>
          <w:color w:val="000000"/>
          <w:sz w:val="24"/>
        </w:rPr>
        <w:t>. Waiver of Jury Trial.</w:t>
      </w:r>
      <w:r>
        <w:rPr>
          <w:rFonts w:ascii="Times New Roman" w:hAnsi="Times New Roman"/>
          <w:color w:val="000000"/>
          <w:sz w:val="20"/>
        </w:rPr>
        <w:t xml:space="preserve"> </w:t>
      </w:r>
      <w:r>
        <w:rPr>
          <w:rFonts w:ascii="Times New Roman" w:hAnsi="Times New Roman"/>
          <w:color w:val="000000"/>
          <w:sz w:val="24"/>
        </w:rPr>
        <w:t>EACH OF THE COMPANY, THE HOLDERS, BY THEIR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240"/>
        <w:jc w:val="left"/>
        <w:rPr>
          <w:rFonts w:ascii="Times New Roman" w:hAnsi="Times New Roman"/>
          <w:sz w:val="20"/>
        </w:rPr>
      </w:pPr>
      <w:r>
        <w:rPr>
          <w:rFonts w:ascii="Times New Roman" w:hAnsi="Times New Roman"/>
          <w:color w:val="000000"/>
          <w:sz w:val="24"/>
        </w:rPr>
        <w:t>Section 17.14</w:t>
      </w:r>
      <w:r>
        <w:rPr>
          <w:rFonts w:ascii="Times New Roman" w:hAnsi="Times New Roman"/>
          <w:i/>
          <w:color w:val="000000"/>
          <w:sz w:val="24"/>
        </w:rPr>
        <w:t>. Force Majeure.</w:t>
      </w:r>
      <w:r>
        <w:rPr>
          <w:rFonts w:ascii="Times New Roman" w:hAnsi="Times New Roman"/>
          <w:color w:val="000000"/>
          <w:sz w:val="20"/>
        </w:rPr>
        <w:t xml:space="preserve"> </w:t>
      </w:r>
      <w:r>
        <w:rPr>
          <w:rFonts w:ascii="Times New Roman" w:hAnsi="Times New Roman"/>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pStyle w:val="TextBody"/>
        <w:bidi w:val="0"/>
        <w:spacing w:before="0" w:after="240"/>
        <w:jc w:val="left"/>
        <w:rPr>
          <w:rFonts w:ascii="Times New Roman" w:hAnsi="Times New Roman"/>
          <w:sz w:val="20"/>
        </w:rPr>
      </w:pPr>
      <w:r>
        <w:rPr>
          <w:rFonts w:ascii="Times New Roman" w:hAnsi="Times New Roman"/>
          <w:color w:val="000000"/>
          <w:sz w:val="24"/>
        </w:rPr>
        <w:t>Section 17.15</w:t>
      </w:r>
      <w:r>
        <w:rPr>
          <w:rFonts w:ascii="Times New Roman" w:hAnsi="Times New Roman"/>
          <w:i/>
          <w:color w:val="000000"/>
          <w:sz w:val="24"/>
        </w:rPr>
        <w:t>. Calculations</w:t>
      </w:r>
      <w:r>
        <w:rPr>
          <w:rFonts w:ascii="Times New Roman" w:hAnsi="Times New Roman"/>
          <w:color w:val="000000"/>
          <w:sz w:val="24"/>
        </w:rPr>
        <w:t>. Except as otherwise provided herein, the Company shall be responsible for making all calculations called for under this Indenture and the Notes. These calculations include, but are not limited to, determinations of the Stock Price, the Last Reported Sale Prices of the Common Stock, the Trading Price of the Notes (for purposes of determining whether the Notes are convertible as described herein), the Redemption Price, the Daily VWAPs, the Daily Conversion Values, the Daily Net Settlement Amounts, the Daily Settlement Amounts, accrued interest, if any,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Company will forward its calculations to any Holder of Notes upon the request of that Holder at the sole cost and expense of the Company. For the avoidance of doubt, none of the Trustee, the Paying Agent nor the Conversion Agent shall have any responsibility to monitor the price of the Common Stock or perform any calculations under this Indenture.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17.16. </w:t>
      </w:r>
      <w:r>
        <w:rPr>
          <w:rFonts w:ascii="Times New Roman" w:hAnsi="Times New Roman"/>
          <w:i/>
          <w:color w:val="000000"/>
          <w:sz w:val="24"/>
        </w:rPr>
        <w:t xml:space="preserve">USA PATRIOT Act. </w:t>
      </w:r>
      <w:r>
        <w:rPr>
          <w:rFonts w:ascii="Times New Roman" w:hAnsi="Times New Roman"/>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17.17. </w:t>
      </w:r>
      <w:r>
        <w:rPr>
          <w:rFonts w:ascii="Times New Roman" w:hAnsi="Times New Roman"/>
          <w:i/>
          <w:color w:val="000000"/>
          <w:sz w:val="24"/>
        </w:rPr>
        <w:t>Electronic Signatures</w:t>
      </w:r>
      <w:r>
        <w:rPr>
          <w:rFonts w:ascii="Times New Roman" w:hAnsi="Times New Roman"/>
          <w:color w:val="000000"/>
          <w:sz w:val="24"/>
        </w:rPr>
        <w:t>.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parties hereto have caused this Indenture to be duly executed as of the date first written above.</w:t>
      </w:r>
    </w:p>
    <w:tbl>
      <w:tblPr>
        <w:tblW w:w="3543" w:type="dxa"/>
        <w:jc w:val="left"/>
        <w:tblInd w:w="0" w:type="dxa"/>
        <w:tblLayout w:type="fixed"/>
        <w:tblCellMar>
          <w:top w:w="28" w:type="dxa"/>
          <w:left w:w="28" w:type="dxa"/>
          <w:bottom w:w="28" w:type="dxa"/>
          <w:right w:w="28" w:type="dxa"/>
        </w:tblCellMar>
      </w:tblPr>
      <w:tblGrid>
        <w:gridCol w:w="466"/>
        <w:gridCol w:w="736"/>
        <w:gridCol w:w="2341"/>
      </w:tblGrid>
      <w:tr>
        <w:trPr/>
        <w:tc>
          <w:tcPr>
            <w:tcW w:w="46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543" w:type="dxa"/>
            <w:gridSpan w:val="3"/>
            <w:tcBorders/>
            <w:tcMar>
              <w:top w:w="0" w:type="dxa"/>
              <w:left w:w="0" w:type="dxa"/>
              <w:bottom w:w="0" w:type="dxa"/>
              <w:right w:w="0" w:type="dxa"/>
            </w:tcMar>
            <w:vAlign w:val="center"/>
          </w:tcPr>
          <w:p>
            <w:pPr>
              <w:pStyle w:val="TableContents"/>
              <w:bidi w:val="0"/>
              <w:spacing w:before="0" w:after="480"/>
              <w:ind w:left="0" w:right="0" w:firstLine="360"/>
              <w:jc w:val="left"/>
              <w:rPr>
                <w:rFonts w:ascii="Times New Roman" w:hAnsi="Times New Roman"/>
                <w:color w:val="000000"/>
                <w:sz w:val="24"/>
              </w:rPr>
            </w:pPr>
            <w:r>
              <w:rPr>
                <w:rFonts w:ascii="Times New Roman" w:hAnsi="Times New Roman"/>
                <w:color w:val="000000"/>
                <w:sz w:val="24"/>
              </w:rPr>
              <w:t>DIODES INCORPORATED</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07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Brett R. Whitmire</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Brett R. Whitmire</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spacing w:before="0" w:after="240"/>
        <w:jc w:val="left"/>
        <w:rPr/>
      </w:pPr>
      <w:r>
        <w:rPr/>
        <w:t> </w:t>
      </w:r>
    </w:p>
    <w:tbl>
      <w:tblPr>
        <w:tblW w:w="8025" w:type="dxa"/>
        <w:jc w:val="left"/>
        <w:tblInd w:w="0" w:type="dxa"/>
        <w:tblLayout w:type="fixed"/>
        <w:tblCellMar>
          <w:top w:w="28" w:type="dxa"/>
          <w:left w:w="28" w:type="dxa"/>
          <w:bottom w:w="28" w:type="dxa"/>
          <w:right w:w="28" w:type="dxa"/>
        </w:tblCellMar>
      </w:tblPr>
      <w:tblGrid>
        <w:gridCol w:w="2198"/>
        <w:gridCol w:w="1138"/>
        <w:gridCol w:w="4689"/>
      </w:tblGrid>
      <w:tr>
        <w:trPr/>
        <w:tc>
          <w:tcPr>
            <w:tcW w:w="219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4689"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480"/>
              <w:ind w:left="0" w:right="0" w:firstLine="360"/>
              <w:jc w:val="left"/>
              <w:rPr>
                <w:rFonts w:ascii="Times New Roman" w:hAnsi="Times New Roman"/>
                <w:color w:val="000000"/>
                <w:sz w:val="24"/>
              </w:rPr>
            </w:pPr>
            <w:r>
              <w:rPr>
                <w:rFonts w:ascii="Times New Roman" w:hAnsi="Times New Roman"/>
                <w:color w:val="000000"/>
                <w:sz w:val="24"/>
              </w:rPr>
              <w:t>U.S. BANK TRUST COMPANY, NATIONAL ASSOCIATION, as Trustee</w:t>
            </w:r>
          </w:p>
        </w:tc>
      </w:tr>
      <w:tr>
        <w:trPr/>
        <w:tc>
          <w:tcPr>
            <w:tcW w:w="21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827"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1260"/>
              <w:jc w:val="left"/>
              <w:rPr>
                <w:color w:val="000000"/>
              </w:rPr>
            </w:pPr>
            <w:r>
              <w:rPr>
                <w:color w:val="000000"/>
              </w:rPr>
              <w:t>  </w:t>
            </w:r>
            <w:r>
              <w:rPr>
                <w:rFonts w:ascii="Times New Roman" w:hAnsi="Times New Roman"/>
                <w:color w:val="000000"/>
                <w:sz w:val="24"/>
              </w:rPr>
              <w:t>/s/ Greg M. Jackson</w:t>
            </w:r>
          </w:p>
        </w:tc>
      </w:tr>
      <w:tr>
        <w:trPr/>
        <w:tc>
          <w:tcPr>
            <w:tcW w:w="2198" w:type="dxa"/>
            <w:tcBorders/>
            <w:tcMar>
              <w:top w:w="0" w:type="dxa"/>
              <w:left w:w="0" w:type="dxa"/>
              <w:bottom w:w="0" w:type="dxa"/>
              <w:right w:w="0" w:type="dxa"/>
            </w:tcMar>
            <w:vAlign w:val="center"/>
          </w:tcPr>
          <w:p>
            <w:pPr>
              <w:pStyle w:val="TableContents"/>
              <w:bidi w:val="0"/>
              <w:spacing w:before="0" w:after="283"/>
              <w:ind w:left="0" w:right="0" w:firstLine="1260"/>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689" w:type="dxa"/>
            <w:tcBorders/>
            <w:tcMar>
              <w:top w:w="0" w:type="dxa"/>
              <w:left w:w="0" w:type="dxa"/>
              <w:bottom w:w="0" w:type="dxa"/>
              <w:right w:w="0" w:type="dxa"/>
            </w:tcMar>
            <w:vAlign w:val="center"/>
          </w:tcPr>
          <w:p>
            <w:pPr>
              <w:pStyle w:val="TableContents"/>
              <w:bidi w:val="0"/>
              <w:spacing w:before="0" w:after="283"/>
              <w:ind w:left="0" w:right="0" w:firstLine="1260"/>
              <w:jc w:val="left"/>
              <w:rPr>
                <w:rFonts w:ascii="Times New Roman" w:hAnsi="Times New Roman"/>
                <w:color w:val="000000"/>
                <w:sz w:val="24"/>
              </w:rPr>
            </w:pPr>
            <w:r>
              <w:rPr>
                <w:rFonts w:ascii="Times New Roman" w:hAnsi="Times New Roman"/>
                <w:color w:val="000000"/>
                <w:sz w:val="24"/>
              </w:rPr>
              <w:t>Greg M. Jackson</w:t>
            </w:r>
          </w:p>
        </w:tc>
      </w:tr>
      <w:tr>
        <w:trPr/>
        <w:tc>
          <w:tcPr>
            <w:tcW w:w="2198" w:type="dxa"/>
            <w:tcBorders/>
            <w:tcMar>
              <w:top w:w="0" w:type="dxa"/>
              <w:left w:w="0" w:type="dxa"/>
              <w:bottom w:w="0" w:type="dxa"/>
              <w:right w:w="0" w:type="dxa"/>
            </w:tcMar>
            <w:vAlign w:val="center"/>
          </w:tcPr>
          <w:p>
            <w:pPr>
              <w:pStyle w:val="TableContents"/>
              <w:bidi w:val="0"/>
              <w:spacing w:before="0" w:after="283"/>
              <w:ind w:left="0" w:right="0" w:firstLine="1260"/>
              <w:jc w:val="left"/>
              <w:rPr/>
            </w:pPr>
            <w:r>
              <w:rPr/>
              <w:t> </w:t>
            </w:r>
          </w:p>
        </w:tc>
        <w:tc>
          <w:tcPr>
            <w:tcW w:w="1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46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Vice President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Indenture</w:t>
      </w:r>
      <w:r>
        <w:rPr>
          <w:rFonts w:ascii="Times New Roman" w:hAnsi="Times New Roman"/>
          <w:color w:val="000000"/>
          <w:sz w:val="24"/>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FACE OF NOTE]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[INCLUDE FOLLOWING LEGEND IF A GLOBAL NOTE]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[INCLUDE FOLLOWING LEGEND IF A RESTRICTED SECURITY]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OFFER AND SALE OF THIS SECURITY AND THE COMMON STOCK, IF ANY, ISSUABLE UPON CONVERSION OF THIS SECURITY HAVE NOT BEEN REGISTERED UNDER THE SECURITIES ACT OF 1933, AS AMENDED (THE “SECURITIES ACT”) OR THE SECURITIES LAWS OF ANY OTHER JURISDICTION, AND MAY NOT BE OFFERED, SOLD, PLEDGED OR OTHERWISE TRANSFERRED EXCEPT IN ACCORDANCE WITH THE FOLLOWING SENTENCE. BY ITS ACQUISITION HEREOF OR OF A BENEFICIAL INTEREST HEREIN, THE ACQUIRER: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 AGREES FOR THE BENEFIT OF DIODES INCORPORATED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TO THE COMPANY OR ANY SUBSIDIARY THEREOF,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PURSUANT TO A REGISTRATION STATEMENT THAT HAS BECOME EFFECTIVE UNDER THE SECURITIES ACT, OR</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(C) TO A PERSON REASONABLY BELIEVED TO BE A QUALIFIED INSTITUTIONAL BUYER IN COMPLIANCE WITH RULE 144A UNDER THE SECURITIES ACT,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(D) PURSUANT TO AN EXEMPTION FROM REGISTRATION PROVIDED BY RULE 144 UNDER THE SECURITIES ACT OR ANY OTHER AVAILABLE EXEMPTION FROM THE REGISTRATION REQUIREMENTS OF THE SECURITIES ACT.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jc w:val="center"/>
        <w:rPr>
          <w:rFonts w:ascii="Times New Roman" w:hAnsi="Times New Roman"/>
          <w:color w:val="000000"/>
          <w:sz w:val="24"/>
        </w:rPr>
      </w:pPr>
      <w:r>
        <w:rPr>
          <w:rFonts w:ascii="Times New Roman" w:hAnsi="Times New Roman"/>
          <w:color w:val="000000"/>
          <w:sz w:val="24"/>
        </w:rPr>
        <w:t>A-2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Diodes Incorporated</w:t>
        <w:br/>
        <w:br/>
        <w:t>0.00% Convertible Senior Note due 2031</w:t>
      </w:r>
    </w:p>
    <w:p>
      <w:pPr>
        <w:pStyle w:val="TextBody"/>
        <w:bidi w:val="0"/>
        <w:spacing w:before="0" w:after="240"/>
        <w:jc w:val="left"/>
        <w:rPr>
          <w:rFonts w:ascii="Times New Roman" w:hAnsi="Times New Roman"/>
          <w:sz w:val="20"/>
        </w:rPr>
      </w:pPr>
      <w:r>
        <w:rPr>
          <w:rFonts w:ascii="Times New Roman" w:hAnsi="Times New Roman"/>
          <w:color w:val="000000"/>
          <w:sz w:val="24"/>
        </w:rPr>
        <w:t>No. [_____] [Initially]</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$[_____________]</w:t>
      </w:r>
    </w:p>
    <w:p>
      <w:pPr>
        <w:pStyle w:val="TextBody"/>
        <w:bidi w:val="0"/>
        <w:spacing w:before="0" w:after="240"/>
        <w:jc w:val="left"/>
        <w:rPr>
          <w:rFonts w:ascii="Times New Roman" w:hAnsi="Times New Roman"/>
          <w:sz w:val="20"/>
        </w:rPr>
      </w:pPr>
      <w:r>
        <w:rPr>
          <w:rFonts w:ascii="Times New Roman" w:hAnsi="Times New Roman"/>
          <w:color w:val="000000"/>
          <w:sz w:val="24"/>
        </w:rPr>
        <w:t>CUSIP No. [______]</w:t>
      </w:r>
      <w:r>
        <w:rPr>
          <w:rFonts w:ascii="Times New Roman" w:hAnsi="Times New Roman"/>
          <w:color w:val="000000"/>
          <w:sz w:val="16"/>
        </w:rPr>
        <w:t>2</w:t>
      </w:r>
    </w:p>
    <w:p>
      <w:pPr>
        <w:pStyle w:val="TextBody"/>
        <w:bidi w:val="0"/>
        <w:spacing w:before="0" w:after="240"/>
        <w:jc w:val="left"/>
        <w:rPr>
          <w:rFonts w:ascii="Times New Roman" w:hAnsi="Times New Roman"/>
          <w:sz w:val="20"/>
        </w:rPr>
      </w:pPr>
      <w:r>
        <w:rPr>
          <w:rFonts w:ascii="Times New Roman" w:hAnsi="Times New Roman"/>
          <w:color w:val="000000"/>
          <w:sz w:val="24"/>
        </w:rPr>
        <w:t>Diodes Incorporated, a corporation duly organized and validly existing under the laws of the State of Delaware (the “</w:t>
      </w:r>
      <w:r>
        <w:rPr>
          <w:rFonts w:ascii="Times New Roman" w:hAnsi="Times New Roman"/>
          <w:b/>
          <w:color w:val="000000"/>
          <w:sz w:val="24"/>
        </w:rPr>
        <w:t>Company</w:t>
      </w:r>
      <w:r>
        <w:rPr>
          <w:rFonts w:ascii="Times New Roman" w:hAnsi="Times New Roman"/>
          <w:color w:val="000000"/>
          <w:sz w:val="24"/>
        </w:rPr>
        <w:t>,” which term includes any successor corporation or other entity under the Indenture referred to on the reverse hereof), for value received hereby promises to pay to [CEDE &amp; CO.]</w:t>
      </w:r>
      <w:r>
        <w:rPr>
          <w:rFonts w:ascii="Times New Roman" w:hAnsi="Times New Roman"/>
          <w:color w:val="000000"/>
          <w:sz w:val="16"/>
        </w:rPr>
        <w:t>3</w:t>
      </w:r>
      <w:r>
        <w:rPr>
          <w:rFonts w:ascii="Times New Roman" w:hAnsi="Times New Roman"/>
          <w:color w:val="000000"/>
          <w:sz w:val="20"/>
        </w:rPr>
        <w:t xml:space="preserve"> </w:t>
      </w:r>
      <w:r>
        <w:rPr>
          <w:rFonts w:ascii="Times New Roman" w:hAnsi="Times New Roman"/>
          <w:color w:val="000000"/>
          <w:sz w:val="24"/>
        </w:rPr>
        <w:t>[_______]</w:t>
      </w:r>
      <w:r>
        <w:rPr>
          <w:rFonts w:ascii="Times New Roman" w:hAnsi="Times New Roman"/>
          <w:color w:val="000000"/>
          <w:sz w:val="16"/>
        </w:rPr>
        <w:t>4</w:t>
      </w:r>
      <w:r>
        <w:rPr>
          <w:rFonts w:ascii="Times New Roman" w:hAnsi="Times New Roman"/>
          <w:color w:val="000000"/>
          <w:sz w:val="24"/>
        </w:rPr>
        <w:t>, or registered assigns, the principal sum [as set forth in the “Schedule of Exchanges of Notes” attached hereto]</w:t>
      </w:r>
      <w:r>
        <w:rPr>
          <w:rFonts w:ascii="Times New Roman" w:hAnsi="Times New Roman"/>
          <w:color w:val="000000"/>
          <w:sz w:val="16"/>
        </w:rPr>
        <w:t>5</w:t>
      </w:r>
      <w:r>
        <w:rPr>
          <w:rFonts w:ascii="Times New Roman" w:hAnsi="Times New Roman"/>
          <w:color w:val="000000"/>
          <w:sz w:val="20"/>
        </w:rPr>
        <w:t xml:space="preserve"> </w:t>
      </w:r>
      <w:r>
        <w:rPr>
          <w:rFonts w:ascii="Times New Roman" w:hAnsi="Times New Roman"/>
          <w:color w:val="000000"/>
          <w:sz w:val="24"/>
        </w:rPr>
        <w:t>[of $[_______]]</w:t>
      </w:r>
      <w:r>
        <w:rPr>
          <w:rFonts w:ascii="Times New Roman" w:hAnsi="Times New Roman"/>
          <w:color w:val="000000"/>
          <w:sz w:val="16"/>
        </w:rPr>
        <w:t>6</w:t>
      </w:r>
      <w:r>
        <w:rPr>
          <w:rFonts w:ascii="Times New Roman" w:hAnsi="Times New Roman"/>
          <w:color w:val="000000"/>
          <w:sz w:val="24"/>
        </w:rPr>
        <w:t>, which amount, taken together with the principal amounts of all other outstanding Notes, shall not, unless permitted by the Indenture, exceed $375,000,000 in aggregate at any time, in accordance with the rules and applicable procedures of the Depositary, on August 15, 2031, and any interest thereon as set forth below.</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This Note shall not bear regular interest, and the principal amount shall not accrete. Any Special Interest is payable semi-annually in arrears on each February 15 and August 15, commencing on February 15, 2027 (if any Special Interest is then payable), to Holders of record at the close of business on the preceding February 1 and August 1 (whether or not such day is a Business Day), respectively. Any Special Interest will be payable as set forth in </w:t>
      </w:r>
      <w:r>
        <w:rPr>
          <w:rFonts w:ascii="Times New Roman" w:hAnsi="Times New Roman"/>
          <w:color w:val="000000"/>
          <w:sz w:val="20"/>
        </w:rPr>
        <w:t>‎‎</w:t>
      </w:r>
      <w:r>
        <w:rPr>
          <w:rFonts w:ascii="Times New Roman" w:hAnsi="Times New Roman"/>
          <w:color w:val="000000"/>
          <w:sz w:val="24"/>
        </w:rPr>
        <w:t xml:space="preserve">Section 4.06(d), </w:t>
      </w:r>
      <w:r>
        <w:rPr>
          <w:rFonts w:ascii="Times New Roman" w:hAnsi="Times New Roman"/>
          <w:color w:val="000000"/>
          <w:sz w:val="20"/>
        </w:rPr>
        <w:t>‎‎</w:t>
      </w:r>
      <w:r>
        <w:rPr>
          <w:rFonts w:ascii="Times New Roman" w:hAnsi="Times New Roman"/>
          <w:color w:val="000000"/>
          <w:sz w:val="24"/>
        </w:rPr>
        <w:t xml:space="preserve">Section 4.06(e) and </w:t>
      </w:r>
      <w:r>
        <w:rPr>
          <w:rFonts w:ascii="Times New Roman" w:hAnsi="Times New Roman"/>
          <w:color w:val="000000"/>
          <w:sz w:val="20"/>
        </w:rPr>
        <w:t>‎‎</w:t>
      </w:r>
      <w:r>
        <w:rPr>
          <w:rFonts w:ascii="Times New Roman" w:hAnsi="Times New Roman"/>
          <w:color w:val="000000"/>
          <w:sz w:val="24"/>
        </w:rPr>
        <w:t xml:space="preserve">Section 6.03 of the within-mentioned Indenture, and any reference to interest on, or in respect of, any Note therein shall be deemed to refer solely to Special Interest (if, in such context, Special Interest is, was or would be payable pursuant to any of such </w:t>
      </w:r>
      <w:r>
        <w:rPr>
          <w:rFonts w:ascii="Times New Roman" w:hAnsi="Times New Roman"/>
          <w:color w:val="000000"/>
          <w:sz w:val="20"/>
        </w:rPr>
        <w:t>‎‎</w:t>
      </w:r>
      <w:r>
        <w:rPr>
          <w:rFonts w:ascii="Times New Roman" w:hAnsi="Times New Roman"/>
          <w:color w:val="000000"/>
          <w:sz w:val="24"/>
        </w:rPr>
        <w:t xml:space="preserve">Section 4.06(d), </w:t>
      </w:r>
      <w:r>
        <w:rPr>
          <w:rFonts w:ascii="Times New Roman" w:hAnsi="Times New Roman"/>
          <w:color w:val="000000"/>
          <w:sz w:val="20"/>
        </w:rPr>
        <w:t>‎‎</w:t>
      </w:r>
      <w:r>
        <w:rPr>
          <w:rFonts w:ascii="Times New Roman" w:hAnsi="Times New Roman"/>
          <w:color w:val="000000"/>
          <w:sz w:val="24"/>
        </w:rPr>
        <w:t xml:space="preserve">Section 4.06(e) or </w:t>
      </w:r>
      <w:r>
        <w:rPr>
          <w:rFonts w:ascii="Times New Roman" w:hAnsi="Times New Roman"/>
          <w:color w:val="000000"/>
          <w:sz w:val="20"/>
        </w:rPr>
        <w:t>‎‎</w:t>
      </w:r>
      <w:r>
        <w:rPr>
          <w:rFonts w:ascii="Times New Roman" w:hAnsi="Times New Roman"/>
          <w:color w:val="000000"/>
          <w:sz w:val="24"/>
        </w:rPr>
        <w:t xml:space="preserve">Section 6.03) and/or to any interest on any Defaulted Amounts payable as set forth in </w:t>
      </w:r>
      <w:r>
        <w:rPr>
          <w:rFonts w:ascii="Times New Roman" w:hAnsi="Times New Roman"/>
          <w:color w:val="000000"/>
          <w:sz w:val="20"/>
        </w:rPr>
        <w:t>‎‎</w:t>
      </w:r>
      <w:r>
        <w:rPr>
          <w:rFonts w:ascii="Times New Roman" w:hAnsi="Times New Roman"/>
          <w:color w:val="000000"/>
          <w:sz w:val="24"/>
        </w:rPr>
        <w:t>Section 2.03(c) of the within-mentioned Indenture.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Defaulted Amounts shall not accrue interest unless Special Interest was payable on the required payment date, in which case such Defaulted Amounts shall accrue interest per annum at the then-applicable Special Interest rate borne by the Notes, subject to the enforceability thereof under applicable law, from, and including, such required payment date to, but excluding, the date on which such Defaulted Amounts shall have been paid by the Company, at its election, in accordance with </w:t>
      </w:r>
      <w:r>
        <w:rPr>
          <w:rFonts w:ascii="Times New Roman" w:hAnsi="Times New Roman"/>
          <w:color w:val="000000"/>
          <w:sz w:val="20"/>
        </w:rPr>
        <w:t>‎‎</w:t>
      </w:r>
      <w:r>
        <w:rPr>
          <w:rFonts w:ascii="Times New Roman" w:hAnsi="Times New Roman"/>
          <w:color w:val="000000"/>
          <w:sz w:val="24"/>
        </w:rPr>
        <w:t>Section 2.03(c) of the Indenture.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 if a global note.</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This Note will be deemed to be identified by CUSIP No. [_____]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Include if a global note.</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Include if a physical note.</w:t>
      </w:r>
    </w:p>
    <w:p>
      <w:pPr>
        <w:pStyle w:val="TextBody"/>
        <w:bidi w:val="0"/>
        <w:jc w:val="left"/>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Include if a global note.</w:t>
      </w:r>
    </w:p>
    <w:p>
      <w:pPr>
        <w:pStyle w:val="TextBody"/>
        <w:bidi w:val="0"/>
        <w:jc w:val="left"/>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Include if a physical note.</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Company shall pay the principal of and interest, if any,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within the contiguous United States of America as a place where Notes may be presented for payment or for registration of transfer and exchange.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Reference is made to the further provisions of this Note set forth on the reverse hereof, including, without limitation,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This Note, and any claim, controversy or dispute arising under or related to this Note, shall be construed in accordance with and governed by the laws of the State of New York.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any conflict between this Note and the Indenture, the provisions of the Indenture shall control and govern.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Note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A-4</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Company has caused this Note to be duly executed.</w:t>
      </w:r>
    </w:p>
    <w:p>
      <w:pPr>
        <w:pStyle w:val="TextBody"/>
        <w:bidi w:val="0"/>
        <w:jc w:val="left"/>
        <w:rPr/>
      </w:pPr>
      <w:r>
        <w:rPr/>
        <w:t> </w:t>
      </w:r>
    </w:p>
    <w:tbl>
      <w:tblPr>
        <w:tblW w:w="3390" w:type="dxa"/>
        <w:jc w:val="left"/>
        <w:tblInd w:w="0" w:type="dxa"/>
        <w:tblLayout w:type="fixed"/>
        <w:tblCellMar>
          <w:top w:w="28" w:type="dxa"/>
          <w:left w:w="28" w:type="dxa"/>
          <w:bottom w:w="28" w:type="dxa"/>
          <w:right w:w="28" w:type="dxa"/>
        </w:tblCellMar>
      </w:tblPr>
      <w:tblGrid>
        <w:gridCol w:w="874"/>
        <w:gridCol w:w="1456"/>
        <w:gridCol w:w="1060"/>
      </w:tblGrid>
      <w:tr>
        <w:trPr/>
        <w:tc>
          <w:tcPr>
            <w:tcW w:w="87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480"/>
              <w:ind w:left="0" w:right="0" w:firstLine="360"/>
              <w:jc w:val="left"/>
              <w:rPr>
                <w:rFonts w:ascii="Times New Roman" w:hAnsi="Times New Roman"/>
                <w:color w:val="000000"/>
                <w:sz w:val="24"/>
              </w:rPr>
            </w:pPr>
            <w:r>
              <w:rPr>
                <w:rFonts w:ascii="Times New Roman" w:hAnsi="Times New Roman"/>
                <w:color w:val="000000"/>
                <w:sz w:val="24"/>
              </w:rPr>
              <w:t>DIODES INCORPORATED</w:t>
            </w:r>
          </w:p>
        </w:tc>
      </w:tr>
      <w:tr>
        <w:trPr/>
        <w:tc>
          <w:tcPr>
            <w:tcW w:w="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1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0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0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Dated: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TRUSTEE’S CERTIFICATE OF AUTHENTICATION</w:t>
      </w:r>
    </w:p>
    <w:p>
      <w:pPr>
        <w:pStyle w:val="TextBody"/>
        <w:bidi w:val="0"/>
        <w:jc w:val="left"/>
        <w:rPr>
          <w:rFonts w:ascii="Times New Roman" w:hAnsi="Times New Roman"/>
          <w:color w:val="000000"/>
          <w:sz w:val="24"/>
        </w:rPr>
      </w:pPr>
      <w:r>
        <w:rPr>
          <w:rFonts w:ascii="Times New Roman" w:hAnsi="Times New Roman"/>
          <w:color w:val="000000"/>
          <w:sz w:val="24"/>
        </w:rPr>
        <w:t>U.S. BANK TRUST COMPANY, NATIONAL ASSOCIATION</w:t>
      </w:r>
    </w:p>
    <w:p>
      <w:pPr>
        <w:pStyle w:val="TextBody"/>
        <w:bidi w:val="0"/>
        <w:jc w:val="left"/>
        <w:rPr>
          <w:rFonts w:ascii="Times New Roman" w:hAnsi="Times New Roman"/>
          <w:color w:val="000000"/>
          <w:sz w:val="24"/>
        </w:rPr>
      </w:pPr>
      <w:r>
        <w:rPr>
          <w:rFonts w:ascii="Times New Roman" w:hAnsi="Times New Roman"/>
          <w:color w:val="000000"/>
          <w:sz w:val="24"/>
        </w:rPr>
        <w:t>as Trustee, certifies that this is one of the Notes described</w:t>
      </w:r>
    </w:p>
    <w:p>
      <w:pPr>
        <w:pStyle w:val="TextBody"/>
        <w:bidi w:val="0"/>
        <w:jc w:val="left"/>
        <w:rPr>
          <w:rFonts w:ascii="Times New Roman" w:hAnsi="Times New Roman"/>
          <w:color w:val="000000"/>
          <w:sz w:val="24"/>
        </w:rPr>
      </w:pPr>
      <w:r>
        <w:rPr>
          <w:rFonts w:ascii="Times New Roman" w:hAnsi="Times New Roman"/>
          <w:color w:val="000000"/>
          <w:sz w:val="24"/>
        </w:rPr>
        <w:t>in the within-named Indenture.</w:t>
      </w:r>
    </w:p>
    <w:p>
      <w:pPr>
        <w:pStyle w:val="TextBody"/>
        <w:bidi w:val="0"/>
        <w:jc w:val="left"/>
        <w:rPr/>
      </w:pPr>
      <w:r>
        <w:rPr/>
        <w:t> </w:t>
      </w:r>
    </w:p>
    <w:tbl>
      <w:tblPr>
        <w:tblW w:w="2657" w:type="dxa"/>
        <w:jc w:val="left"/>
        <w:tblInd w:w="0" w:type="dxa"/>
        <w:tblLayout w:type="fixed"/>
        <w:tblCellMar>
          <w:top w:w="28" w:type="dxa"/>
          <w:left w:w="28" w:type="dxa"/>
          <w:bottom w:w="28" w:type="dxa"/>
          <w:right w:w="28" w:type="dxa"/>
        </w:tblCellMar>
      </w:tblPr>
      <w:tblGrid>
        <w:gridCol w:w="466"/>
        <w:gridCol w:w="2191"/>
      </w:tblGrid>
      <w:tr>
        <w:trPr/>
        <w:tc>
          <w:tcPr>
            <w:tcW w:w="46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Signatory</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A-5</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REVERSE OF NOTE]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Diodes Incorporated</w:t>
        <w:br/>
        <w:t>0.00% Convertible Senior Note due 2031</w:t>
      </w:r>
    </w:p>
    <w:p>
      <w:pPr>
        <w:pStyle w:val="TextBody"/>
        <w:bidi w:val="0"/>
        <w:spacing w:before="0" w:after="240"/>
        <w:jc w:val="left"/>
        <w:rPr>
          <w:rFonts w:ascii="Times New Roman" w:hAnsi="Times New Roman"/>
          <w:sz w:val="20"/>
        </w:rPr>
      </w:pPr>
      <w:r>
        <w:rPr>
          <w:rFonts w:ascii="Times New Roman" w:hAnsi="Times New Roman"/>
          <w:color w:val="000000"/>
          <w:sz w:val="24"/>
        </w:rPr>
        <w:t>This Note is one of a duly authorized issue of Notes of the Company, designated as its 0.00% Convertible Senior Notes due 2031 (the “</w:t>
      </w:r>
      <w:r>
        <w:rPr>
          <w:rFonts w:ascii="Times New Roman" w:hAnsi="Times New Roman"/>
          <w:b/>
          <w:color w:val="000000"/>
          <w:sz w:val="24"/>
        </w:rPr>
        <w:t>Notes</w:t>
      </w:r>
      <w:r>
        <w:rPr>
          <w:rFonts w:ascii="Times New Roman" w:hAnsi="Times New Roman"/>
          <w:color w:val="000000"/>
          <w:sz w:val="20"/>
        </w:rPr>
        <w:t>”</w:t>
      </w:r>
      <w:r>
        <w:rPr>
          <w:rFonts w:ascii="Times New Roman" w:hAnsi="Times New Roman"/>
          <w:color w:val="000000"/>
          <w:sz w:val="24"/>
        </w:rPr>
        <w:t>), limited to the aggregate principal amount of $375,000,000, all issued or to be issued under and pursuant to an Indenture dated as of August 18, 2026 (the “</w:t>
      </w:r>
      <w:r>
        <w:rPr>
          <w:rFonts w:ascii="Times New Roman" w:hAnsi="Times New Roman"/>
          <w:b/>
          <w:color w:val="000000"/>
          <w:sz w:val="24"/>
        </w:rPr>
        <w:t>Indenture</w:t>
      </w:r>
      <w:r>
        <w:rPr>
          <w:rFonts w:ascii="Times New Roman" w:hAnsi="Times New Roman"/>
          <w:color w:val="000000"/>
          <w:sz w:val="20"/>
        </w:rPr>
        <w:t>”</w:t>
      </w:r>
      <w:r>
        <w:rPr>
          <w:rFonts w:ascii="Times New Roman" w:hAnsi="Times New Roman"/>
          <w:color w:val="000000"/>
          <w:sz w:val="24"/>
        </w:rPr>
        <w:t>), between the Company and U.S. Bank Trust Company, National Association (the “</w:t>
      </w:r>
      <w:r>
        <w:rPr>
          <w:rFonts w:ascii="Times New Roman" w:hAnsi="Times New Roman"/>
          <w:b/>
          <w:color w:val="000000"/>
          <w:sz w:val="24"/>
        </w:rPr>
        <w:t>Trustee</w:t>
      </w:r>
      <w:r>
        <w:rPr>
          <w:rFonts w:ascii="Times New Roman" w:hAnsi="Times New Roman"/>
          <w:color w:val="000000"/>
          <w:sz w:val="20"/>
        </w:rPr>
        <w:t>”</w:t>
      </w:r>
      <w:r>
        <w:rPr>
          <w:rFonts w:ascii="Times New Roman" w:hAnsi="Times New Roman"/>
          <w:color w:val="000000"/>
          <w:sz w:val="24"/>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case certain Events of Default shall have occurred and be continuing, the principal of, and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240"/>
        <w:jc w:val="left"/>
        <w:rPr>
          <w:rFonts w:ascii="Times New Roman" w:hAnsi="Times New Roman"/>
          <w:sz w:val="20"/>
        </w:rPr>
      </w:pPr>
      <w:r>
        <w:rPr>
          <w:rFonts w:ascii="Times New Roman" w:hAnsi="Times New Roman"/>
          <w:color w:val="000000"/>
          <w:sz w:val="24"/>
        </w:rPr>
        <w:t>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w:t>
      </w:r>
    </w:p>
    <w:p>
      <w:pPr>
        <w:pStyle w:val="TextBody"/>
        <w:bidi w:val="0"/>
        <w:jc w:val="center"/>
        <w:rPr>
          <w:rFonts w:ascii="Times New Roman" w:hAnsi="Times New Roman"/>
          <w:color w:val="000000"/>
          <w:sz w:val="24"/>
        </w:rPr>
      </w:pPr>
      <w:r>
        <w:rPr>
          <w:rFonts w:ascii="Times New Roman" w:hAnsi="Times New Roman"/>
          <w:color w:val="000000"/>
          <w:sz w:val="24"/>
        </w:rPr>
        <w:t>A-6</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Notes shall be redeemable at the Company’s option on a Redemption Date on or after August 20, 2029 in accordance with the terms and subject to the conditions specified in the Indenture. No sinking fund is provided for the Notes.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up to the principal amount hereof and cash, shares of Common Stock or a combination of cash and shares of Common Stock, as applicable, in respect of the remainder, if any, of the Company’s Conversion Obligation hereof in excess of the principal amount hereof at the Conversion Rate specified in the Indenture, as adjusted from time to time as provided in the Indenture.</w:t>
      </w:r>
    </w:p>
    <w:p>
      <w:pPr>
        <w:pStyle w:val="TextBody"/>
        <w:bidi w:val="0"/>
        <w:jc w:val="center"/>
        <w:rPr>
          <w:rFonts w:ascii="Times New Roman" w:hAnsi="Times New Roman"/>
          <w:color w:val="000000"/>
          <w:sz w:val="24"/>
        </w:rPr>
      </w:pPr>
      <w:r>
        <w:rPr>
          <w:rFonts w:ascii="Times New Roman" w:hAnsi="Times New Roman"/>
          <w:color w:val="000000"/>
          <w:sz w:val="24"/>
        </w:rPr>
        <w:t>A-7</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ABBREVIATIONS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following abbreviations, when used in the inscription of the face of this Note, shall be construed as though they were written out in full according to applicable laws or regulations:</w:t>
      </w:r>
    </w:p>
    <w:p>
      <w:pPr>
        <w:pStyle w:val="TextBody"/>
        <w:bidi w:val="0"/>
        <w:jc w:val="left"/>
        <w:rPr>
          <w:rFonts w:ascii="Times New Roman" w:hAnsi="Times New Roman"/>
          <w:color w:val="000000"/>
          <w:sz w:val="24"/>
        </w:rPr>
      </w:pPr>
      <w:r>
        <w:rPr>
          <w:rFonts w:ascii="Times New Roman" w:hAnsi="Times New Roman"/>
          <w:color w:val="000000"/>
          <w:sz w:val="24"/>
        </w:rPr>
        <w:t xml:space="preserve">TEN COM = as tenants in common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UNIF GIFT MIN ACT = Uniform Gifts to Minors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CUST = Custodian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TEN ENT = as tenants by the entireties </w:t>
      </w:r>
    </w:p>
    <w:p>
      <w:pPr>
        <w:pStyle w:val="TextBody"/>
        <w:bidi w:val="0"/>
        <w:jc w:val="left"/>
        <w:rPr>
          <w:rFonts w:ascii="Times New Roman" w:hAnsi="Times New Roman"/>
          <w:sz w:val="20"/>
        </w:rPr>
      </w:pPr>
      <w:r>
        <w:rPr>
          <w:rFonts w:ascii="Times New Roman" w:hAnsi="Times New Roman"/>
          <w:color w:val="000000"/>
          <w:sz w:val="24"/>
        </w:rPr>
        <w:br/>
        <w:t xml:space="preserve">JT TEN = joint tenants with right of survivorship and not as tenants in common </w:t>
        <w:br/>
      </w:r>
      <w:r>
        <w:rPr>
          <w:rFonts w:ascii="Times New Roman" w:hAnsi="Times New Roman"/>
          <w:color w:val="000000"/>
          <w:sz w:val="20"/>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Additional abbreviations may also be used though not in the above list.</w:t>
      </w:r>
    </w:p>
    <w:p>
      <w:pPr>
        <w:pStyle w:val="TextBody"/>
        <w:bidi w:val="0"/>
        <w:spacing w:before="0" w:after="24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A-8</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right"/>
        <w:rPr>
          <w:rFonts w:ascii="Times New Roman" w:hAnsi="Times New Roman"/>
          <w:sz w:val="20"/>
        </w:rPr>
      </w:pPr>
      <w:r>
        <w:rPr>
          <w:rFonts w:ascii="Times New Roman" w:hAnsi="Times New Roman"/>
          <w:b/>
          <w:color w:val="000000"/>
          <w:sz w:val="24"/>
        </w:rPr>
        <w:t>SCHEDULE A</w:t>
      </w:r>
      <w:r>
        <w:rPr>
          <w:rFonts w:ascii="Times New Roman" w:hAnsi="Times New Roman"/>
          <w:b/>
          <w:color w:val="000000"/>
          <w:sz w:val="16"/>
        </w:rPr>
        <w:t>7</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OF EXCHANGES OF NOTES</w:t>
        <w:br/>
        <w:br/>
        <w:t>Diodes Incorporated</w:t>
        <w:br/>
        <w:t>0.00% Convertible Senior Notes due 2031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initial principal amount of this Global Note is _______ DOLLARS ($[_________]). The following increases or decreases in this Global Note have been made:</w:t>
      </w:r>
    </w:p>
    <w:tbl>
      <w:tblPr>
        <w:tblW w:w="10205" w:type="dxa"/>
        <w:jc w:val="left"/>
        <w:tblInd w:w="0" w:type="dxa"/>
        <w:tblLayout w:type="fixed"/>
        <w:tblCellMar>
          <w:top w:w="28" w:type="dxa"/>
          <w:left w:w="28" w:type="dxa"/>
          <w:bottom w:w="28" w:type="dxa"/>
          <w:right w:w="28" w:type="dxa"/>
        </w:tblCellMar>
      </w:tblPr>
      <w:tblGrid>
        <w:gridCol w:w="1010"/>
        <w:gridCol w:w="2184"/>
        <w:gridCol w:w="2172"/>
        <w:gridCol w:w="2603"/>
        <w:gridCol w:w="2236"/>
      </w:tblGrid>
      <w:tr>
        <w:trPr/>
        <w:tc>
          <w:tcPr>
            <w:tcW w:w="101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color w:val="000000"/>
                <w:sz w:val="18"/>
              </w:rPr>
            </w:pPr>
            <w:r>
              <w:rPr>
                <w:rFonts w:ascii="Times New Roman" w:hAnsi="Times New Roman"/>
                <w:color w:val="000000"/>
                <w:sz w:val="18"/>
              </w:rPr>
              <w:t>Date of exchange</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color w:val="000000"/>
                <w:sz w:val="18"/>
              </w:rPr>
            </w:pPr>
            <w:r>
              <w:rPr>
                <w:rFonts w:ascii="Times New Roman" w:hAnsi="Times New Roman"/>
                <w:color w:val="000000"/>
                <w:sz w:val="18"/>
              </w:rPr>
              <w:t>Amount of decrease in principal amount of this Global Note</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color w:val="000000"/>
                <w:sz w:val="18"/>
              </w:rPr>
            </w:pPr>
            <w:r>
              <w:rPr>
                <w:rFonts w:ascii="Times New Roman" w:hAnsi="Times New Roman"/>
                <w:color w:val="000000"/>
                <w:sz w:val="18"/>
              </w:rPr>
              <w:t>Amount of increase in principal amount of this Global Note</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color w:val="000000"/>
                <w:sz w:val="18"/>
              </w:rPr>
            </w:pPr>
            <w:r>
              <w:rPr>
                <w:rFonts w:ascii="Times New Roman" w:hAnsi="Times New Roman"/>
                <w:color w:val="000000"/>
                <w:sz w:val="18"/>
              </w:rPr>
              <w:t>Principal amount of this Global Note following such decrease or increase</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center"/>
              <w:rPr>
                <w:rFonts w:ascii="Times New Roman" w:hAnsi="Times New Roman"/>
                <w:color w:val="000000"/>
                <w:sz w:val="18"/>
              </w:rPr>
            </w:pPr>
            <w:r>
              <w:rPr>
                <w:rFonts w:ascii="Times New Roman" w:hAnsi="Times New Roman"/>
                <w:color w:val="000000"/>
                <w:sz w:val="18"/>
              </w:rPr>
              <w:t>Signature of authorized signatory of Trustee or Custodian</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r>
        <w:trPr/>
        <w:tc>
          <w:tcPr>
            <w:tcW w:w="1010"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84"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172"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603"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c>
          <w:tcPr>
            <w:tcW w:w="2236" w:type="dxa"/>
            <w:tcBorders/>
            <w:tcMar>
              <w:top w:w="0" w:type="dxa"/>
              <w:left w:w="0" w:type="dxa"/>
              <w:bottom w:w="0" w:type="dxa"/>
              <w:right w:w="0" w:type="dxa"/>
            </w:tcMar>
            <w:vAlign w:val="center"/>
          </w:tcPr>
          <w:p>
            <w:pPr>
              <w:pStyle w:val="TableContents"/>
              <w:pBdr>
                <w:bottom w:val="single" w:sz="4" w:space="1" w:color="000000"/>
              </w:pBdr>
              <w:bidi w:val="0"/>
              <w:spacing w:before="0" w:after="6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Include if a global note.</w:t>
      </w:r>
    </w:p>
    <w:p>
      <w:pPr>
        <w:pStyle w:val="TextBody"/>
        <w:bidi w:val="0"/>
        <w:jc w:val="center"/>
        <w:rPr>
          <w:rFonts w:ascii="Times New Roman" w:hAnsi="Times New Roman"/>
          <w:color w:val="000000"/>
          <w:sz w:val="24"/>
        </w:rPr>
      </w:pPr>
      <w:r>
        <w:rPr>
          <w:rFonts w:ascii="Times New Roman" w:hAnsi="Times New Roman"/>
          <w:color w:val="000000"/>
          <w:sz w:val="24"/>
        </w:rPr>
        <w:t>A-9</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ATTACHMENT 1</w:t>
      </w:r>
    </w:p>
    <w:p>
      <w:pPr>
        <w:pStyle w:val="TextBody"/>
        <w:bidi w:val="0"/>
        <w:jc w:val="center"/>
        <w:rPr>
          <w:rFonts w:ascii="Times New Roman" w:hAnsi="Times New Roman"/>
          <w:color w:val="000000"/>
          <w:sz w:val="24"/>
        </w:rPr>
      </w:pPr>
      <w:r>
        <w:rPr>
          <w:rFonts w:ascii="Times New Roman" w:hAnsi="Times New Roman"/>
          <w:color w:val="000000"/>
          <w:sz w:val="24"/>
        </w:rPr>
        <w:t>[FORM OF NOTICE OF CONVERSION]</w:t>
      </w:r>
    </w:p>
    <w:p>
      <w:pPr>
        <w:pStyle w:val="TextBody"/>
        <w:bidi w:val="0"/>
        <w:jc w:val="center"/>
        <w:rPr/>
      </w:pPr>
      <w:r>
        <w:rPr/>
        <w:t> </w:t>
      </w:r>
    </w:p>
    <w:tbl>
      <w:tblPr>
        <w:tblW w:w="5412" w:type="dxa"/>
        <w:jc w:val="left"/>
        <w:tblInd w:w="0" w:type="dxa"/>
        <w:tblLayout w:type="fixed"/>
        <w:tblCellMar>
          <w:top w:w="28" w:type="dxa"/>
          <w:left w:w="28" w:type="dxa"/>
          <w:bottom w:w="28" w:type="dxa"/>
          <w:right w:w="28" w:type="dxa"/>
        </w:tblCellMar>
      </w:tblPr>
      <w:tblGrid>
        <w:gridCol w:w="611"/>
        <w:gridCol w:w="4801"/>
      </w:tblGrid>
      <w:tr>
        <w:trPr/>
        <w:tc>
          <w:tcPr>
            <w:tcW w:w="61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w:t>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 Concourse Parkway NE, Suite 800</w:t>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Atlanta, GA 30328</w:t>
            </w:r>
          </w:p>
        </w:tc>
      </w:tr>
      <w:tr>
        <w:trPr/>
        <w:tc>
          <w:tcPr>
            <w:tcW w:w="611" w:type="dxa"/>
            <w:tcBorders/>
            <w:tcMar>
              <w:top w:w="0" w:type="dxa"/>
              <w:left w:w="0" w:type="dxa"/>
              <w:bottom w:w="0" w:type="dxa"/>
              <w:right w:w="0" w:type="dxa"/>
            </w:tcMar>
            <w:vAlign w:val="center"/>
          </w:tcPr>
          <w:p>
            <w:pPr>
              <w:pStyle w:val="TableContents"/>
              <w:bidi w:val="0"/>
              <w:spacing w:before="0" w:after="283"/>
              <w:ind w:left="0" w:right="0" w:firstLine="450"/>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ind w:left="0" w:right="0" w:firstLine="450"/>
              <w:jc w:val="left"/>
              <w:rPr>
                <w:rFonts w:ascii="Times New Roman" w:hAnsi="Times New Roman"/>
                <w:color w:val="000000"/>
                <w:sz w:val="24"/>
              </w:rPr>
            </w:pPr>
            <w:r>
              <w:rPr>
                <w:rFonts w:ascii="Times New Roman" w:hAnsi="Times New Roman"/>
                <w:color w:val="000000"/>
                <w:sz w:val="24"/>
              </w:rPr>
              <w:t>Attention: Greg M. Jackson</w:t>
            </w:r>
          </w:p>
        </w:tc>
      </w:tr>
    </w:tbl>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registered owner of this Note hereby exercises the option to convert this Note, or the portion hereof (that is $1,000 principal amount or an integral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Special Interest accompanies this Note. Capitalized terms used herein but not defined shall have the meanings ascribed to such terms in the Indenture.</w:t>
      </w:r>
    </w:p>
    <w:p>
      <w:pPr>
        <w:pStyle w:val="TextBody"/>
        <w:bidi w:val="0"/>
        <w:jc w:val="left"/>
        <w:rPr/>
      </w:pPr>
      <w:r>
        <w:rPr/>
        <w:t> </w:t>
      </w:r>
    </w:p>
    <w:tbl>
      <w:tblPr>
        <w:tblW w:w="2334" w:type="dxa"/>
        <w:jc w:val="left"/>
        <w:tblInd w:w="0" w:type="dxa"/>
        <w:tblLayout w:type="fixed"/>
        <w:tblCellMar>
          <w:top w:w="28" w:type="dxa"/>
          <w:left w:w="28" w:type="dxa"/>
          <w:bottom w:w="28" w:type="dxa"/>
          <w:right w:w="28" w:type="dxa"/>
        </w:tblCellMar>
      </w:tblPr>
      <w:tblGrid>
        <w:gridCol w:w="751"/>
        <w:gridCol w:w="146"/>
        <w:gridCol w:w="146"/>
        <w:gridCol w:w="129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Signature(s)</w:t>
            </w:r>
          </w:p>
        </w:tc>
      </w:tr>
    </w:tbl>
    <w:p>
      <w:pPr>
        <w:pStyle w:val="TextBody"/>
        <w:bidi w:val="0"/>
        <w:jc w:val="left"/>
        <w:rPr/>
      </w:pPr>
      <w:r>
        <w:rPr/>
        <w:t> </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 Guarantee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Signature(s) must be guaranteed</w:t>
        <w:br/>
        <w:t>by an eligible Guarantor Institution</w:t>
        <w:br/>
        <w:t>(banks, stock brokers, savings and</w:t>
        <w:br/>
        <w:t>loan associations and credit unions)</w:t>
        <w:br/>
        <w:t>with membership in an approved</w:t>
        <w:br/>
        <w:t>signature guarantee medallion program</w:t>
        <w:br/>
        <w:t>pursuant to Securities and Exchange</w:t>
        <w:br/>
        <w:t>Commission Rule 17Ad-15 if shares</w:t>
        <w:br/>
        <w:t>of Common Stock are to be issued, or</w:t>
        <w:br/>
        <w:t>Notes are to be delivered, other than</w:t>
        <w:br/>
        <w:t>to and in the name of the registered holder.</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Fill in for registration of shares if</w:t>
        <w:br/>
        <w:t>to be issued, and Notes if to</w:t>
        <w:br/>
        <w:t>be delivered, other than to and in the</w:t>
        <w:br/>
        <w:t>name of the registered holder:</w:t>
      </w:r>
    </w:p>
    <w:p>
      <w:pPr>
        <w:pStyle w:val="TextBody"/>
        <w:bidi w:val="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000000"/>
              <w:bottom w:val="single" w:sz="4" w:space="0" w:color="000000"/>
            </w:tcBorders>
            <w:tcMar>
              <w:left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w:t>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(Street Address)</w:t>
            </w:r>
          </w:p>
        </w:tc>
      </w:tr>
      <w:tr>
        <w:trPr/>
        <w:tc>
          <w:tcPr>
            <w:tcW w:w="30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(City, State and Zip Code)</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Please print name and address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02"/>
        <w:gridCol w:w="603"/>
      </w:tblGrid>
      <w:tr>
        <w:trPr/>
        <w:tc>
          <w:tcPr>
            <w:tcW w:w="9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Principal amount to be converted (if less than all): $______,000</w:t>
            </w:r>
          </w:p>
        </w:tc>
      </w:tr>
      <w:tr>
        <w:trPr/>
        <w:tc>
          <w:tcPr>
            <w:tcW w:w="10205"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NOTICE: The above signature(s) of the Holder(s) hereof must correspond with the name as written upon the face of the Note in every particular without alteration or enlargement or any change whatever.</w:t>
            </w:r>
          </w:p>
        </w:tc>
      </w:tr>
      <w:tr>
        <w:trPr/>
        <w:tc>
          <w:tcPr>
            <w:tcW w:w="9602" w:type="dxa"/>
            <w:tcBorders>
              <w:top w:val="single" w:sz="4" w:space="0" w:color="000000"/>
            </w:tcBorders>
            <w:tcMar>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Social Security or Other Taxpayer</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Identification Number</w:t>
            </w:r>
          </w:p>
        </w:tc>
        <w:tc>
          <w:tcPr>
            <w:tcW w:w="603" w:type="dxa"/>
            <w:tcBorders>
              <w:top w:val="single" w:sz="4" w:space="0" w:color="000000"/>
            </w:tcBorders>
            <w:tcMar>
              <w:left w:w="0" w:type="dxa"/>
              <w:bottom w:w="0" w:type="dxa"/>
              <w:right w:w="0" w:type="dxa"/>
            </w:tcMar>
            <w:vAlign w:val="center"/>
          </w:tcPr>
          <w:p>
            <w:pPr>
              <w:pStyle w:val="TableContents"/>
              <w:bidi w:val="0"/>
              <w:spacing w:before="0" w:after="240"/>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ATTACHMENT 2</w:t>
      </w:r>
    </w:p>
    <w:p>
      <w:pPr>
        <w:pStyle w:val="TextBody"/>
        <w:bidi w:val="0"/>
        <w:jc w:val="center"/>
        <w:rPr>
          <w:rFonts w:ascii="Times New Roman" w:hAnsi="Times New Roman"/>
          <w:color w:val="000000"/>
          <w:sz w:val="24"/>
        </w:rPr>
      </w:pPr>
      <w:r>
        <w:rPr>
          <w:rFonts w:ascii="Times New Roman" w:hAnsi="Times New Roman"/>
          <w:color w:val="000000"/>
          <w:sz w:val="24"/>
        </w:rPr>
        <w:t>[FORM OF FUNDAMENTAL CHANGE REPURCHASE NOTICE]</w:t>
      </w:r>
    </w:p>
    <w:p>
      <w:pPr>
        <w:pStyle w:val="TextBody"/>
        <w:bidi w:val="0"/>
        <w:jc w:val="left"/>
        <w:rPr/>
      </w:pPr>
      <w:r>
        <w:rPr/>
        <w:t> </w:t>
      </w:r>
    </w:p>
    <w:tbl>
      <w:tblPr>
        <w:tblW w:w="5412" w:type="dxa"/>
        <w:jc w:val="left"/>
        <w:tblInd w:w="0" w:type="dxa"/>
        <w:tblLayout w:type="fixed"/>
        <w:tblCellMar>
          <w:top w:w="28" w:type="dxa"/>
          <w:left w:w="28" w:type="dxa"/>
          <w:bottom w:w="28" w:type="dxa"/>
          <w:right w:w="28" w:type="dxa"/>
        </w:tblCellMar>
      </w:tblPr>
      <w:tblGrid>
        <w:gridCol w:w="611"/>
        <w:gridCol w:w="4801"/>
      </w:tblGrid>
      <w:tr>
        <w:trPr/>
        <w:tc>
          <w:tcPr>
            <w:tcW w:w="611" w:type="dxa"/>
            <w:tcBorders/>
            <w:vAlign w:val="center"/>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 Bank Trust Company, National Association</w:t>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 Concourse Parkway NE, Suite 800</w:t>
            </w:r>
          </w:p>
        </w:tc>
      </w:tr>
      <w:tr>
        <w:trPr/>
        <w:tc>
          <w:tcPr>
            <w:tcW w:w="6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Atlanta, GA 30328</w:t>
            </w:r>
          </w:p>
        </w:tc>
      </w:tr>
      <w:tr>
        <w:trPr/>
        <w:tc>
          <w:tcPr>
            <w:tcW w:w="611" w:type="dxa"/>
            <w:tcBorders/>
            <w:tcMar>
              <w:top w:w="0" w:type="dxa"/>
              <w:left w:w="0" w:type="dxa"/>
              <w:bottom w:w="0" w:type="dxa"/>
              <w:right w:w="0" w:type="dxa"/>
            </w:tcMar>
            <w:vAlign w:val="center"/>
          </w:tcPr>
          <w:p>
            <w:pPr>
              <w:pStyle w:val="TableContents"/>
              <w:bidi w:val="0"/>
              <w:spacing w:before="0" w:after="283"/>
              <w:ind w:left="0" w:right="0" w:firstLine="450"/>
              <w:jc w:val="left"/>
              <w:rPr/>
            </w:pPr>
            <w:r>
              <w:rPr/>
              <w:t> </w:t>
            </w:r>
          </w:p>
        </w:tc>
        <w:tc>
          <w:tcPr>
            <w:tcW w:w="4801" w:type="dxa"/>
            <w:tcBorders/>
            <w:tcMar>
              <w:top w:w="0" w:type="dxa"/>
              <w:left w:w="0" w:type="dxa"/>
              <w:bottom w:w="0" w:type="dxa"/>
              <w:right w:w="0" w:type="dxa"/>
            </w:tcMar>
            <w:vAlign w:val="center"/>
          </w:tcPr>
          <w:p>
            <w:pPr>
              <w:pStyle w:val="TableContents"/>
              <w:bidi w:val="0"/>
              <w:spacing w:before="0" w:after="283"/>
              <w:ind w:left="0" w:right="0" w:firstLine="450"/>
              <w:jc w:val="left"/>
              <w:rPr>
                <w:rFonts w:ascii="Times New Roman" w:hAnsi="Times New Roman"/>
                <w:color w:val="000000"/>
                <w:sz w:val="24"/>
              </w:rPr>
            </w:pPr>
            <w:r>
              <w:rPr>
                <w:rFonts w:ascii="Times New Roman" w:hAnsi="Times New Roman"/>
                <w:color w:val="000000"/>
                <w:sz w:val="24"/>
              </w:rPr>
              <w:t>Attention: Greg M. Jackson</w:t>
            </w:r>
          </w:p>
        </w:tc>
      </w:tr>
    </w:tbl>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The undersigned registered owner of this Note hereby acknowledges receipt of a notice from Diodes Incorporated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corresponding Special Interest Payment Date, accrued and unpaid Special Interest, if any, thereon to, but excluding, such Fundamental Change Repurchase Date. Capitalized terms used herein but not defined shall have the meanings ascribed to such terms in the Indenture.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Physical Notes, the certificate numbers of the Notes to be repurchased are as set forth below:</w:t>
      </w:r>
    </w:p>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606"/>
        <w:gridCol w:w="995"/>
        <w:gridCol w:w="604"/>
      </w:tblGrid>
      <w:tr>
        <w:trPr/>
        <w:tc>
          <w:tcPr>
            <w:tcW w:w="860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8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Signature(s)</w:t>
            </w:r>
          </w:p>
        </w:tc>
        <w:tc>
          <w:tcPr>
            <w:tcW w:w="995" w:type="dxa"/>
            <w:tcBorders/>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1"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Social Security or Other Taxpayer</w:t>
              <w:br/>
              <w:t>Identification Number</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Principal amount to be repaid (if less than all): </w:t>
              <w:br/>
              <w:t>$______,000</w:t>
            </w:r>
          </w:p>
        </w:tc>
      </w:tr>
      <w:tr>
        <w:trPr/>
        <w:tc>
          <w:tcPr>
            <w:tcW w:w="86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The above signature(s) of the Holder(s) hereof must correspond with the name as written upon the face of the Note in every particular without alteration or enlargement or any change whatever.</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ATTACHMENT 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[FORM OF ASSIGNMENT AND TRANSFER]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240"/>
        <w:jc w:val="left"/>
        <w:rPr>
          <w:color w:val="000000"/>
        </w:rPr>
      </w:pPr>
      <w:r>
        <w:rPr>
          <w:color w:val="000000"/>
        </w:rPr>
        <w:t xml:space="preserve">□ </w:t>
      </w:r>
      <w:r>
        <w:rPr>
          <w:rFonts w:ascii="Times New Roman" w:hAnsi="Times New Roman"/>
          <w:color w:val="000000"/>
          <w:sz w:val="24"/>
        </w:rPr>
        <w:t>To Diodes Incorporated or a subsidiary thereof; or</w:t>
      </w:r>
    </w:p>
    <w:p>
      <w:pPr>
        <w:pStyle w:val="TextBody"/>
        <w:bidi w:val="0"/>
        <w:spacing w:before="0" w:after="240"/>
        <w:jc w:val="left"/>
        <w:rPr>
          <w:color w:val="000000"/>
        </w:rPr>
      </w:pPr>
      <w:r>
        <w:rPr>
          <w:color w:val="000000"/>
        </w:rPr>
        <w:t xml:space="preserve">□ </w:t>
      </w:r>
      <w:r>
        <w:rPr>
          <w:rFonts w:ascii="Times New Roman" w:hAnsi="Times New Roman"/>
          <w:color w:val="000000"/>
          <w:sz w:val="24"/>
        </w:rPr>
        <w:t>Pursuant to a registration statement that has become or been declared effective under the Securities Act of 1933, as amended; or</w:t>
      </w:r>
    </w:p>
    <w:p>
      <w:pPr>
        <w:pStyle w:val="TextBody"/>
        <w:bidi w:val="0"/>
        <w:spacing w:before="0" w:after="240"/>
        <w:jc w:val="left"/>
        <w:rPr>
          <w:color w:val="000000"/>
        </w:rPr>
      </w:pPr>
      <w:r>
        <w:rPr>
          <w:color w:val="000000"/>
        </w:rPr>
        <w:t xml:space="preserve">□ </w:t>
      </w:r>
      <w:r>
        <w:rPr>
          <w:rFonts w:ascii="Times New Roman" w:hAnsi="Times New Roman"/>
          <w:color w:val="000000"/>
          <w:sz w:val="24"/>
        </w:rPr>
        <w:t>To a person reasonably believed to be a qualified institutional buyer in compliance with Rule 144A under the Securities Act of 1933, as amended; or</w:t>
      </w:r>
    </w:p>
    <w:p>
      <w:pPr>
        <w:pStyle w:val="TextBody"/>
        <w:bidi w:val="0"/>
        <w:spacing w:before="0" w:after="240"/>
        <w:jc w:val="left"/>
        <w:rPr>
          <w:color w:val="000000"/>
        </w:rPr>
      </w:pPr>
      <w:r>
        <w:rPr>
          <w:color w:val="000000"/>
        </w:rPr>
        <w:t xml:space="preserve">□ </w:t>
      </w:r>
      <w:r>
        <w:rPr>
          <w:rFonts w:ascii="Times New Roman" w:hAnsi="Times New Roman"/>
          <w:color w:val="000000"/>
          <w:sz w:val="24"/>
        </w:rPr>
        <w:t>Pursuant to and in compliance with Rule 144 under the Securities Act of 1933, as amended, or any other available exemption from the registration requirements of the Securities Act of 1933, as amended.</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tbl>
      <w:tblPr>
        <w:tblW w:w="2100" w:type="dxa"/>
        <w:jc w:val="left"/>
        <w:tblInd w:w="0" w:type="dxa"/>
        <w:tblLayout w:type="fixed"/>
        <w:tblCellMar>
          <w:top w:w="28" w:type="dxa"/>
          <w:left w:w="28" w:type="dxa"/>
          <w:bottom w:w="28" w:type="dxa"/>
          <w:right w:w="28" w:type="dxa"/>
        </w:tblCellMar>
      </w:tblPr>
      <w:tblGrid>
        <w:gridCol w:w="1575"/>
        <w:gridCol w:w="249"/>
        <w:gridCol w:w="276"/>
      </w:tblGrid>
      <w:tr>
        <w:trPr/>
        <w:tc>
          <w:tcPr>
            <w:tcW w:w="157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5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w:t>
            </w:r>
          </w:p>
        </w:tc>
        <w:tc>
          <w:tcPr>
            <w:tcW w:w="5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0" w:type="dxa"/>
            <w:gridSpan w:val="3"/>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2100" w:type="dxa"/>
            <w:gridSpan w:val="3"/>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pPr>
            <w:r>
              <w:rPr/>
              <w:t> </w:t>
            </w:r>
          </w:p>
        </w:tc>
      </w:tr>
      <w:tr>
        <w:trPr/>
        <w:tc>
          <w:tcPr>
            <w:tcW w:w="182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Signature(s)</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2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Guarantee</w:t>
            </w:r>
          </w:p>
        </w:tc>
      </w:tr>
    </w:tbl>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Signature(s) must be guaranteed by an</w:t>
        <w:br/>
        <w:t>eligible Guarantor Institution (banks, stock</w:t>
        <w:br/>
        <w:t>brokers, savings and loan associations and</w:t>
        <w:br/>
        <w:t>credit unions) with membership in an approved</w:t>
        <w:br/>
        <w:t>signature guarantee medallion program pursuant</w:t>
        <w:br/>
        <w:t>to Securities and Exchange Commission</w:t>
        <w:br/>
        <w:t>Rule 17Ad-15 if Notes are to be delivered, other</w:t>
        <w:br/>
        <w:t>than to and in the name of the registered holder.</w:t>
      </w:r>
    </w:p>
    <w:p>
      <w:pPr>
        <w:pStyle w:val="TextBody"/>
        <w:bidi w:val="0"/>
        <w:jc w:val="left"/>
        <w:rPr>
          <w:rFonts w:ascii="Times New Roman" w:hAnsi="Times New Roman"/>
          <w:color w:val="000000"/>
          <w:sz w:val="24"/>
        </w:rPr>
      </w:pPr>
      <w:r>
        <w:rPr>
          <w:rFonts w:ascii="Times New Roman" w:hAnsi="Times New Roman"/>
          <w:color w:val="000000"/>
          <w:sz w:val="24"/>
        </w:rPr>
        <w:t>NOTICE: The signature on the assignment must correspond with the name as written upon the face of the Note in every particular without alteration or enlargement or any change whatever.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Heading2"/>
        <w:bidi w:val="0"/>
        <w:jc w:val="right"/>
        <w:rPr>
          <w:rFonts w:ascii="Times New Roman" w:hAnsi="Times New Roman"/>
          <w:color w:val="000000"/>
          <w:sz w:val="22"/>
        </w:rPr>
      </w:pPr>
      <w:bookmarkStart w:id="4" w:name="diod-ex10_1.htm"/>
      <w:bookmarkStart w:id="5" w:name="ksdiodex10_1"/>
      <w:bookmarkEnd w:id="4"/>
      <w:bookmarkEnd w:id="5"/>
      <w:r>
        <w:rPr>
          <w:rFonts w:ascii="Times New Roman" w:hAnsi="Times New Roman"/>
          <w:color w:val="000000"/>
          <w:sz w:val="22"/>
        </w:rPr>
        <w:t>Exhibit 10.1</w:t>
      </w:r>
      <w:r>
        <w:br w:type="page"/>
      </w:r>
    </w:p>
    <w:p>
      <w:pPr>
        <w:pStyle w:val="Heading2"/>
        <w:bidi w:val="0"/>
        <w:spacing w:before="120" w:after="283"/>
        <w:jc w:val="right"/>
        <w:rPr>
          <w:rFonts w:ascii="Times New Roman" w:hAnsi="Times New Roman"/>
          <w:color w:val="000000"/>
          <w:sz w:val="22"/>
        </w:rPr>
      </w:pPr>
      <w:r>
        <w:rPr>
          <w:rFonts w:ascii="Times New Roman" w:hAnsi="Times New Roman"/>
          <w:color w:val="000000"/>
          <w:sz w:val="22"/>
        </w:rPr>
        <w:t>EXECUTION COPY</w:t>
      </w:r>
    </w:p>
    <w:p>
      <w:pPr>
        <w:pStyle w:val="TextBody"/>
        <w:bidi w:val="0"/>
        <w:spacing w:before="240" w:after="283"/>
        <w:jc w:val="center"/>
        <w:rPr>
          <w:rFonts w:ascii="Times New Roman" w:hAnsi="Times New Roman"/>
          <w:sz w:val="20"/>
        </w:rPr>
      </w:pPr>
      <w:r>
        <w:rPr>
          <w:rFonts w:ascii="Times New Roman" w:hAnsi="Times New Roman"/>
          <w:b/>
          <w:color w:val="000000"/>
          <w:sz w:val="22"/>
        </w:rPr>
        <w:t>AMENDMENT NO. 1 TO THIRD AMENDED</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AND RESTATED CREDIT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AMENDMENT NO. 1 TO THIRD AMENDED AND RESTATED CREDIT AGREEMENT dated as of August 12, 2026 (this “</w:t>
      </w:r>
      <w:r>
        <w:rPr>
          <w:rFonts w:ascii="Times New Roman" w:hAnsi="Times New Roman"/>
          <w:i/>
          <w:color w:val="000000"/>
          <w:sz w:val="22"/>
        </w:rPr>
        <w:t>Amendment</w:t>
      </w:r>
      <w:r>
        <w:rPr>
          <w:rFonts w:ascii="Times New Roman" w:hAnsi="Times New Roman"/>
          <w:color w:val="000000"/>
          <w:sz w:val="20"/>
        </w:rPr>
        <w:t>”</w:t>
      </w:r>
      <w:r>
        <w:rPr>
          <w:rFonts w:ascii="Times New Roman" w:hAnsi="Times New Roman"/>
          <w:color w:val="000000"/>
          <w:sz w:val="22"/>
        </w:rPr>
        <w:t>) is entered into among DIODES INCORPORATED, a Delaware corporation (the “</w:t>
      </w:r>
      <w:r>
        <w:rPr>
          <w:rFonts w:ascii="Times New Roman" w:hAnsi="Times New Roman"/>
          <w:i/>
          <w:color w:val="000000"/>
          <w:sz w:val="22"/>
        </w:rPr>
        <w:t>Domestic Borrower</w:t>
      </w:r>
      <w:r>
        <w:rPr>
          <w:rFonts w:ascii="Times New Roman" w:hAnsi="Times New Roman"/>
          <w:color w:val="000000"/>
          <w:sz w:val="20"/>
        </w:rPr>
        <w:t>”</w:t>
      </w:r>
      <w:r>
        <w:rPr>
          <w:rFonts w:ascii="Times New Roman" w:hAnsi="Times New Roman"/>
          <w:color w:val="000000"/>
          <w:sz w:val="22"/>
        </w:rPr>
        <w:t>), DIODES HOLDINGS UK LIMITED, a company incorporated and registered under the laws of England and Wales with registration number 06475363 (the “</w:t>
      </w:r>
      <w:r>
        <w:rPr>
          <w:rFonts w:ascii="Times New Roman" w:hAnsi="Times New Roman"/>
          <w:i/>
          <w:color w:val="000000"/>
          <w:sz w:val="22"/>
        </w:rPr>
        <w:t>Foreign Borrower</w:t>
      </w:r>
      <w:r>
        <w:rPr>
          <w:rFonts w:ascii="Times New Roman" w:hAnsi="Times New Roman"/>
          <w:color w:val="000000"/>
          <w:sz w:val="20"/>
        </w:rPr>
        <w:t>”</w:t>
      </w:r>
      <w:r>
        <w:rPr>
          <w:rFonts w:ascii="Times New Roman" w:hAnsi="Times New Roman"/>
          <w:color w:val="000000"/>
          <w:sz w:val="22"/>
        </w:rPr>
        <w:t>), certain Subsidiaries of the Domestic Borrower identified on the signature pages hereto as subsidiary guarantors (the “</w:t>
      </w:r>
      <w:r>
        <w:rPr>
          <w:rFonts w:ascii="Times New Roman" w:hAnsi="Times New Roman"/>
          <w:i/>
          <w:color w:val="000000"/>
          <w:sz w:val="22"/>
        </w:rPr>
        <w:t>Subsidiary Guarantors</w:t>
      </w:r>
      <w:r>
        <w:rPr>
          <w:rFonts w:ascii="Times New Roman" w:hAnsi="Times New Roman"/>
          <w:color w:val="000000"/>
          <w:sz w:val="20"/>
        </w:rPr>
        <w:t>”</w:t>
      </w:r>
      <w:r>
        <w:rPr>
          <w:rFonts w:ascii="Times New Roman" w:hAnsi="Times New Roman"/>
          <w:color w:val="000000"/>
          <w:sz w:val="22"/>
        </w:rPr>
        <w:t>), the Lenders party hereto and BANK OF AMERICA, N.A., as Administrative Agent (in such capacity, the “</w:t>
      </w:r>
      <w:r>
        <w:rPr>
          <w:rFonts w:ascii="Times New Roman" w:hAnsi="Times New Roman"/>
          <w:i/>
          <w:color w:val="000000"/>
          <w:sz w:val="22"/>
        </w:rPr>
        <w:t>Administrative Agent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PRELIMINARY STATEMENTS</w:t>
      </w:r>
    </w:p>
    <w:p>
      <w:pPr>
        <w:pStyle w:val="TextBody"/>
        <w:bidi w:val="0"/>
        <w:spacing w:before="240" w:after="283"/>
        <w:jc w:val="both"/>
        <w:rPr>
          <w:rFonts w:ascii="Times New Roman" w:hAnsi="Times New Roman"/>
          <w:sz w:val="20"/>
        </w:rPr>
      </w:pPr>
      <w:r>
        <w:rPr>
          <w:rFonts w:ascii="Times New Roman" w:hAnsi="Times New Roman"/>
          <w:color w:val="000000"/>
          <w:sz w:val="22"/>
        </w:rPr>
        <w:t>The Domestic Borrower, the Foreign Borrower, the Subsidiary Guarantors, the Lenders and the Administrative Agent are parties to that certain Third Amended and Restated Credit Agreement, dated as of May 26, 2023 (as amended, restated, amended and restated, supplemented or otherwise modified from time to time prior to the date hereof, the “</w:t>
      </w:r>
      <w:r>
        <w:rPr>
          <w:rFonts w:ascii="Times New Roman" w:hAnsi="Times New Roman"/>
          <w:i/>
          <w:color w:val="000000"/>
          <w:sz w:val="22"/>
        </w:rPr>
        <w:t>Existing 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have requested that the Administrative Agent and the Lenders agree to amend the Existing Credit Agreement as more specifically set forth herein. Subject to the terms and conditions set forth herein, the Administrative Agent and each of the Lenders party hereto have agreed to grant such requests of the Borrowers.</w:t>
      </w:r>
    </w:p>
    <w:p>
      <w:pPr>
        <w:pStyle w:val="TextBody"/>
        <w:bidi w:val="0"/>
        <w:spacing w:before="240" w:after="283"/>
        <w:jc w:val="both"/>
        <w:rPr>
          <w:rFonts w:ascii="Times New Roman" w:hAnsi="Times New Roman"/>
          <w:sz w:val="20"/>
        </w:rPr>
      </w:pPr>
      <w:r>
        <w:rPr>
          <w:rFonts w:ascii="Times New Roman" w:hAnsi="Times New Roman"/>
          <w:color w:val="000000"/>
          <w:sz w:val="22"/>
        </w:rPr>
        <w:t>Fifth Third Bank, National Association (successor by merger to Comerica Bank, N.A., the “</w:t>
      </w:r>
      <w:r>
        <w:rPr>
          <w:rFonts w:ascii="Times New Roman" w:hAnsi="Times New Roman"/>
          <w:i/>
          <w:color w:val="000000"/>
          <w:sz w:val="22"/>
        </w:rPr>
        <w:t>Exiting Lender</w:t>
      </w:r>
      <w:r>
        <w:rPr>
          <w:rFonts w:ascii="Times New Roman" w:hAnsi="Times New Roman"/>
          <w:color w:val="000000"/>
          <w:sz w:val="20"/>
        </w:rPr>
        <w:t>”</w:t>
      </w:r>
      <w:r>
        <w:rPr>
          <w:rFonts w:ascii="Times New Roman" w:hAnsi="Times New Roman"/>
          <w:color w:val="000000"/>
          <w:sz w:val="22"/>
        </w:rPr>
        <w:t>), by its execution of this Amendment, and upon payment in full of its Obligations and satisfaction of the conditions set forth herein, will cease to be a Lender for all purposes under the Credit Agreement and the other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for good and valuable consideration, the receipt and sufficiency of which are hereby acknowledged, the parties hereto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color w:val="000000"/>
          <w:sz w:val="22"/>
          <w:u w:val="single"/>
        </w:rPr>
        <w:t>Defined Terms</w:t>
      </w:r>
      <w:r>
        <w:rPr>
          <w:rFonts w:ascii="Times New Roman" w:hAnsi="Times New Roman"/>
          <w:color w:val="000000"/>
          <w:sz w:val="22"/>
        </w:rPr>
        <w:t>. Except as otherwise provided herein, all capitalized undefined terms used in this Amendment (including, without limitation, in the introductory paragraph and the preliminary statements hereto) shall have the meanings assigned thereto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color w:val="000000"/>
          <w:sz w:val="22"/>
          <w:u w:val="single"/>
        </w:rPr>
        <w:t>Amendments to Credit Agreement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Existing Credit Agreement</w:t>
      </w:r>
      <w:r>
        <w:rPr>
          <w:rFonts w:ascii="Times New Roman" w:hAnsi="Times New Roman"/>
          <w:color w:val="000000"/>
          <w:sz w:val="22"/>
        </w:rPr>
        <w:t xml:space="preserve">. The Existing Credit Agreement shall be and hereby is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to add the underlined text (indicated textually in the same manner as the following example: </w:t>
      </w:r>
      <w:r>
        <w:rPr>
          <w:rFonts w:ascii="Times New Roman" w:hAnsi="Times New Roman"/>
          <w:color w:val="0070C0"/>
          <w:sz w:val="22"/>
          <w:u w:val="single"/>
        </w:rPr>
        <w:t>underlined text</w:t>
      </w:r>
      <w:r>
        <w:rPr>
          <w:rFonts w:ascii="Times New Roman" w:hAnsi="Times New Roman"/>
          <w:color w:val="000000"/>
          <w:sz w:val="22"/>
        </w:rPr>
        <w:t xml:space="preserve">), and to move text (indicated textually in the same manner as the following example: </w:t>
      </w:r>
      <w:r>
        <w:rPr>
          <w:rFonts w:ascii="Times New Roman" w:hAnsi="Times New Roman"/>
          <w:color w:val="00B050"/>
          <w:sz w:val="22"/>
        </w:rPr>
        <w:t>moved text</w:t>
      </w:r>
      <w:r>
        <w:rPr>
          <w:rFonts w:ascii="Times New Roman" w:hAnsi="Times New Roman"/>
          <w:color w:val="000000"/>
          <w:sz w:val="22"/>
        </w:rPr>
        <w:t xml:space="preserve">), as set forth in the pages 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(the Existing Credit Agreement, as so amended, the “</w:t>
      </w:r>
      <w:r>
        <w:rPr>
          <w:rFonts w:ascii="Times New Roman" w:hAnsi="Times New Roman"/>
          <w:color w:val="000000"/>
          <w:sz w:val="22"/>
          <w:u w:val="single"/>
        </w:rPr>
        <w:t>Credit Agreement</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Schedules to Credit Agreement</w:t>
      </w:r>
      <w:r>
        <w:rPr>
          <w:rFonts w:ascii="Times New Roman" w:hAnsi="Times New Roman"/>
          <w:color w:val="000000"/>
          <w:sz w:val="22"/>
        </w:rPr>
        <w:t>. Each of Schedule 2.01 (</w:t>
      </w:r>
      <w:r>
        <w:rPr>
          <w:rFonts w:ascii="Times New Roman" w:hAnsi="Times New Roman"/>
          <w:i/>
          <w:color w:val="000000"/>
          <w:sz w:val="22"/>
        </w:rPr>
        <w:t>Commitments and Applicable Percentages</w:t>
      </w:r>
      <w:r>
        <w:rPr>
          <w:rFonts w:ascii="Times New Roman" w:hAnsi="Times New Roman"/>
          <w:color w:val="000000"/>
          <w:sz w:val="22"/>
        </w:rPr>
        <w:t>), Schedule 5.09 (</w:t>
      </w:r>
      <w:r>
        <w:rPr>
          <w:rFonts w:ascii="Times New Roman" w:hAnsi="Times New Roman"/>
          <w:i/>
          <w:color w:val="000000"/>
          <w:sz w:val="22"/>
        </w:rPr>
        <w:t>Environmental Matters</w:t>
      </w:r>
      <w:r>
        <w:rPr>
          <w:rFonts w:ascii="Times New Roman" w:hAnsi="Times New Roman"/>
          <w:color w:val="000000"/>
          <w:sz w:val="22"/>
        </w:rPr>
        <w:t>), Schedule 5.17 (</w:t>
      </w:r>
      <w:r>
        <w:rPr>
          <w:rFonts w:ascii="Times New Roman" w:hAnsi="Times New Roman"/>
          <w:i/>
          <w:color w:val="000000"/>
          <w:sz w:val="22"/>
        </w:rPr>
        <w:t>Intellectual Property Matters</w:t>
      </w:r>
      <w:r>
        <w:rPr>
          <w:rFonts w:ascii="Times New Roman" w:hAnsi="Times New Roman"/>
          <w:color w:val="000000"/>
          <w:sz w:val="22"/>
        </w:rPr>
        <w:t>), Schedule 7.02 (</w:t>
      </w:r>
      <w:r>
        <w:rPr>
          <w:rFonts w:ascii="Times New Roman" w:hAnsi="Times New Roman"/>
          <w:i/>
          <w:color w:val="000000"/>
          <w:sz w:val="22"/>
        </w:rPr>
        <w:t>Existing Indebtedness</w:t>
      </w:r>
      <w:r>
        <w:rPr>
          <w:rFonts w:ascii="Times New Roman" w:hAnsi="Times New Roman"/>
          <w:color w:val="000000"/>
          <w:sz w:val="22"/>
        </w:rPr>
        <w:t>), Schedule 7.09 (</w:t>
      </w:r>
      <w:r>
        <w:rPr>
          <w:rFonts w:ascii="Times New Roman" w:hAnsi="Times New Roman"/>
          <w:i/>
          <w:color w:val="000000"/>
          <w:sz w:val="22"/>
        </w:rPr>
        <w:t>Burdensome Agreements</w:t>
      </w:r>
      <w:r>
        <w:rPr>
          <w:rFonts w:ascii="Times New Roman" w:hAnsi="Times New Roman"/>
          <w:color w:val="000000"/>
          <w:sz w:val="22"/>
        </w:rPr>
        <w:t>) and Schedule 11.02 (</w:t>
      </w:r>
      <w:r>
        <w:rPr>
          <w:rFonts w:ascii="Times New Roman" w:hAnsi="Times New Roman"/>
          <w:i/>
          <w:color w:val="000000"/>
          <w:sz w:val="22"/>
        </w:rPr>
        <w:t>Administrative Agent’s Office, Certain Addresses for Notices</w:t>
      </w:r>
      <w:r>
        <w:rPr>
          <w:rFonts w:ascii="Times New Roman" w:hAnsi="Times New Roman"/>
          <w:color w:val="000000"/>
          <w:sz w:val="22"/>
        </w:rPr>
        <w:t>) of the Credit Agreement are hereby replaced in their entirety with Schedule 2.01 (</w:t>
      </w:r>
      <w:r>
        <w:rPr>
          <w:rFonts w:ascii="Times New Roman" w:hAnsi="Times New Roman"/>
          <w:i/>
          <w:color w:val="000000"/>
          <w:sz w:val="22"/>
        </w:rPr>
        <w:t>Commitments and Applicable Percentages</w:t>
      </w:r>
      <w:r>
        <w:rPr>
          <w:rFonts w:ascii="Times New Roman" w:hAnsi="Times New Roman"/>
          <w:color w:val="000000"/>
          <w:sz w:val="22"/>
        </w:rPr>
        <w:t>), Schedule 5.09 (</w:t>
      </w:r>
      <w:r>
        <w:rPr>
          <w:rFonts w:ascii="Times New Roman" w:hAnsi="Times New Roman"/>
          <w:i/>
          <w:color w:val="000000"/>
          <w:sz w:val="22"/>
        </w:rPr>
        <w:t>Environmental Matters</w:t>
      </w:r>
      <w:r>
        <w:rPr>
          <w:rFonts w:ascii="Times New Roman" w:hAnsi="Times New Roman"/>
          <w:color w:val="000000"/>
          <w:sz w:val="22"/>
        </w:rPr>
        <w:t>), Schedule 5.17 (</w:t>
      </w:r>
      <w:r>
        <w:rPr>
          <w:rFonts w:ascii="Times New Roman" w:hAnsi="Times New Roman"/>
          <w:i/>
          <w:color w:val="000000"/>
          <w:sz w:val="22"/>
        </w:rPr>
        <w:t>Intellectual Property Matters</w:t>
      </w:r>
      <w:r>
        <w:rPr>
          <w:rFonts w:ascii="Times New Roman" w:hAnsi="Times New Roman"/>
          <w:color w:val="000000"/>
          <w:sz w:val="22"/>
        </w:rPr>
        <w:t>), Schedule 7.02 (</w:t>
      </w:r>
      <w:r>
        <w:rPr>
          <w:rFonts w:ascii="Times New Roman" w:hAnsi="Times New Roman"/>
          <w:i/>
          <w:color w:val="000000"/>
          <w:sz w:val="22"/>
        </w:rPr>
        <w:t>Existing Indebtedness), Schedule 7.09 (Burdensome Agreements) and Schedule 11.02 (Administrative Agent’s Office, Certain Addresses for Notices), respectively, attached hereto as Exhibit 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Exhibits to Credit Agreement</w:t>
      </w:r>
      <w:r>
        <w:rPr>
          <w:rFonts w:ascii="Times New Roman" w:hAnsi="Times New Roman"/>
          <w:color w:val="000000"/>
          <w:sz w:val="22"/>
        </w:rPr>
        <w:t xml:space="preserve">. Exhibit D (Compliance Certificate) of the Credit Agreement is hereby replaced in its entirety with Exhibit D attached hereto as </w:t>
      </w:r>
      <w:r>
        <w:rPr>
          <w:rFonts w:ascii="Times New Roman" w:hAnsi="Times New Roman"/>
          <w:color w:val="000000"/>
          <w:sz w:val="22"/>
          <w:u w:val="single"/>
        </w:rPr>
        <w:t>Exhibit C</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pPr>
      <w:r>
        <w:rPr>
          <w:rFonts w:ascii="Times New Roman" w:hAnsi="Times New Roman"/>
          <w:color w:val="000000"/>
          <w:sz w:val="22"/>
          <w:u w:val="single"/>
        </w:rPr>
        <w:t>Exiting Lender</w:t>
      </w:r>
      <w:r>
        <w:rPr>
          <w:rFonts w:ascii="Times New Roman" w:hAnsi="Times New Roman"/>
          <w:color w:val="000000"/>
          <w:sz w:val="22"/>
        </w:rPr>
        <w:t>. The parties hereto acknowledge and agree that simultaneously with the Amendment Effective Date, the Revolving Commitment of each Revolving Lender shall be as set forth in Schedule 2.01 of the Credit Agreement (as amended hereby), and the outstanding amount of the Revolving Credit Loans (the “</w:t>
      </w:r>
      <w:r>
        <w:rPr>
          <w:rFonts w:ascii="Times New Roman" w:hAnsi="Times New Roman"/>
          <w:i/>
          <w:color w:val="000000"/>
          <w:sz w:val="22"/>
        </w:rPr>
        <w:t>Outstanding Loans</w:t>
      </w:r>
      <w:r>
        <w:rPr>
          <w:color w:val="000000"/>
        </w:rPr>
        <w:t>”</w:t>
      </w:r>
      <w:r>
        <w:rPr>
          <w:rFonts w:ascii="Times New Roman" w:hAnsi="Times New Roman"/>
          <w:color w:val="000000"/>
          <w:sz w:val="22"/>
        </w:rPr>
        <w:t>) (after giving effect to any repayment or reduction thereof with the proceeds of any applicable sources) shall be reallocated in accordance with such Revolving Credit Commitments (and the principal amount of Revolving Credit Loans held by the Exiting Lender shall be $0.00), and the requisite assignments shall be deemed to be made in such amounts among the Lenders (including the Exiting Lender) with the same force and effect as if such assignments were evidenced by applicable Assignment and Assumptions. Notwithstanding anything to the contrary in Section 11.06 of the Credit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under the Credit Agreement but without the payment of any related assignment fee or pro rata assignment requirement in Section 11.06(b) of the Credit Agreement, and no other documents or instruments, shall be, or shall be required to be, executed in connection with such assignments (all of which requirements are hereby waived). On the Amendment Effective Date, the Lenders (including the Exiting Lender) shall make full cash settlement with one another with respect to the Outstanding Loans, Revolving Credit Commitments and Revolving Credit Exposure, either directly or through the Administrative Agent, as the Administrative Agent may direct or approve, with respect to all assignments, reallocations and other changes in Revolving Credit Commitments and Revolving Credit Exposure, such that after giving effect to such settlements the Revolving Credit Commitments of each Lender as of the Amendment Effective Date shall be as set forth on Schedule 2.01 of the Credit Agreement (and in the case of the Exiting Lender, the Exiting Lender’s principal, interest and other Obligations shall be paid in full).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color w:val="000000"/>
          <w:sz w:val="22"/>
          <w:u w:val="single"/>
        </w:rPr>
        <w:t>Conditions to Effectiveness of Amendment</w:t>
      </w:r>
      <w:r>
        <w:rPr>
          <w:rFonts w:ascii="Times New Roman" w:hAnsi="Times New Roman"/>
          <w:color w:val="000000"/>
          <w:sz w:val="22"/>
        </w:rPr>
        <w:t>. The effectiveness of this Amendment is subject to the satisfaction (or waiver) of the following conditions precedent (the date on which all such conditions precedent are satisfied (or waived), the “</w:t>
      </w:r>
      <w:r>
        <w:rPr>
          <w:rFonts w:ascii="Times New Roman" w:hAnsi="Times New Roman"/>
          <w:i/>
          <w:color w:val="000000"/>
          <w:sz w:val="22"/>
        </w:rPr>
        <w:t>Amendment Effective Date</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Agent’s receipt of the following, each of which shall be originals or electronic images in a portable document format (e.g., “.pdf” or “.tif”) (followed promptly by originals) unless otherwise specified: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counterparts to this Amendment executed by each Loan Party, each Lender (including the Exiting Lender), and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favorable opinions of Stubbs Alderton Markiles, LLP and Allen Overy Shearman Sterling US LLP, as counsel to the Loan Parties, addressed to the Administrative Agent and each Lender, as to matters concerning the Loan Parties, this Amendment and the other Loan Documents as the Administrative Agent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favorable opinion of Simmons &amp; Simmons LLP, English counsel to the Administrative Agent, addressed to the Administrative Agent and each Lender, as to matters concerning the Loan Parties, this Amendment and the other Loan Documents as the Administrative Agent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 officer’s certificate of each Loan Party, dated the Amendment Effective Date, certifying as to the organizational documents of each Loan Party (which, to the extent filed with a Governmental Authority, shall be certified as of a recent date by such Governmental Authority), the resolutions of the governing body of each Loan Party and the good standing, existence or its equivalent of each Loan Party and attaching an incumbency certificate for each Loan Party evidencing the identity,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authority and capacity of each Responsible Officer thereof authorized to act as a Responsible Officer in connection with this Amendment and the other Loan Documents to which such Loan Party is a party or is to be a party (including specimen signatures);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rPr>
        <w:t xml:space="preserve">any pledge agreements, charges, debentures, deeds of guarantee, amendments, modifications and confirmations, authorizing resolutions, legal opinions and such other agreements, documents, certificates, filings, notarizations, recordations and searches as may be required under English law to ensure (a) the creation and perfection of security interests (or the continuation and continuing perfection thereof) in favor of the Secured Parties in all Collateral pledged under English law pursuant to the Loan Documents (as defined in the Existing Credit Agreement) and (b) the creation (or continuation of) legally valid and binding guarantees provided by the Foreign Loan Parties, including, without limitation, with respect to both of the foregoing subsections (a) and (b), the items referenced on </w:t>
      </w:r>
      <w:r>
        <w:rPr>
          <w:rFonts w:ascii="Times New Roman" w:hAnsi="Times New Roman"/>
          <w:color w:val="000000"/>
          <w:sz w:val="22"/>
          <w:u w:val="single"/>
        </w:rPr>
        <w:t>Schedule A</w:t>
      </w:r>
      <w:r>
        <w:rPr>
          <w:color w:val="000000"/>
        </w:rPr>
        <w:t xml:space="preserve"> </w:t>
      </w:r>
      <w:r>
        <w:rPr>
          <w:rFonts w:ascii="Times New Roman" w:hAnsi="Times New Roman"/>
          <w:color w:val="000000"/>
          <w:sz w:val="22"/>
        </w:rPr>
        <w:t>hereto;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other assurances, certificates, documents, filings, information, consents or opinions as the Administrative Agent, the L/C Issuer, the Swingline Lender or the Lenders reasonably may require.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reasonable request of any Lender made at least three Business Days prior to the Amendment Effective Date, the Loan Parties shall have provided to such Lender, and such Lender shall be reasonably satisfied with, the documentation and other information so requested in connection with applicable “know your customer” and anti-money-laundering rules and regulations, including, without limitation, the Act, and any Borrower that qualifies as a “legal entity customer” under the Beneficial Ownership Regulation shall have provided, to each Lender that so requests, a Beneficial Ownership Certification in relation to such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Loan Parties shall have paid (i) all fees due and payable under the Fee Letters and (ii) all reasonable fees, charges and disbursements of counsel to the Administrative Agent (directly to such counsel if requested by the Administrative Agent) prior to or on the Amendment Effective Date (or on such other date as may be agreed by such counsel).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the provisions of Section 11.01 of the Credit Agreement, for purposes of determining compliance with the conditions specified in this Section 4,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Amendment Effective Date specifying its objection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color w:val="000000"/>
          <w:sz w:val="22"/>
          <w:u w:val="single"/>
        </w:rPr>
        <w:t>Post-Closing Covenant</w:t>
      </w:r>
      <w:r>
        <w:rPr>
          <w:rFonts w:ascii="Times New Roman" w:hAnsi="Times New Roman"/>
          <w:color w:val="000000"/>
          <w:sz w:val="22"/>
        </w:rPr>
        <w:t xml:space="preserve">. Not later than September 12, 2026 (unless extended by the Administrative Agent in its sole discretion), the Loan Parties and their Subsidiaries (as applicable) shall provide the Administrative Agent with executed counterparts to any pledge agreements, charges, debentures, deeds of guarantee, amendments, modifications and confirmations, authorizing resolutions, legal opinions and such other agreements, documents, certificates, filings, notarizations, recordations and searches as may be required under the laws of Hong Kong to ensure the creation and perfection of security interests (or the continuation and continuing perfection thereof) in favor of the Secured Parties in all Collateral pledged under the laws of Hong Kong, including, without limitation, the items referenced on </w:t>
      </w:r>
      <w:r>
        <w:rPr>
          <w:rFonts w:ascii="Times New Roman" w:hAnsi="Times New Roman"/>
          <w:color w:val="000000"/>
          <w:sz w:val="22"/>
          <w:u w:val="single"/>
        </w:rPr>
        <w:t>Schedule B</w:t>
      </w:r>
      <w:r>
        <w:rPr>
          <w:color w:val="000000"/>
        </w:rPr>
        <w:t xml:space="preserve"> </w:t>
      </w:r>
      <w:r>
        <w:rPr>
          <w:rFonts w:ascii="Times New Roman" w:hAnsi="Times New Roman"/>
          <w:color w:val="000000"/>
          <w:sz w:val="22"/>
        </w:rPr>
        <w:t>hereto. For the avoidance of doubt, the Loan Parties’ failure to comply with this Section 5 shall be an immediate Event of Default under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both"/>
        <w:rPr/>
      </w:pPr>
      <w:r>
        <w:rPr>
          <w:rFonts w:ascii="Times New Roman" w:hAnsi="Times New Roman"/>
          <w:color w:val="000000"/>
          <w:sz w:val="22"/>
          <w:u w:val="single"/>
        </w:rPr>
        <w:t>Effect of this Amendment</w:t>
      </w:r>
      <w:r>
        <w:rPr>
          <w:rFonts w:ascii="Times New Roman" w:hAnsi="Times New Roman"/>
          <w:color w:val="000000"/>
          <w:sz w:val="22"/>
        </w:rPr>
        <w:t xml:space="preserve">. Except as expressly provided herein, the Credit Agreement, the Collateral Agreement and the other Loan Documents shall remain unmodified and in full force and effect. Except as expressly set forth herein, this Amendment (including, without limitation, the Consent) shall not be deemed (a) to be a waiver of, or consent to a modification of or amendment of, any other term or condition of the Credit Agreement, the Collateral Agreement or any other Loan Document, (b) to prejudice any other right or rights which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or the Lenders may now have or may have in the future under or in connection with the Credit Agreement, the Collateral Agreement or the other Loan Documents or any of the instruments or agreements referred to therein, as the same may be amended, restated, supplemented or otherwise modified from time to time, (c) to be a commitment or any other undertaking or expression of any willingness to engage in any further discussion with the Loan Parties or any other Person with respect to any waiver, amendment, modification or any other change to the Credit Agreement, the Collateral Agreement or the other Loan Documents or any rights or remedies arising in favor of the Lenders or the Administrative Agent, or any of them, under or with respect to any such documents, (d) to be a waiver of, or consent to a modification or amendment of, any other term or condition of any other agreement by and among any Loan Party, on the one hand, and the Administrative Agent or any other Lender, on the other hand or (e) to be a course of dealing or a consent to any departure by the Loan Parties from any other term or requirement of the Credit Agreement. References in this Amendment to the Credit Agreement (and indirect references such as “hereunder”, “hereby”, “herein”, and “hereof”) and in any Loan Document to the Credit Agreement shall be deemed to be references to the Credit Agreement as modified 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color w:val="000000"/>
          <w:sz w:val="22"/>
          <w:u w:val="single"/>
        </w:rPr>
        <w:t>Representations and Warranties/No Default</w:t>
      </w:r>
      <w:r>
        <w:rPr>
          <w:rFonts w:ascii="Times New Roman" w:hAnsi="Times New Roman"/>
          <w:color w:val="000000"/>
          <w:sz w:val="22"/>
        </w:rPr>
        <w:t>. By their execution hereof, each Loan Party hereby represents and warrants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Loan Party has the right, power and authority and has taken all necessary corporate and other action to authorize the execution and delivery of, and the performance in accordance with their respective terms of the transactions consented to in, this Amendment and each other document executed in connection herewith to which it is a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Amendment and each other document executed in connection herewith has been duly executed and delivered by its duly authorized officers, and each such document constitutes the legal, valid and binding obligation of such Loan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of the representations and warranties set forth in the Credit Agreement and the other Loan Documents is true and correct as of the date hereof and on the Amendment Effective Date, except (i) to the extent that such representations and warranties specifically refer to an earlier date, in which case they shall be true and correct as of such earlier date, and except that the representations and warranties contained in subsections (a) and (b) of </w:t>
      </w:r>
      <w:r>
        <w:rPr>
          <w:rFonts w:ascii="Times New Roman" w:hAnsi="Times New Roman"/>
          <w:color w:val="000000"/>
          <w:sz w:val="22"/>
          <w:u w:val="single"/>
        </w:rPr>
        <w:t>Section 5.05</w:t>
      </w:r>
      <w:r>
        <w:rPr>
          <w:color w:val="000000"/>
        </w:rPr>
        <w:t xml:space="preserve"> </w:t>
      </w:r>
      <w:r>
        <w:rPr>
          <w:rFonts w:ascii="Times New Roman" w:hAnsi="Times New Roman"/>
          <w:color w:val="000000"/>
          <w:sz w:val="22"/>
        </w:rPr>
        <w:t xml:space="preserve">of the Credit Agreement shall be deemed to refer to the most recent statements furnished pursuant to subsections (a) and (b), respectively, of </w:t>
      </w:r>
      <w:r>
        <w:rPr>
          <w:rFonts w:ascii="Times New Roman" w:hAnsi="Times New Roman"/>
          <w:color w:val="000000"/>
          <w:sz w:val="22"/>
          <w:u w:val="single"/>
        </w:rPr>
        <w:t>Section 6.01</w:t>
      </w:r>
      <w:r>
        <w:rPr>
          <w:color w:val="000000"/>
        </w:rPr>
        <w:t xml:space="preserve"> </w:t>
      </w:r>
      <w:r>
        <w:rPr>
          <w:rFonts w:ascii="Times New Roman" w:hAnsi="Times New Roman"/>
          <w:color w:val="000000"/>
          <w:sz w:val="22"/>
        </w:rPr>
        <w:t>of the Credit Agreement. and (ii) except that, for the period from the Amendment Effective Date until the date schedules to the Collateral Agreement are updated and delivered pursuant to Section 10 of this Amendment, the representations and warranties in the Collateral Agreement that require the disclosure of information on schedules to the Collateral Agreement shall be deemed to be true and correct so long as the information to be disclosed on such schedules is updated and disclosed pursuant to Section 10 of this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 or Event of Default has occurred or is continuing nor would any Default or Event of Default result after giving effect to this Amendment and the transactions contemplated 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Loan Party is an Affected Financial Institution.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color w:val="000000"/>
          <w:sz w:val="22"/>
          <w:u w:val="single"/>
        </w:rPr>
        <w:t>Reaffirmations</w:t>
      </w:r>
      <w:r>
        <w:rPr>
          <w:rFonts w:ascii="Times New Roman" w:hAnsi="Times New Roman"/>
          <w:color w:val="000000"/>
          <w:sz w:val="22"/>
        </w:rPr>
        <w:t>. As of the Amendment Effective Date, each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agrees that the transactions contemplated by this Amendment shall not limit or diminish the obligations of such Person under, or release such Person from any obligations under, the Credit Agreement (including the Guaranty), the Collateral Agreement and each other Loan Document to which it is a party, and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Agreement (including the Guaranty), the Collateral Agreement and each other Loan Document to which it is a party remain in full force and effect and its obligations thereunder are hereby ratified and confirmed;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affirms that each of the guarantees made pursuant to the Loan Documents (including, without limitation, the Guaranty and the Foreign Security Agreements listed on </w:t>
      </w:r>
      <w:r>
        <w:rPr>
          <w:rFonts w:ascii="Times New Roman" w:hAnsi="Times New Roman"/>
          <w:color w:val="000000"/>
          <w:sz w:val="22"/>
          <w:u w:val="single"/>
        </w:rPr>
        <w:t>Schedule A</w:t>
      </w:r>
      <w:r>
        <w:rPr>
          <w:color w:val="000000"/>
        </w:rPr>
        <w:t xml:space="preserve"> </w:t>
      </w:r>
      <w:r>
        <w:rPr>
          <w:rFonts w:ascii="Times New Roman" w:hAnsi="Times New Roman"/>
          <w:color w:val="000000"/>
          <w:sz w:val="22"/>
        </w:rPr>
        <w:t>attached hereto) are valid and subsisting and continue in full force and effect upon the Amendment Effective Date to secure the Obligations, Foreign Obligations and Secured Obligations (as defined in each applicable Loan Document), as applicable, and agrees that this Amendment and all documents executed in connection therewith do not operate to reduce or discharge its obligations under the Loan Documents and shall in no manner otherwise impair or otherwise adversely affect any of the guarantees made in or pursuant to the Loan Documents to which it is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affirms that each of the Liens and pledges granted in or pursuant to the Loan Documents (including, without limitation, the Foreign Security Agreements listed on </w:t>
      </w:r>
      <w:r>
        <w:rPr>
          <w:rFonts w:ascii="Times New Roman" w:hAnsi="Times New Roman"/>
          <w:color w:val="000000"/>
          <w:sz w:val="22"/>
          <w:u w:val="single"/>
        </w:rPr>
        <w:t>Schedule A</w:t>
      </w:r>
      <w:r>
        <w:rPr>
          <w:color w:val="000000"/>
        </w:rPr>
        <w:t xml:space="preserve"> </w:t>
      </w:r>
      <w:r>
        <w:rPr>
          <w:rFonts w:ascii="Times New Roman" w:hAnsi="Times New Roman"/>
          <w:color w:val="000000"/>
          <w:sz w:val="22"/>
        </w:rPr>
        <w:t>attached hereto and the other Collateral Documents) to which it is party are valid and subsisting and continue in full force and effect upon the Amendment Effective Date to secure the Obligations, Foreign Obligations and Secured Obligations (as defined in each applicable Loan Document), as applicable, and agrees that this Amendment and all documents executed in connection therewith do not operate to reduce or discharge its obligations under the Loan Documents and shall in no manner otherwise impair or otherwise adversely affect any of the Liens and pledges granted in or pursuant to the Loan Documents to which it is party;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agrees to, and agrees to cause each of its respective Subsidiaries to, execute any and all further documents, amendments, agreements and instruments, and to take all such further actions as the Administrative Agent may reasonably request, to effectuate the transactions contemplated by the Credit Agreement, or the other Loan Documents (including, without limitation, the Foreign Security Agreements and the other Collateral Documents) to which it is party and to preserve each of the guarantees made pursuant to the Loan Documents and grant, preserve, protect or perfect the Liens and security interests created by the Collateral Documents or the validity or priority of such Lien.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both"/>
        <w:rPr/>
      </w:pP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AMENDMENT SHALL BE GOVERNED BY, AND CONSTRUED IN ACCORDANCE WITH, THE LAW OF THE STATE OF NEW YORK. Without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limiting the general applicability of the foregoing and the terms of the other Loan Documents to this Amendment and the parties hereto, the terms of </w:t>
      </w:r>
      <w:r>
        <w:rPr>
          <w:rFonts w:ascii="Times New Roman" w:hAnsi="Times New Roman"/>
          <w:color w:val="000000"/>
          <w:sz w:val="22"/>
          <w:u w:val="single"/>
        </w:rPr>
        <w:t>Section 11.14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11.15</w:t>
      </w:r>
      <w:r>
        <w:rPr>
          <w:rFonts w:ascii="Times New Roman" w:hAnsi="Times New Roman"/>
          <w:color w:val="000000"/>
          <w:sz w:val="20"/>
        </w:rPr>
        <w:t xml:space="preserve"> </w:t>
      </w:r>
      <w:r>
        <w:rPr>
          <w:rFonts w:ascii="Times New Roman" w:hAnsi="Times New Roman"/>
          <w:color w:val="000000"/>
          <w:sz w:val="22"/>
        </w:rPr>
        <w:t xml:space="preserve">of the Credit Agreement are incorporated herein by reference, </w:t>
      </w:r>
      <w:r>
        <w:rPr>
          <w:rFonts w:ascii="Times New Roman" w:hAnsi="Times New Roman"/>
          <w:i/>
          <w:color w:val="000000"/>
          <w:sz w:val="22"/>
        </w:rPr>
        <w:t>mutatis mutandis</w:t>
      </w:r>
      <w:r>
        <w:rPr>
          <w:rFonts w:ascii="Times New Roman" w:hAnsi="Times New Roman"/>
          <w:color w:val="000000"/>
          <w:sz w:val="22"/>
        </w:rPr>
        <w:t>. Notwithstanding the foregoing, solely with respect to any Loan Documents governed by English or Hong Kong law, subsections (a) and (b) of Section 8 above shall be governed by and construed in accordance with English or Hong Kong law,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Loan Document</w:t>
      </w:r>
      <w:r>
        <w:rPr>
          <w:rFonts w:ascii="Times New Roman" w:hAnsi="Times New Roman"/>
          <w:color w:val="000000"/>
          <w:sz w:val="22"/>
        </w:rPr>
        <w:t>. This Amendment shall constitute a “Loan Document” under and as defined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Counterparts; Electronic Execution</w:t>
      </w:r>
      <w:r>
        <w:rPr>
          <w:rFonts w:ascii="Times New Roman" w:hAnsi="Times New Roman"/>
          <w:color w:val="000000"/>
          <w:sz w:val="22"/>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If any provision of this Amendment is determined to be illegal, invalid or unenforceable, such provision shall be fully severable and the remaining provisions shall remain in full force and effect and shall be construed without giving effect to the illegal, invalid or unenforceable provisions.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Entirety</w:t>
      </w:r>
      <w:r>
        <w:rPr>
          <w:rFonts w:ascii="Times New Roman" w:hAnsi="Times New Roman"/>
          <w:color w:val="000000"/>
          <w:sz w:val="22"/>
        </w:rPr>
        <w:t>. This Amendment, the other Loan Documents and the other documents relating to the Obligations represent the entire agreement of the parties hereto and thereto, and supersede all prior agreements and understandings, oral or written, if any, including any commitment letters or correspondence relating to the Loan Documents, any other documents relating to the Obligations, or the transactions contemplated herein and therein.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Exiting Lender</w:t>
      </w:r>
      <w:r>
        <w:rPr>
          <w:rFonts w:ascii="Times New Roman" w:hAnsi="Times New Roman"/>
          <w:color w:val="000000"/>
          <w:sz w:val="22"/>
        </w:rPr>
        <w:t xml:space="preserve">. Substantially concurrently with the date hereof, all principal, interest, fees, and other amounts shall be paid to the Exiting Lender in immediately available funds, whereupon such Existing Lender shall cease to be a Lender under the Credit Agreement and the other Loan Documents, the Exiting Lender’s Revolving Credit Exposure shall be $0.00, the Exiting Lender’s Commitments to lend and all obligations under the Credit Agreement shall be terminated, the Exiting Lender shall cease to be a Lender for all purposes under the Loan Documents and the Exiting Lender shall not have any rights under the Credit Agreement or any other Loan Document; </w:t>
      </w:r>
      <w:r>
        <w:rPr>
          <w:rFonts w:ascii="Times New Roman" w:hAnsi="Times New Roman"/>
          <w:i/>
          <w:color w:val="000000"/>
          <w:sz w:val="22"/>
        </w:rPr>
        <w:t xml:space="preserve">provided </w:t>
      </w:r>
      <w:r>
        <w:rPr>
          <w:rFonts w:ascii="Times New Roman" w:hAnsi="Times New Roman"/>
          <w:color w:val="000000"/>
          <w:sz w:val="22"/>
        </w:rPr>
        <w:t>that the rights under the Credit Agreement expressly stated to survive the termination of the Credit Agreement and the repayment of amounts outstanding thereunder shall survive for the benefit of the Exiting Lender. The Exiting Lender joins in the execution of this Amendment solely for purposes of effectuating this Amendment pursuant to Section 4 hereof and assigning its interests pursuant to Section 3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w:t>
      </w:r>
    </w:p>
    <w:p>
      <w:pPr>
        <w:pStyle w:val="TextBody"/>
        <w:bidi w:val="0"/>
        <w:spacing w:before="240" w:after="283"/>
        <w:jc w:val="both"/>
        <w:rPr/>
      </w:pPr>
      <w:r>
        <w:rPr>
          <w:rFonts w:ascii="Times New Roman" w:hAnsi="Times New Roman"/>
          <w:color w:val="000000"/>
          <w:sz w:val="22"/>
          <w:u w:val="single"/>
        </w:rPr>
        <w:t>Condition Subsequent to Effectiveness</w:t>
      </w:r>
      <w:r>
        <w:rPr>
          <w:rFonts w:ascii="Times New Roman" w:hAnsi="Times New Roman"/>
          <w:color w:val="000000"/>
          <w:sz w:val="22"/>
        </w:rPr>
        <w:t>. The Loan Parties shall deliver in writing to the Administrative Agent, no later than September 12, 2026 (as such date may be extended by the Administrative Agent in its sole discretion), (a) updated Schedules 5.08(b) (</w:t>
      </w:r>
      <w:r>
        <w:rPr>
          <w:rFonts w:ascii="Times New Roman" w:hAnsi="Times New Roman"/>
          <w:i/>
          <w:color w:val="000000"/>
          <w:sz w:val="22"/>
        </w:rPr>
        <w:t>Existing Liens</w:t>
      </w:r>
      <w:r>
        <w:rPr>
          <w:rFonts w:ascii="Times New Roman" w:hAnsi="Times New Roman"/>
          <w:color w:val="000000"/>
          <w:sz w:val="22"/>
        </w:rPr>
        <w:t>), 5.08(c) (</w:t>
      </w:r>
      <w:r>
        <w:rPr>
          <w:rFonts w:ascii="Times New Roman" w:hAnsi="Times New Roman"/>
          <w:i/>
          <w:color w:val="000000"/>
          <w:sz w:val="22"/>
        </w:rPr>
        <w:t>Owned Real Property</w:t>
      </w:r>
      <w:r>
        <w:rPr>
          <w:rFonts w:ascii="Times New Roman" w:hAnsi="Times New Roman"/>
          <w:color w:val="000000"/>
          <w:sz w:val="22"/>
        </w:rPr>
        <w:t>), 5.08(d)(i) (</w:t>
      </w:r>
      <w:r>
        <w:rPr>
          <w:rFonts w:ascii="Times New Roman" w:hAnsi="Times New Roman"/>
          <w:i/>
          <w:color w:val="000000"/>
          <w:sz w:val="22"/>
        </w:rPr>
        <w:t>Leased Real Property (Lessee)</w:t>
      </w:r>
      <w:r>
        <w:rPr>
          <w:rFonts w:ascii="Times New Roman" w:hAnsi="Times New Roman"/>
          <w:color w:val="000000"/>
          <w:sz w:val="22"/>
        </w:rPr>
        <w:t>), 5.08(d)(ii) (</w:t>
      </w:r>
      <w:r>
        <w:rPr>
          <w:rFonts w:ascii="Times New Roman" w:hAnsi="Times New Roman"/>
          <w:i/>
          <w:color w:val="000000"/>
          <w:sz w:val="22"/>
        </w:rPr>
        <w:t>Leased Real Property (Lessor)</w:t>
      </w:r>
      <w:r>
        <w:rPr>
          <w:rFonts w:ascii="Times New Roman" w:hAnsi="Times New Roman"/>
          <w:color w:val="000000"/>
          <w:sz w:val="22"/>
        </w:rPr>
        <w:t>), 5.08(e) (</w:t>
      </w:r>
      <w:r>
        <w:rPr>
          <w:rFonts w:ascii="Times New Roman" w:hAnsi="Times New Roman"/>
          <w:i/>
          <w:color w:val="000000"/>
          <w:sz w:val="22"/>
        </w:rPr>
        <w:t>Existing Investments</w:t>
      </w:r>
      <w:r>
        <w:rPr>
          <w:rFonts w:ascii="Times New Roman" w:hAnsi="Times New Roman"/>
          <w:color w:val="000000"/>
          <w:sz w:val="22"/>
        </w:rPr>
        <w:t>), 5.10 (</w:t>
      </w:r>
      <w:r>
        <w:rPr>
          <w:rFonts w:ascii="Times New Roman" w:hAnsi="Times New Roman"/>
          <w:i/>
          <w:color w:val="000000"/>
          <w:sz w:val="22"/>
        </w:rPr>
        <w:t>Insurance</w:t>
      </w:r>
      <w:r>
        <w:rPr>
          <w:rFonts w:ascii="Times New Roman" w:hAnsi="Times New Roman"/>
          <w:color w:val="000000"/>
          <w:sz w:val="22"/>
        </w:rPr>
        <w:t>), 5.12(d) (</w:t>
      </w:r>
      <w:r>
        <w:rPr>
          <w:rFonts w:ascii="Times New Roman" w:hAnsi="Times New Roman"/>
          <w:i/>
          <w:color w:val="000000"/>
          <w:sz w:val="22"/>
        </w:rPr>
        <w:t>Pension Plans</w:t>
      </w:r>
      <w:r>
        <w:rPr>
          <w:rFonts w:ascii="Times New Roman" w:hAnsi="Times New Roman"/>
          <w:color w:val="000000"/>
          <w:sz w:val="22"/>
        </w:rPr>
        <w:t>) and 5.13 (</w:t>
      </w:r>
      <w:r>
        <w:rPr>
          <w:rFonts w:ascii="Times New Roman" w:hAnsi="Times New Roman"/>
          <w:i/>
          <w:color w:val="000000"/>
          <w:sz w:val="22"/>
        </w:rPr>
        <w:t>Subsidiaries and Other Equity Investments; Loan Parties</w:t>
      </w:r>
      <w:r>
        <w:rPr>
          <w:rFonts w:ascii="Times New Roman" w:hAnsi="Times New Roman"/>
          <w:color w:val="000000"/>
          <w:sz w:val="22"/>
        </w:rPr>
        <w:t>) to the Credit Agreement, each in form and detail reasonably satisfactory to the Administrative Agent and responsive to the terms and conditions of the applicable provisions of the Credit Agreement, (b) new or updated schedules, disclosures or supplements to the Collateral Agreement, to the extent necessary or appropriate to make the representations and warranties in the Collateral Agreement true and correct as of the Amendment Effective Date, each in form and detail reasonably satisfactory to the Administrative Agent and responsive to the terms and conditions of the applicable provisions of the Collateral Agreement, and (c) executed counterparts to each Notice of Grant of Security Interest in Trademarks and Notice of Grant of Security Interest in Patents, if any, requested by the Administrative Agent in accordance with the terms of the Collateral Agreement with respect to the intellectual property identified on the updated schedules provided under this Section 10.</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[REMAINDER OF PAGE INTENTIONALLY BLANK]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IN WITNESS WHEREOF</w:t>
      </w:r>
      <w:r>
        <w:rPr>
          <w:rFonts w:ascii="Times New Roman" w:hAnsi="Times New Roman"/>
          <w:i/>
          <w:color w:val="000000"/>
          <w:sz w:val="22"/>
        </w:rPr>
        <w:t xml:space="preserve">, </w:t>
      </w:r>
      <w:r>
        <w:rPr>
          <w:rFonts w:ascii="Times New Roman" w:hAnsi="Times New Roman"/>
          <w:color w:val="000000"/>
          <w:sz w:val="22"/>
        </w:rPr>
        <w:t>the parties hereto have caused this Amendment to be duly executed as of the date first above written.</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555"/>
        <w:gridCol w:w="180"/>
        <w:gridCol w:w="2926"/>
      </w:tblGrid>
      <w:tr>
        <w:trPr/>
        <w:tc>
          <w:tcPr>
            <w:tcW w:w="5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DOMESTIC BORROWER:</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DIODES INCORPORATED</w:t>
            </w:r>
          </w:p>
        </w:tc>
      </w:tr>
      <w:tr>
        <w:trPr/>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310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310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Brett Richardson Whitmire</w:t>
            </w:r>
          </w:p>
        </w:tc>
      </w:tr>
      <w:tr>
        <w:trPr/>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Brett Richardson Whitmire</w:t>
            </w:r>
          </w:p>
        </w:tc>
      </w:tr>
      <w:tr>
        <w:trPr/>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22" w:after="283"/>
        <w:jc w:val="left"/>
        <w:rPr/>
      </w:pPr>
      <w:r>
        <w:rPr/>
        <w:t> </w:t>
      </w:r>
    </w:p>
    <w:tbl>
      <w:tblPr>
        <w:tblW w:w="3887" w:type="dxa"/>
        <w:jc w:val="left"/>
        <w:tblInd w:w="0" w:type="dxa"/>
        <w:tblLayout w:type="fixed"/>
        <w:tblCellMar>
          <w:top w:w="28" w:type="dxa"/>
          <w:left w:w="28" w:type="dxa"/>
          <w:bottom w:w="28" w:type="dxa"/>
          <w:right w:w="28" w:type="dxa"/>
        </w:tblCellMar>
      </w:tblPr>
      <w:tblGrid>
        <w:gridCol w:w="535"/>
        <w:gridCol w:w="200"/>
        <w:gridCol w:w="3152"/>
      </w:tblGrid>
      <w:tr>
        <w:trPr/>
        <w:tc>
          <w:tcPr>
            <w:tcW w:w="5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FOREIGN BORROWER:</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DIODES HOLDINGS UK LIMITED</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31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Brett Richardson Whitmire</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31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Brett Richardson Whitmire</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31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1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3661" w:type="dxa"/>
        <w:jc w:val="left"/>
        <w:tblInd w:w="0" w:type="dxa"/>
        <w:tblLayout w:type="fixed"/>
        <w:tblCellMar>
          <w:top w:w="28" w:type="dxa"/>
          <w:left w:w="28" w:type="dxa"/>
          <w:bottom w:w="28" w:type="dxa"/>
          <w:right w:w="28" w:type="dxa"/>
        </w:tblCellMar>
      </w:tblPr>
      <w:tblGrid>
        <w:gridCol w:w="546"/>
        <w:gridCol w:w="189"/>
        <w:gridCol w:w="2926"/>
      </w:tblGrid>
      <w:tr>
        <w:trPr/>
        <w:tc>
          <w:tcPr>
            <w:tcW w:w="5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SUBSIDIARY GUARANTORS:</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DIODES ZETEX LIMITED</w:t>
            </w:r>
          </w:p>
        </w:tc>
      </w:tr>
      <w:tr>
        <w:trPr/>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Brett Richardson Whitmire</w:t>
            </w:r>
          </w:p>
        </w:tc>
      </w:tr>
      <w:tr>
        <w:trPr/>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Brett Richardson Whitmire</w:t>
            </w:r>
          </w:p>
        </w:tc>
      </w:tr>
      <w:tr>
        <w:trPr/>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cMar>
              <w:top w:w="0" w:type="dxa"/>
              <w:left w:w="0" w:type="dxa"/>
              <w:bottom w:w="0" w:type="dxa"/>
              <w:right w:w="0" w:type="dxa"/>
            </w:tcMar>
            <w:vAlign w:val="center"/>
          </w:tcPr>
          <w:p>
            <w:pPr>
              <w:pStyle w:val="TableContents"/>
              <w:bidi w:val="0"/>
              <w:spacing w:before="0" w:after="283"/>
              <w:jc w:val="left"/>
              <w:rPr/>
            </w:pPr>
            <w:r>
              <w:rPr/>
              <w:t> </w:t>
            </w:r>
          </w:p>
        </w:tc>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r>
    </w:tbl>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699"/>
        <w:gridCol w:w="226"/>
        <w:gridCol w:w="4535"/>
      </w:tblGrid>
      <w:tr>
        <w:trPr/>
        <w:tc>
          <w:tcPr>
            <w:tcW w:w="6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535"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DIODES US MANUFACTURING INCORPORATED</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6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6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Brett Richardson Whitmire</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Brett Richardson Whitmire</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3132" w:type="dxa"/>
        <w:jc w:val="left"/>
        <w:tblInd w:w="0" w:type="dxa"/>
        <w:tblLayout w:type="fixed"/>
        <w:tblCellMar>
          <w:top w:w="28" w:type="dxa"/>
          <w:left w:w="28" w:type="dxa"/>
          <w:bottom w:w="28" w:type="dxa"/>
          <w:right w:w="28" w:type="dxa"/>
        </w:tblCellMar>
      </w:tblPr>
      <w:tblGrid>
        <w:gridCol w:w="535"/>
        <w:gridCol w:w="200"/>
        <w:gridCol w:w="2397"/>
      </w:tblGrid>
      <w:tr>
        <w:trPr/>
        <w:tc>
          <w:tcPr>
            <w:tcW w:w="5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BANK OF AMERICA, N.A.,</w:t>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Administrative Agent</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5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3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Maurice Washington</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3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Maurice Washington</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39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3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Vice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0" w:after="283"/>
        <w:jc w:val="both"/>
        <w:rPr/>
      </w:pPr>
      <w:r>
        <w:rPr/>
        <w:t> </w:t>
      </w:r>
    </w:p>
    <w:tbl>
      <w:tblPr>
        <w:tblW w:w="4439" w:type="dxa"/>
        <w:jc w:val="left"/>
        <w:tblInd w:w="0" w:type="dxa"/>
        <w:tblLayout w:type="fixed"/>
        <w:tblCellMar>
          <w:top w:w="28" w:type="dxa"/>
          <w:left w:w="28" w:type="dxa"/>
          <w:bottom w:w="28" w:type="dxa"/>
          <w:right w:w="28" w:type="dxa"/>
        </w:tblCellMar>
      </w:tblPr>
      <w:tblGrid>
        <w:gridCol w:w="725"/>
        <w:gridCol w:w="233"/>
        <w:gridCol w:w="3481"/>
      </w:tblGrid>
      <w:tr>
        <w:trPr/>
        <w:tc>
          <w:tcPr>
            <w:tcW w:w="7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BANK OF AMERICA, N.A.,</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 L/C Issuer and Swingline Lender</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37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371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Adam Rose</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Adam Rose</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Senior Vice President</w:t>
            </w:r>
          </w:p>
        </w:tc>
      </w:tr>
    </w:tbl>
    <w:p>
      <w:pPr>
        <w:pStyle w:val="Heading2"/>
        <w:bidi w:val="0"/>
        <w:spacing w:before="360" w:after="12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4409" w:type="dxa"/>
        <w:jc w:val="left"/>
        <w:tblInd w:w="0" w:type="dxa"/>
        <w:tblLayout w:type="fixed"/>
        <w:tblCellMar>
          <w:top w:w="28" w:type="dxa"/>
          <w:left w:w="28" w:type="dxa"/>
          <w:bottom w:w="28" w:type="dxa"/>
          <w:right w:w="28" w:type="dxa"/>
        </w:tblCellMar>
      </w:tblPr>
      <w:tblGrid>
        <w:gridCol w:w="725"/>
        <w:gridCol w:w="234"/>
        <w:gridCol w:w="3450"/>
      </w:tblGrid>
      <w:tr>
        <w:trPr/>
        <w:tc>
          <w:tcPr>
            <w:tcW w:w="7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PNC BANK, NATIONAL ASSOCIATION,</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36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3684"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Kentaro Umezono</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4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Kentaro Umezono</w:t>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34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9"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4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Vice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2896" w:type="dxa"/>
        <w:jc w:val="left"/>
        <w:tblInd w:w="0" w:type="dxa"/>
        <w:tblLayout w:type="fixed"/>
        <w:tblCellMar>
          <w:top w:w="28" w:type="dxa"/>
          <w:left w:w="28" w:type="dxa"/>
          <w:bottom w:w="28" w:type="dxa"/>
          <w:right w:w="28" w:type="dxa"/>
        </w:tblCellMar>
      </w:tblPr>
      <w:tblGrid>
        <w:gridCol w:w="535"/>
        <w:gridCol w:w="200"/>
        <w:gridCol w:w="2161"/>
      </w:tblGrid>
      <w:tr>
        <w:trPr/>
        <w:tc>
          <w:tcPr>
            <w:tcW w:w="5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CITIBANK, N.A.,</w:t>
            </w:r>
          </w:p>
        </w:tc>
      </w:tr>
      <w:tr>
        <w:trPr/>
        <w:tc>
          <w:tcPr>
            <w:tcW w:w="289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6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Stuart Darby</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Stuart Darby</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2656" w:type="dxa"/>
        <w:jc w:val="left"/>
        <w:tblInd w:w="0" w:type="dxa"/>
        <w:tblLayout w:type="fixed"/>
        <w:tblCellMar>
          <w:top w:w="28" w:type="dxa"/>
          <w:left w:w="28" w:type="dxa"/>
          <w:bottom w:w="28" w:type="dxa"/>
          <w:right w:w="28" w:type="dxa"/>
        </w:tblCellMar>
      </w:tblPr>
      <w:tblGrid>
        <w:gridCol w:w="535"/>
        <w:gridCol w:w="200"/>
        <w:gridCol w:w="1921"/>
      </w:tblGrid>
      <w:tr>
        <w:trPr/>
        <w:tc>
          <w:tcPr>
            <w:tcW w:w="5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REGIONS BANK,</w:t>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12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12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Cheryl Shelhart</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Cheryl Shelhart</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Managing Director</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2806" w:type="dxa"/>
        <w:jc w:val="left"/>
        <w:tblInd w:w="0" w:type="dxa"/>
        <w:tblLayout w:type="fixed"/>
        <w:tblCellMar>
          <w:top w:w="28" w:type="dxa"/>
          <w:left w:w="28" w:type="dxa"/>
          <w:bottom w:w="28" w:type="dxa"/>
          <w:right w:w="28" w:type="dxa"/>
        </w:tblCellMar>
      </w:tblPr>
      <w:tblGrid>
        <w:gridCol w:w="535"/>
        <w:gridCol w:w="200"/>
        <w:gridCol w:w="2071"/>
      </w:tblGrid>
      <w:tr>
        <w:trPr/>
        <w:tc>
          <w:tcPr>
            <w:tcW w:w="5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HSBC BANK USA, N.A.,</w:t>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Lender</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271"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Andrew Laughlin</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Andrew Laughlin</w:t>
            </w:r>
          </w:p>
        </w:tc>
      </w:tr>
      <w:tr>
        <w:trPr/>
        <w:tc>
          <w:tcPr>
            <w:tcW w:w="535" w:type="dxa"/>
            <w:tcBorders/>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7"/>
        <w:gridCol w:w="678"/>
        <w:gridCol w:w="7420"/>
      </w:tblGrid>
      <w:tr>
        <w:trPr/>
        <w:tc>
          <w:tcPr>
            <w:tcW w:w="210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42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FIFTH THIRD BANK, NATIONAL ASSOCIATION, (SUCCESSOR BY MERGER TO COMERICA BANK, N.A.)</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as Exiting Lender</w:t>
            </w:r>
          </w:p>
        </w:tc>
      </w:tr>
      <w:tr>
        <w:trPr/>
        <w:tc>
          <w:tcPr>
            <w:tcW w:w="2107" w:type="dxa"/>
            <w:tcBorders/>
            <w:tcMar>
              <w:top w:w="0" w:type="dxa"/>
              <w:left w:w="0" w:type="dxa"/>
              <w:bottom w:w="0" w:type="dxa"/>
              <w:right w:w="0" w:type="dxa"/>
            </w:tcMar>
            <w:vAlign w:val="center"/>
          </w:tcPr>
          <w:p>
            <w:pPr>
              <w:pStyle w:val="TableContents"/>
              <w:bidi w:val="0"/>
              <w:spacing w:before="0" w:after="283"/>
              <w:jc w:val="left"/>
              <w:rPr/>
            </w:pPr>
            <w:r>
              <w:rPr/>
              <w:t> </w:t>
            </w:r>
          </w:p>
        </w:tc>
        <w:tc>
          <w:tcPr>
            <w:tcW w:w="809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7" w:type="dxa"/>
            <w:tcBorders/>
            <w:tcMar>
              <w:top w:w="0" w:type="dxa"/>
              <w:left w:w="0" w:type="dxa"/>
              <w:bottom w:w="0" w:type="dxa"/>
              <w:right w:w="0" w:type="dxa"/>
            </w:tcMar>
            <w:vAlign w:val="center"/>
          </w:tcPr>
          <w:p>
            <w:pPr>
              <w:pStyle w:val="TableContents"/>
              <w:bidi w:val="0"/>
              <w:spacing w:before="0" w:after="283"/>
              <w:jc w:val="left"/>
              <w:rPr/>
            </w:pPr>
            <w:r>
              <w:rPr/>
              <w:t> </w:t>
            </w:r>
          </w:p>
        </w:tc>
        <w:tc>
          <w:tcPr>
            <w:tcW w:w="809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742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Greg Cappel</w:t>
            </w:r>
          </w:p>
        </w:tc>
      </w:tr>
      <w:tr>
        <w:trPr/>
        <w:tc>
          <w:tcPr>
            <w:tcW w:w="2107"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7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Greg Cappel</w:t>
            </w:r>
          </w:p>
        </w:tc>
      </w:tr>
      <w:tr>
        <w:trPr/>
        <w:tc>
          <w:tcPr>
            <w:tcW w:w="2107"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74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Principal</w:t>
            </w:r>
          </w:p>
        </w:tc>
      </w:tr>
    </w:tbl>
    <w:p>
      <w:pPr>
        <w:pStyle w:val="TextBody"/>
        <w:bidi w:val="0"/>
        <w:jc w:val="left"/>
        <w:rPr/>
      </w:pPr>
      <w:r>
        <w:rPr/>
        <w:t> </w:t>
      </w:r>
    </w:p>
    <w:p>
      <w:pPr>
        <w:pStyle w:val="TextBody"/>
        <w:bidi w:val="0"/>
        <w:spacing w:before="240" w:after="283"/>
        <w:jc w:val="center"/>
        <w:rPr>
          <w:rFonts w:ascii="Times New Roman" w:hAnsi="Times New Roman"/>
          <w:color w:val="000000"/>
          <w:sz w:val="16"/>
        </w:rPr>
      </w:pPr>
      <w:r>
        <w:rPr>
          <w:rFonts w:ascii="Times New Roman" w:hAnsi="Times New Roman"/>
          <w:color w:val="000000"/>
          <w:sz w:val="16"/>
        </w:rPr>
        <w:t>Signature Page to Amendment No. 1 to Third A&amp;R Credit Agreement</w:t>
      </w:r>
    </w:p>
    <w:p>
      <w:pPr>
        <w:pStyle w:val="TextBody"/>
        <w:bidi w:val="0"/>
        <w:jc w:val="center"/>
        <w:rPr>
          <w:rFonts w:ascii="Times New Roman" w:hAnsi="Times New Roman"/>
          <w:color w:val="000000"/>
          <w:sz w:val="16"/>
        </w:rPr>
      </w:pPr>
      <w:r>
        <w:rPr>
          <w:rFonts w:ascii="Times New Roman" w:hAnsi="Times New Roman"/>
          <w:color w:val="000000"/>
          <w:sz w:val="16"/>
        </w:rPr>
        <w:t>Diodes Incorporated</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Heading2"/>
        <w:bidi w:val="0"/>
        <w:spacing w:before="240" w:after="283"/>
        <w:jc w:val="center"/>
        <w:rPr>
          <w:rFonts w:ascii="Times New Roman" w:hAnsi="Times New Roman"/>
          <w:color w:val="000000"/>
          <w:sz w:val="22"/>
          <w:u w:val="single"/>
        </w:rPr>
      </w:pPr>
      <w:r>
        <w:rPr>
          <w:rFonts w:ascii="Times New Roman" w:hAnsi="Times New Roman"/>
          <w:color w:val="000000"/>
          <w:sz w:val="22"/>
          <w:u w:val="single"/>
        </w:rPr>
        <w:t>UK FOREIGN SECURITY AGREEMENTS AS OF THE AMENDMENT 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Charge Over Shares dated as of May 26, 2023, between Diodes Incorporated and Bank of America, N.A., as Administrative Agent and Security Trustee, with respect to shares in Diodes Holdings UK Limited.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Composite Debenture dated as of May 26, 2023, between Diodes Holdings UK Limited, Diodes Zetex Limited and Bank of America, N.A., as Administrative Agent and Security Trustee.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Deed of Guarantee dated as of May 26, 2023, between Diodes Holdings UK Limited, Diodes Zetex Limited and Bank of America, N.A., as Administrative Agent.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SCHEDULE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sz w:val="20"/>
        </w:rPr>
      </w:pPr>
      <w:r>
        <w:rPr>
          <w:rFonts w:ascii="Times New Roman" w:hAnsi="Times New Roman"/>
          <w:b/>
          <w:color w:val="000000"/>
          <w:sz w:val="22"/>
          <w:u w:val="single"/>
        </w:rPr>
        <w:t>HONG KONG FOREIGN SECURITY AGREEMENTS AS OF THE AMENDMENT</w:t>
      </w:r>
      <w:r>
        <w:rPr>
          <w:rFonts w:ascii="Times New Roman" w:hAnsi="Times New Roman"/>
          <w:color w:val="000000"/>
          <w:sz w:val="20"/>
        </w:rPr>
        <w:t xml:space="preserve">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Share Charge dated as of May 26, 2023, made by Diodes Holdings UK Limited in favor of Bank of America, N.A., as Administrative Agent, with respect to 100% of the entire issued capital of Diodes Hong Kong Limited.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A</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Conformed Credit Agreement</w:t>
      </w:r>
    </w:p>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78" w:after="283"/>
        <w:jc w:val="right"/>
        <w:rPr>
          <w:rFonts w:ascii="Times New Roman" w:hAnsi="Times New Roman"/>
          <w:sz w:val="20"/>
        </w:rPr>
      </w:pPr>
      <w:r>
        <w:rPr>
          <w:rFonts w:ascii="Times New Roman" w:hAnsi="Times New Roman"/>
          <w:strike/>
          <w:color w:val="FF0000"/>
          <w:sz w:val="22"/>
        </w:rPr>
        <w:t>EXECUTION COPY</w:t>
      </w:r>
      <w:r>
        <w:rPr>
          <w:rFonts w:ascii="Times New Roman" w:hAnsi="Times New Roman"/>
          <w:color w:val="0000FF"/>
          <w:sz w:val="22"/>
          <w:u w:val="single"/>
        </w:rPr>
        <w:t>FINAL</w:t>
      </w:r>
    </w:p>
    <w:p>
      <w:pPr>
        <w:pStyle w:val="TextBody"/>
        <w:pBdr>
          <w:top w:val="double" w:sz="6" w:space="1" w:color="000000"/>
        </w:pBdr>
        <w:bidi w:val="0"/>
        <w:spacing w:before="240" w:after="283"/>
        <w:jc w:val="right"/>
        <w:rPr>
          <w:rFonts w:ascii="Times New Roman" w:hAnsi="Times New Roman"/>
          <w:color w:val="000000"/>
          <w:sz w:val="22"/>
        </w:rPr>
      </w:pPr>
      <w:r>
        <w:rPr>
          <w:rFonts w:ascii="Times New Roman" w:hAnsi="Times New Roman"/>
          <w:color w:val="000000"/>
          <w:sz w:val="22"/>
        </w:rPr>
        <w:t>Published CUSIP Number: 25454HAG5</w:t>
      </w:r>
    </w:p>
    <w:p>
      <w:pPr>
        <w:pStyle w:val="TextBody"/>
        <w:bidi w:val="0"/>
        <w:jc w:val="right"/>
        <w:rPr>
          <w:rFonts w:ascii="Times New Roman" w:hAnsi="Times New Roman"/>
          <w:color w:val="000000"/>
          <w:sz w:val="22"/>
        </w:rPr>
      </w:pPr>
      <w:r>
        <w:rPr>
          <w:rFonts w:ascii="Times New Roman" w:hAnsi="Times New Roman"/>
          <w:color w:val="000000"/>
          <w:sz w:val="22"/>
        </w:rPr>
        <w:t>Revolver Facility CUSIP Number: 25454HAH3</w:t>
      </w:r>
    </w:p>
    <w:p>
      <w:pPr>
        <w:pStyle w:val="TextBody"/>
        <w:bidi w:val="0"/>
        <w:spacing w:before="360" w:after="283"/>
        <w:jc w:val="center"/>
        <w:rPr>
          <w:rFonts w:ascii="Times New Roman" w:hAnsi="Times New Roman"/>
          <w:b/>
          <w:color w:val="0000FF"/>
          <w:sz w:val="22"/>
          <w:u w:val="single"/>
        </w:rPr>
      </w:pPr>
      <w:r>
        <w:rPr>
          <w:rFonts w:ascii="Times New Roman" w:hAnsi="Times New Roman"/>
          <w:b/>
          <w:color w:val="0000FF"/>
          <w:sz w:val="22"/>
          <w:u w:val="single"/>
        </w:rPr>
        <w:t>EXHIBIT A TO AMENDMENT NO. 1 TO</w:t>
      </w:r>
    </w:p>
    <w:p>
      <w:pPr>
        <w:pStyle w:val="TextBody"/>
        <w:bidi w:val="0"/>
        <w:jc w:val="center"/>
        <w:rPr>
          <w:rFonts w:ascii="Times New Roman" w:hAnsi="Times New Roman"/>
          <w:sz w:val="20"/>
        </w:rPr>
      </w:pPr>
      <w:r>
        <w:rPr>
          <w:rFonts w:ascii="Times New Roman" w:hAnsi="Times New Roman"/>
          <w:b/>
          <w:color w:val="0000FF"/>
          <w:sz w:val="22"/>
          <w:u w:val="single"/>
        </w:rPr>
        <w:t>THIRD AMENDED AND RESTATED CREDIT AGREEMENT</w:t>
      </w:r>
      <w:r>
        <w:rPr>
          <w:rFonts w:ascii="Times New Roman" w:hAnsi="Times New Roman"/>
          <w:b/>
          <w:color w:val="0000FF"/>
          <w:sz w:val="15"/>
          <w:u w:val="single"/>
        </w:rPr>
        <w:t>1</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THIRD AMENDED AND RESTATED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Dated as of May 26, 2023</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among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DIODES INCORPORATED,</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as the Domestic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DIODES HOLDINGS UK LIMITED,</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as the Foreign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DIODES ZETEX LIMITED and</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DIODES US MANUFACTURING INCORPORATED</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as Guarantors,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BANK OF AMERICA, N.A.,</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as Administrative Agent, Swingline Lender</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and an L/C Issuer,</w:t>
      </w:r>
    </w:p>
    <w:p>
      <w:pPr>
        <w:pStyle w:val="TextBody"/>
        <w:bidi w:val="0"/>
        <w:spacing w:before="199" w:after="283"/>
        <w:jc w:val="center"/>
        <w:rPr>
          <w:rFonts w:ascii="Times New Roman" w:hAnsi="Times New Roman"/>
          <w:color w:val="000000"/>
          <w:sz w:val="22"/>
        </w:rPr>
      </w:pPr>
      <w:r>
        <w:rPr>
          <w:rFonts w:ascii="Times New Roman" w:hAnsi="Times New Roman"/>
          <w:color w:val="000000"/>
          <w:sz w:val="22"/>
        </w:rPr>
        <w:t>The Other L/C Issuers Party Hereto, and</w:t>
      </w:r>
    </w:p>
    <w:p>
      <w:pPr>
        <w:pStyle w:val="TextBody"/>
        <w:bidi w:val="0"/>
        <w:jc w:val="center"/>
        <w:rPr>
          <w:rFonts w:ascii="Times New Roman" w:hAnsi="Times New Roman"/>
          <w:color w:val="000000"/>
          <w:sz w:val="22"/>
        </w:rPr>
      </w:pPr>
      <w:r>
        <w:rPr>
          <w:rFonts w:ascii="Times New Roman" w:hAnsi="Times New Roman"/>
          <w:color w:val="000000"/>
          <w:sz w:val="22"/>
        </w:rPr>
        <w:t>The Other Lenders Party 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BOFA SECURITIES, INC. and</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PNC CAPITAL MARKETS LLC,</w:t>
      </w:r>
    </w:p>
    <w:p>
      <w:pPr>
        <w:pStyle w:val="TextBody"/>
        <w:bidi w:val="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PNC BANK, NATIONAL ASSOCIATION,</w:t>
      </w:r>
    </w:p>
    <w:p>
      <w:pPr>
        <w:pStyle w:val="TextBody"/>
        <w:bidi w:val="0"/>
        <w:spacing w:before="50" w:after="283"/>
        <w:jc w:val="center"/>
        <w:rPr>
          <w:rFonts w:ascii="Times New Roman" w:hAnsi="Times New Roman"/>
          <w:sz w:val="20"/>
        </w:rPr>
      </w:pPr>
      <w:r>
        <w:rPr>
          <w:rFonts w:ascii="Times New Roman" w:hAnsi="Times New Roman"/>
          <w:color w:val="000000"/>
          <w:sz w:val="22"/>
        </w:rPr>
        <w:t>as Syndication Agent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CITIBANK, N.A. and REGIONS BANK,</w:t>
      </w:r>
    </w:p>
    <w:p>
      <w:pPr>
        <w:pStyle w:val="TextBody"/>
        <w:bidi w:val="0"/>
        <w:spacing w:before="50" w:after="283"/>
        <w:jc w:val="center"/>
        <w:rPr>
          <w:rFonts w:ascii="Times New Roman" w:hAnsi="Times New Roman"/>
          <w:color w:val="000000"/>
          <w:sz w:val="22"/>
        </w:rPr>
      </w:pPr>
      <w:r>
        <w:rPr>
          <w:rFonts w:ascii="Times New Roman" w:hAnsi="Times New Roman"/>
          <w:color w:val="000000"/>
          <w:sz w:val="22"/>
        </w:rPr>
        <w:t>as Co-Documentation Agents</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9" w:after="283"/>
        <w:jc w:val="left"/>
        <w:rPr>
          <w:rFonts w:ascii="Times New Roman" w:hAnsi="Times New Roman"/>
          <w:sz w:val="20"/>
        </w:rPr>
      </w:pPr>
      <w:r>
        <w:rPr>
          <w:rFonts w:ascii="Times New Roman" w:hAnsi="Times New Roman"/>
          <w:b/>
          <w:color w:val="0000FF"/>
          <w:sz w:val="22"/>
        </w:rPr>
        <w:t xml:space="preserve">1 </w:t>
      </w:r>
      <w:r>
        <w:rPr>
          <w:rFonts w:ascii="Times New Roman" w:hAnsi="Times New Roman"/>
          <w:color w:val="0000FF"/>
          <w:sz w:val="22"/>
        </w:rPr>
        <w:t xml:space="preserve">Conformed through Amendment No. 1 to Third Amended and Restated Credit Agreement dated as of August 12, </w:t>
      </w:r>
      <w:r>
        <w:rPr>
          <w:rFonts w:ascii="Times New Roman" w:hAnsi="Times New Roman"/>
          <w:color w:val="0000FF"/>
          <w:sz w:val="22"/>
          <w:u w:val="single"/>
        </w:rPr>
        <w:t>2026.</w:t>
      </w:r>
    </w:p>
    <w:p>
      <w:pPr>
        <w:pStyle w:val="TextBody"/>
        <w:bidi w:val="0"/>
        <w:spacing w:before="92" w:after="283"/>
        <w:jc w:val="left"/>
        <w:rPr>
          <w:rFonts w:ascii="Times New Roman" w:hAnsi="Times New Roman"/>
          <w:sz w:val="20"/>
        </w:rPr>
      </w:pPr>
      <w:r>
        <w:rPr>
          <w:rFonts w:ascii="Times New Roman" w:hAnsi="Times New Roman"/>
          <w:color w:val="0000FF"/>
          <w:sz w:val="22"/>
          <w:u w:val="single"/>
        </w:rPr>
        <w:t xml:space="preserve">Diodes - Exhibit A to Amendment No. 1 to </w:t>
      </w:r>
      <w:r>
        <w:rPr>
          <w:rFonts w:ascii="Times New Roman" w:hAnsi="Times New Roman"/>
          <w:color w:val="000000"/>
          <w:sz w:val="22"/>
        </w:rPr>
        <w:t>Third A&amp;R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TABLE OF CONTENTS</w:t>
      </w:r>
    </w:p>
    <w:tbl>
      <w:tblPr>
        <w:tblW w:w="9363" w:type="dxa"/>
        <w:jc w:val="left"/>
        <w:tblInd w:w="0" w:type="dxa"/>
        <w:tblLayout w:type="fixed"/>
        <w:tblCellMar>
          <w:top w:w="28" w:type="dxa"/>
          <w:left w:w="28" w:type="dxa"/>
          <w:bottom w:w="28" w:type="dxa"/>
          <w:right w:w="28" w:type="dxa"/>
        </w:tblCellMar>
      </w:tblPr>
      <w:tblGrid>
        <w:gridCol w:w="1186"/>
        <w:gridCol w:w="7441"/>
        <w:gridCol w:w="736"/>
      </w:tblGrid>
      <w:tr>
        <w:trPr/>
        <w:tc>
          <w:tcPr>
            <w:tcW w:w="118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SECTION</w:t>
            </w:r>
          </w:p>
        </w:tc>
        <w:tc>
          <w:tcPr>
            <w:tcW w:w="7441" w:type="dxa"/>
            <w:tcBorders/>
            <w:tcMar>
              <w:top w:w="0" w:type="dxa"/>
              <w:left w:w="0" w:type="dxa"/>
              <w:bottom w:w="0" w:type="dxa"/>
              <w:right w:w="0" w:type="dxa"/>
            </w:tcMar>
            <w:vAlign w:val="center"/>
          </w:tcPr>
          <w:p>
            <w:pPr>
              <w:pStyle w:val="TableContents"/>
              <w:bidi w:val="0"/>
              <w:spacing w:before="20" w:after="20"/>
              <w:jc w:val="left"/>
              <w:rPr/>
            </w:pPr>
            <w:r>
              <w:rPr/>
              <w:t> </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PAGE</w:t>
            </w:r>
          </w:p>
        </w:tc>
      </w:tr>
      <w:tr>
        <w:trPr/>
        <w:tc>
          <w:tcPr>
            <w:tcW w:w="862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I DEFINITIONS AND ACCOUNTING TERMS</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2"/>
              </w:rPr>
            </w:pPr>
            <w:r>
              <w:rPr>
                <w:rFonts w:ascii="Times New Roman" w:hAnsi="Times New Roman"/>
                <w:color w:val="000000"/>
                <w:sz w:val="22"/>
              </w:rPr>
              <w:t>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1.01.</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Defined Terms</w:t>
            </w:r>
          </w:p>
        </w:tc>
        <w:tc>
          <w:tcPr>
            <w:tcW w:w="73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2"/>
              </w:rPr>
            </w:pPr>
            <w:r>
              <w:rPr>
                <w:rFonts w:ascii="Times New Roman" w:hAnsi="Times New Roman"/>
                <w:color w:val="000000"/>
                <w:sz w:val="22"/>
              </w:rPr>
              <w:t>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1.02.</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Other Interpretive Provisions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45</w:t>
            </w:r>
            <w:r>
              <w:rPr>
                <w:rFonts w:ascii="Times New Roman" w:hAnsi="Times New Roman"/>
                <w:color w:val="0000FF"/>
                <w:sz w:val="22"/>
                <w:u w:val="single"/>
              </w:rPr>
              <w:t>45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1.03.</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Accounting Terms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46</w:t>
            </w:r>
            <w:r>
              <w:rPr>
                <w:rFonts w:ascii="Times New Roman" w:hAnsi="Times New Roman"/>
                <w:color w:val="0000FF"/>
                <w:sz w:val="22"/>
                <w:u w:val="single"/>
              </w:rPr>
              <w:t>46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1.04.</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Rounding</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47</w:t>
            </w:r>
            <w:r>
              <w:rPr>
                <w:rFonts w:ascii="Times New Roman" w:hAnsi="Times New Roman"/>
                <w:color w:val="0000FF"/>
                <w:sz w:val="22"/>
                <w:u w:val="single"/>
              </w:rPr>
              <w:t>47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1.05.</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Exchange Rates; Currency Equivalents.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47</w:t>
            </w:r>
            <w:r>
              <w:rPr>
                <w:rFonts w:ascii="Times New Roman" w:hAnsi="Times New Roman"/>
                <w:color w:val="0000FF"/>
                <w:sz w:val="22"/>
                <w:u w:val="single"/>
              </w:rPr>
              <w:t>47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1.06.</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Additional Alternative Currencies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47</w:t>
            </w:r>
            <w:r>
              <w:rPr>
                <w:rFonts w:ascii="Times New Roman" w:hAnsi="Times New Roman"/>
                <w:color w:val="0000FF"/>
                <w:sz w:val="22"/>
                <w:u w:val="single"/>
              </w:rPr>
              <w:t>48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1.07.</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Change of Currency</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49</w:t>
            </w:r>
            <w:r>
              <w:rPr>
                <w:rFonts w:ascii="Times New Roman" w:hAnsi="Times New Roman"/>
                <w:color w:val="0000FF"/>
                <w:sz w:val="22"/>
                <w:u w:val="single"/>
              </w:rPr>
              <w:t>49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1.08.</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Times of Day</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49</w:t>
            </w:r>
            <w:r>
              <w:rPr>
                <w:rFonts w:ascii="Times New Roman" w:hAnsi="Times New Roman"/>
                <w:color w:val="0000FF"/>
                <w:sz w:val="22"/>
                <w:u w:val="single"/>
              </w:rPr>
              <w:t>49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1.09.</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Letter of Credit Amounts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49</w:t>
            </w:r>
            <w:r>
              <w:rPr>
                <w:rFonts w:ascii="Times New Roman" w:hAnsi="Times New Roman"/>
                <w:color w:val="0000FF"/>
                <w:sz w:val="22"/>
                <w:u w:val="single"/>
              </w:rPr>
              <w:t>49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UCC Terms.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49</w:t>
            </w:r>
            <w:r>
              <w:rPr>
                <w:rFonts w:ascii="Times New Roman" w:hAnsi="Times New Roman"/>
                <w:color w:val="0000FF"/>
                <w:sz w:val="22"/>
                <w:u w:val="single"/>
              </w:rPr>
              <w:t>50</w:t>
            </w:r>
          </w:p>
        </w:tc>
      </w:tr>
      <w:tr>
        <w:trPr/>
        <w:tc>
          <w:tcPr>
            <w:tcW w:w="862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II THE COMMITMENTS AND CREDIT EXTENSIONS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50</w:t>
            </w:r>
            <w:r>
              <w:rPr>
                <w:rFonts w:ascii="Times New Roman" w:hAnsi="Times New Roman"/>
                <w:color w:val="0000FF"/>
                <w:sz w:val="22"/>
                <w:u w:val="single"/>
              </w:rPr>
              <w:t>50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2.01.</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The Borrowings.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50</w:t>
            </w:r>
            <w:r>
              <w:rPr>
                <w:rFonts w:ascii="Times New Roman" w:hAnsi="Times New Roman"/>
                <w:color w:val="0000FF"/>
                <w:sz w:val="22"/>
                <w:u w:val="single"/>
              </w:rPr>
              <w:t>50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2.02.</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Borrowings, Conversions and Continuations of Loans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50</w:t>
            </w:r>
            <w:r>
              <w:rPr>
                <w:rFonts w:ascii="Times New Roman" w:hAnsi="Times New Roman"/>
                <w:color w:val="0000FF"/>
                <w:sz w:val="22"/>
                <w:u w:val="single"/>
              </w:rPr>
              <w:t>50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2.03.</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Letters of Credit</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52</w:t>
            </w:r>
            <w:r>
              <w:rPr>
                <w:rFonts w:ascii="Times New Roman" w:hAnsi="Times New Roman"/>
                <w:color w:val="0000FF"/>
                <w:sz w:val="22"/>
                <w:u w:val="single"/>
              </w:rPr>
              <w:t>52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2.04.</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Swingline Loans.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62</w:t>
            </w:r>
            <w:r>
              <w:rPr>
                <w:rFonts w:ascii="Times New Roman" w:hAnsi="Times New Roman"/>
                <w:color w:val="0000FF"/>
                <w:sz w:val="22"/>
                <w:u w:val="single"/>
              </w:rPr>
              <w:t>61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2.05.</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Prepayments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65</w:t>
            </w:r>
            <w:r>
              <w:rPr>
                <w:rFonts w:ascii="Times New Roman" w:hAnsi="Times New Roman"/>
                <w:color w:val="0000FF"/>
                <w:sz w:val="22"/>
                <w:u w:val="single"/>
              </w:rPr>
              <w:t>63</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2.06.</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Termination or Reduction of Commitments.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65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2.07.</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Repayment of Loans.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67</w:t>
            </w:r>
            <w:r>
              <w:rPr>
                <w:rFonts w:ascii="Times New Roman" w:hAnsi="Times New Roman"/>
                <w:color w:val="0000FF"/>
                <w:sz w:val="22"/>
                <w:u w:val="single"/>
              </w:rPr>
              <w:t>66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2.08.</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Interest</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68</w:t>
            </w:r>
            <w:r>
              <w:rPr>
                <w:rFonts w:ascii="Times New Roman" w:hAnsi="Times New Roman"/>
                <w:color w:val="0000FF"/>
                <w:sz w:val="22"/>
                <w:u w:val="single"/>
              </w:rPr>
              <w:t>66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2.09.</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Fees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67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2.10.</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Computation of Interest and Fees; Retroactive Adjustments of Applicable Rate</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69</w:t>
            </w:r>
            <w:r>
              <w:rPr>
                <w:rFonts w:ascii="Times New Roman" w:hAnsi="Times New Roman"/>
                <w:color w:val="0000FF"/>
                <w:sz w:val="22"/>
                <w:u w:val="single"/>
              </w:rPr>
              <w:t>67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2.11.</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Evidence of Debt</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68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2.12.</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Payments Generally; Administrative Agent’s Clawback.</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70</w:t>
            </w:r>
            <w:r>
              <w:rPr>
                <w:rFonts w:ascii="Times New Roman" w:hAnsi="Times New Roman"/>
                <w:color w:val="0000FF"/>
                <w:sz w:val="22"/>
                <w:u w:val="single"/>
              </w:rPr>
              <w:t>69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2.13.</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Sharing of Payments by Lenders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2.14.</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[Reserved].</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73</w:t>
            </w:r>
            <w:r>
              <w:rPr>
                <w:rFonts w:ascii="Times New Roman" w:hAnsi="Times New Roman"/>
                <w:color w:val="0000FF"/>
                <w:sz w:val="22"/>
                <w:u w:val="single"/>
              </w:rPr>
              <w:t>71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2.15.</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Cash Collateral.</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74</w:t>
            </w:r>
            <w:r>
              <w:rPr>
                <w:rFonts w:ascii="Times New Roman" w:hAnsi="Times New Roman"/>
                <w:color w:val="0000FF"/>
                <w:sz w:val="22"/>
                <w:u w:val="single"/>
              </w:rPr>
              <w:t>71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2.16.</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Defaulting Lenders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75</w:t>
            </w:r>
            <w:r>
              <w:rPr>
                <w:rFonts w:ascii="Times New Roman" w:hAnsi="Times New Roman"/>
                <w:color w:val="0000FF"/>
                <w:sz w:val="22"/>
                <w:u w:val="single"/>
              </w:rPr>
              <w:t>72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2.17.</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Increase in Revolving Credit Facility.</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77</w:t>
            </w:r>
            <w:r>
              <w:rPr>
                <w:rFonts w:ascii="Times New Roman" w:hAnsi="Times New Roman"/>
                <w:color w:val="0000FF"/>
                <w:sz w:val="22"/>
                <w:u w:val="single"/>
              </w:rPr>
              <w:t>74</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2.18.</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Incremental Term Loans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79</w:t>
            </w:r>
            <w:r>
              <w:rPr>
                <w:rFonts w:ascii="Times New Roman" w:hAnsi="Times New Roman"/>
                <w:color w:val="0000FF"/>
                <w:sz w:val="22"/>
                <w:u w:val="single"/>
              </w:rPr>
              <w:t>76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2.19.</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Designated Lenders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80</w:t>
            </w:r>
            <w:r>
              <w:rPr>
                <w:rFonts w:ascii="Times New Roman" w:hAnsi="Times New Roman"/>
                <w:color w:val="0000FF"/>
                <w:sz w:val="22"/>
                <w:u w:val="single"/>
              </w:rPr>
              <w:t>77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2.20.</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Sustainability Adjustments; Successor Sustainability Structuring Agent</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81</w:t>
            </w:r>
            <w:r>
              <w:rPr>
                <w:rFonts w:ascii="Times New Roman" w:hAnsi="Times New Roman"/>
                <w:color w:val="0000FF"/>
                <w:sz w:val="22"/>
                <w:u w:val="single"/>
              </w:rPr>
              <w:t>78</w:t>
            </w:r>
          </w:p>
        </w:tc>
      </w:tr>
      <w:tr>
        <w:trPr/>
        <w:tc>
          <w:tcPr>
            <w:tcW w:w="862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III TAXES, YIELD PROTECTION AND ILLEGALITY</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82</w:t>
            </w:r>
            <w:r>
              <w:rPr>
                <w:rFonts w:ascii="Times New Roman" w:hAnsi="Times New Roman"/>
                <w:color w:val="0000FF"/>
                <w:sz w:val="22"/>
                <w:u w:val="single"/>
              </w:rPr>
              <w:t>79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3.01.</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Taxes.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82</w:t>
            </w:r>
            <w:r>
              <w:rPr>
                <w:rFonts w:ascii="Times New Roman" w:hAnsi="Times New Roman"/>
                <w:color w:val="0000FF"/>
                <w:sz w:val="22"/>
                <w:u w:val="single"/>
              </w:rPr>
              <w:t>79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3.02.</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Illegality</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86</w:t>
            </w:r>
            <w:r>
              <w:rPr>
                <w:rFonts w:ascii="Times New Roman" w:hAnsi="Times New Roman"/>
                <w:color w:val="0000FF"/>
                <w:sz w:val="22"/>
                <w:u w:val="single"/>
              </w:rPr>
              <w:t>83</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3.03.</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Inability to Determine Rates.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87</w:t>
            </w:r>
            <w:r>
              <w:rPr>
                <w:rFonts w:ascii="Times New Roman" w:hAnsi="Times New Roman"/>
                <w:color w:val="0000FF"/>
                <w:sz w:val="22"/>
                <w:u w:val="single"/>
              </w:rPr>
              <w:t>84</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3.04.</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Increased Costs; Reserves on Term SOFR Loans.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91</w:t>
            </w:r>
            <w:r>
              <w:rPr>
                <w:rFonts w:ascii="Times New Roman" w:hAnsi="Times New Roman"/>
                <w:color w:val="0000FF"/>
                <w:sz w:val="22"/>
                <w:u w:val="single"/>
              </w:rPr>
              <w:t>88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3.05.</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Compensation for Losses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93</w:t>
            </w:r>
            <w:r>
              <w:rPr>
                <w:rFonts w:ascii="Times New Roman" w:hAnsi="Times New Roman"/>
                <w:color w:val="0000FF"/>
                <w:sz w:val="22"/>
                <w:u w:val="single"/>
              </w:rPr>
              <w:t>89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3.06.</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Mitigation Obligations; Replacement of Lenders.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94</w:t>
            </w:r>
            <w:r>
              <w:rPr>
                <w:rFonts w:ascii="Times New Roman" w:hAnsi="Times New Roman"/>
                <w:color w:val="0000FF"/>
                <w:sz w:val="22"/>
                <w:u w:val="single"/>
              </w:rPr>
              <w:t>90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3.07.</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Survival</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94</w:t>
            </w:r>
            <w:r>
              <w:rPr>
                <w:rFonts w:ascii="Times New Roman" w:hAnsi="Times New Roman"/>
                <w:color w:val="0000FF"/>
                <w:sz w:val="22"/>
                <w:u w:val="single"/>
              </w:rPr>
              <w:t>90</w:t>
            </w:r>
          </w:p>
        </w:tc>
      </w:tr>
      <w:tr>
        <w:trPr/>
        <w:tc>
          <w:tcPr>
            <w:tcW w:w="862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IV CONDITIONS PRECEDENT TO CREDIT EXTENSIONS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94</w:t>
            </w:r>
            <w:r>
              <w:rPr>
                <w:rFonts w:ascii="Times New Roman" w:hAnsi="Times New Roman"/>
                <w:color w:val="0000FF"/>
                <w:sz w:val="22"/>
                <w:u w:val="single"/>
              </w:rPr>
              <w:t>91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4.01.</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Conditions of Initial Credit Extension</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94</w:t>
            </w:r>
            <w:r>
              <w:rPr>
                <w:rFonts w:ascii="Times New Roman" w:hAnsi="Times New Roman"/>
                <w:color w:val="0000FF"/>
                <w:sz w:val="22"/>
                <w:u w:val="single"/>
              </w:rPr>
              <w:t>91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4.02.</w:t>
            </w:r>
          </w:p>
        </w:tc>
        <w:tc>
          <w:tcPr>
            <w:tcW w:w="744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Conditions to all Credit Extensions</w:t>
            </w:r>
          </w:p>
        </w:tc>
        <w:tc>
          <w:tcPr>
            <w:tcW w:w="73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98</w:t>
            </w:r>
            <w:r>
              <w:rPr>
                <w:rFonts w:ascii="Times New Roman" w:hAnsi="Times New Roman"/>
                <w:color w:val="0000FF"/>
                <w:sz w:val="22"/>
                <w:u w:val="single"/>
              </w:rPr>
              <w:t>94</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48" w:type="dxa"/>
        <w:jc w:val="left"/>
        <w:tblInd w:w="0" w:type="dxa"/>
        <w:tblLayout w:type="fixed"/>
        <w:tblCellMar>
          <w:top w:w="28" w:type="dxa"/>
          <w:left w:w="28" w:type="dxa"/>
          <w:bottom w:w="28" w:type="dxa"/>
          <w:right w:w="28" w:type="dxa"/>
        </w:tblCellMar>
      </w:tblPr>
      <w:tblGrid>
        <w:gridCol w:w="1186"/>
        <w:gridCol w:w="4531"/>
        <w:gridCol w:w="931"/>
      </w:tblGrid>
      <w:tr>
        <w:trPr/>
        <w:tc>
          <w:tcPr>
            <w:tcW w:w="1186"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7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V REPRESENTATIONS AND WARRANTIES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99</w:t>
            </w:r>
            <w:r>
              <w:rPr>
                <w:rFonts w:ascii="Times New Roman" w:hAnsi="Times New Roman"/>
                <w:color w:val="0000FF"/>
                <w:sz w:val="22"/>
                <w:u w:val="single"/>
              </w:rPr>
              <w:t>95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5.01.</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Existence, Qualification and Power</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99</w:t>
            </w:r>
            <w:r>
              <w:rPr>
                <w:rFonts w:ascii="Times New Roman" w:hAnsi="Times New Roman"/>
                <w:color w:val="0000FF"/>
                <w:sz w:val="22"/>
                <w:u w:val="single"/>
              </w:rPr>
              <w:t>95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5.02.</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Authorization; No Contravention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99</w:t>
            </w:r>
            <w:r>
              <w:rPr>
                <w:rFonts w:ascii="Times New Roman" w:hAnsi="Times New Roman"/>
                <w:color w:val="0000FF"/>
                <w:sz w:val="22"/>
                <w:u w:val="single"/>
              </w:rPr>
              <w:t>95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5.03.</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Governmental Authorization; Other Consents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99</w:t>
            </w:r>
            <w:r>
              <w:rPr>
                <w:rFonts w:ascii="Times New Roman" w:hAnsi="Times New Roman"/>
                <w:color w:val="0000FF"/>
                <w:sz w:val="22"/>
                <w:u w:val="single"/>
              </w:rPr>
              <w:t>95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5.04.</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Binding Effect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100</w:t>
            </w:r>
            <w:r>
              <w:rPr>
                <w:rFonts w:ascii="Times New Roman" w:hAnsi="Times New Roman"/>
                <w:color w:val="0000FF"/>
                <w:sz w:val="22"/>
                <w:u w:val="single"/>
              </w:rPr>
              <w:t>96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5.05.</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Financial Statements; No Material Adverse Effect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100</w:t>
            </w:r>
            <w:r>
              <w:rPr>
                <w:rFonts w:ascii="Times New Roman" w:hAnsi="Times New Roman"/>
                <w:color w:val="0000FF"/>
                <w:sz w:val="22"/>
                <w:u w:val="single"/>
              </w:rPr>
              <w:t>96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5.06.</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Litigation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100</w:t>
            </w:r>
            <w:r>
              <w:rPr>
                <w:rFonts w:ascii="Times New Roman" w:hAnsi="Times New Roman"/>
                <w:color w:val="0000FF"/>
                <w:sz w:val="22"/>
                <w:u w:val="single"/>
              </w:rPr>
              <w:t>96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5.07.</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 Default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101</w:t>
            </w:r>
            <w:r>
              <w:rPr>
                <w:rFonts w:ascii="Times New Roman" w:hAnsi="Times New Roman"/>
                <w:color w:val="0000FF"/>
                <w:sz w:val="22"/>
                <w:u w:val="single"/>
              </w:rPr>
              <w:t>96</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5.08.</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Ownership of Property; Liens; Investments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101</w:t>
            </w:r>
            <w:r>
              <w:rPr>
                <w:rFonts w:ascii="Times New Roman" w:hAnsi="Times New Roman"/>
                <w:color w:val="0000FF"/>
                <w:sz w:val="22"/>
                <w:u w:val="single"/>
              </w:rPr>
              <w:t>97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5.09.</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Environmental Compliance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101</w:t>
            </w:r>
            <w:r>
              <w:rPr>
                <w:rFonts w:ascii="Times New Roman" w:hAnsi="Times New Roman"/>
                <w:color w:val="0000FF"/>
                <w:sz w:val="22"/>
                <w:u w:val="single"/>
              </w:rPr>
              <w:t>97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5.10.</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Insurance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98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5.11.</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Taxes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102</w:t>
            </w:r>
            <w:r>
              <w:rPr>
                <w:rFonts w:ascii="Times New Roman" w:hAnsi="Times New Roman"/>
                <w:color w:val="0000FF"/>
                <w:sz w:val="22"/>
                <w:u w:val="single"/>
              </w:rPr>
              <w:t>98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5.12.</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ERISA Compliance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103</w:t>
            </w:r>
            <w:r>
              <w:rPr>
                <w:rFonts w:ascii="Times New Roman" w:hAnsi="Times New Roman"/>
                <w:color w:val="0000FF"/>
                <w:sz w:val="22"/>
                <w:u w:val="single"/>
              </w:rPr>
              <w:t>98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5.13.</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Subsidiaries; Equity Interests; Loan Parties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104</w:t>
            </w:r>
            <w:r>
              <w:rPr>
                <w:rFonts w:ascii="Times New Roman" w:hAnsi="Times New Roman"/>
                <w:color w:val="0000FF"/>
                <w:sz w:val="22"/>
                <w:u w:val="single"/>
              </w:rPr>
              <w:t>100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5.14.</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Margin Regulations; Investment Company Act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5.15.</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Disclosure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5.16.</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Compliance with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5.17.</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Intellectual Property; Licenses, Etc.</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105</w:t>
            </w:r>
            <w:r>
              <w:rPr>
                <w:rFonts w:ascii="Times New Roman" w:hAnsi="Times New Roman"/>
                <w:color w:val="0000FF"/>
                <w:sz w:val="22"/>
                <w:u w:val="single"/>
              </w:rPr>
              <w:t>101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5.18.</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Sanctions Concerns and Anti-Corruption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5.19.</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Solvency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101</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5.20.</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Labor Matters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5.21.</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Collateral Documents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5.22.</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European Insolvency Regulation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5.23.</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Beneficial Ownership Certificate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5.24.</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[Reserved].</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106</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5.25.</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Representations as to Foreign Loan Parties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107</w:t>
            </w:r>
            <w:r>
              <w:rPr>
                <w:rFonts w:ascii="Times New Roman" w:hAnsi="Times New Roman"/>
                <w:color w:val="0000FF"/>
                <w:sz w:val="22"/>
                <w:u w:val="single"/>
              </w:rPr>
              <w:t>102</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5.26.</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Covered Entities.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108</w:t>
            </w:r>
            <w:r>
              <w:rPr>
                <w:rFonts w:ascii="Times New Roman" w:hAnsi="Times New Roman"/>
                <w:color w:val="0000FF"/>
                <w:sz w:val="22"/>
                <w:u w:val="single"/>
              </w:rPr>
              <w:t>103</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FF"/>
                <w:sz w:val="20"/>
                <w:u w:val="single"/>
              </w:rPr>
            </w:pPr>
            <w:r>
              <w:rPr>
                <w:rFonts w:ascii="Times New Roman" w:hAnsi="Times New Roman"/>
                <w:color w:val="0000FF"/>
                <w:sz w:val="20"/>
                <w:u w:val="single"/>
              </w:rPr>
              <w:t>Section 5.27.</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FF"/>
                <w:sz w:val="20"/>
                <w:u w:val="single"/>
              </w:rPr>
            </w:pPr>
            <w:r>
              <w:rPr>
                <w:rFonts w:ascii="Times New Roman" w:hAnsi="Times New Roman"/>
                <w:color w:val="0000FF"/>
                <w:sz w:val="20"/>
                <w:u w:val="single"/>
              </w:rPr>
              <w:t>Outbound Investment Rules</w:t>
            </w:r>
          </w:p>
        </w:tc>
        <w:tc>
          <w:tcPr>
            <w:tcW w:w="931" w:type="dxa"/>
            <w:tcBorders/>
            <w:tcMar>
              <w:top w:w="0" w:type="dxa"/>
              <w:left w:w="0" w:type="dxa"/>
              <w:bottom w:w="0" w:type="dxa"/>
              <w:right w:w="0" w:type="dxa"/>
            </w:tcMar>
            <w:vAlign w:val="center"/>
          </w:tcPr>
          <w:p>
            <w:pPr>
              <w:pStyle w:val="TableContents"/>
              <w:bidi w:val="0"/>
              <w:spacing w:before="20" w:after="20"/>
              <w:jc w:val="right"/>
              <w:rPr>
                <w:rFonts w:ascii="Times New Roman" w:hAnsi="Times New Roman"/>
                <w:color w:val="0000FF"/>
                <w:sz w:val="22"/>
                <w:u w:val="single"/>
              </w:rPr>
            </w:pPr>
            <w:r>
              <w:rPr>
                <w:rFonts w:ascii="Times New Roman" w:hAnsi="Times New Roman"/>
                <w:color w:val="0000FF"/>
                <w:sz w:val="22"/>
                <w:u w:val="single"/>
              </w:rPr>
              <w:t>103</w:t>
            </w:r>
          </w:p>
        </w:tc>
      </w:tr>
      <w:tr>
        <w:trPr/>
        <w:tc>
          <w:tcPr>
            <w:tcW w:w="57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VI AFFIRMATIVE COVENANTS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108</w:t>
            </w:r>
            <w:r>
              <w:rPr>
                <w:rFonts w:ascii="Times New Roman" w:hAnsi="Times New Roman"/>
                <w:color w:val="0000FF"/>
                <w:sz w:val="22"/>
                <w:u w:val="single"/>
              </w:rPr>
              <w:t>104</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6.01.</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Financial Statements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108</w:t>
            </w:r>
            <w:r>
              <w:rPr>
                <w:rFonts w:ascii="Times New Roman" w:hAnsi="Times New Roman"/>
                <w:color w:val="0000FF"/>
                <w:sz w:val="22"/>
                <w:u w:val="single"/>
              </w:rPr>
              <w:t>104</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6.02.</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Certificates; Other Information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109</w:t>
            </w:r>
            <w:r>
              <w:rPr>
                <w:rFonts w:ascii="Times New Roman" w:hAnsi="Times New Roman"/>
                <w:color w:val="0000FF"/>
                <w:sz w:val="22"/>
                <w:u w:val="single"/>
              </w:rPr>
              <w:t>105</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6.03.</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Notices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112</w:t>
            </w:r>
            <w:r>
              <w:rPr>
                <w:rFonts w:ascii="Times New Roman" w:hAnsi="Times New Roman"/>
                <w:color w:val="0000FF"/>
                <w:sz w:val="22"/>
                <w:u w:val="single"/>
              </w:rPr>
              <w:t>107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6.04.</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Payment of Obligations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112</w:t>
            </w:r>
            <w:r>
              <w:rPr>
                <w:rFonts w:ascii="Times New Roman" w:hAnsi="Times New Roman"/>
                <w:color w:val="0000FF"/>
                <w:sz w:val="22"/>
                <w:u w:val="single"/>
              </w:rPr>
              <w:t>107</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6.05.</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Preservation of Existence, Etc.</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112</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6.06.</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Maintenance of Properties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112</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6.07.</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Maintenance of Insurance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6.08.</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Compliance with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6.09.</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Books and Records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6.10.</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Inspection Rights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6.11.</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Use of Proceeds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108</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6.12.</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Covenant to Guarantee Obligations and Give Security.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113</w:t>
            </w:r>
            <w:r>
              <w:rPr>
                <w:rFonts w:ascii="Times New Roman" w:hAnsi="Times New Roman"/>
                <w:color w:val="0000FF"/>
                <w:sz w:val="22"/>
                <w:u w:val="single"/>
              </w:rPr>
              <w:t>109</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6.13.</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Compliance with Environmental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114</w:t>
            </w:r>
            <w:r>
              <w:rPr>
                <w:rFonts w:ascii="Times New Roman" w:hAnsi="Times New Roman"/>
                <w:color w:val="0000FF"/>
                <w:sz w:val="22"/>
                <w:u w:val="single"/>
              </w:rPr>
              <w:t>110</w:t>
            </w:r>
            <w:r>
              <w:rPr>
                <w:rFonts w:ascii="Times New Roman" w:hAnsi="Times New Roman"/>
                <w:color w:val="0000FF"/>
                <w:sz w:val="22"/>
              </w:rPr>
              <w:t xml:space="preserve"> </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6.14.</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Further Assurances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110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6.15.</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Material Contracts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110</w:t>
            </w:r>
          </w:p>
        </w:tc>
      </w:tr>
      <w:tr>
        <w:trPr/>
        <w:tc>
          <w:tcPr>
            <w:tcW w:w="1186"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6.16.</w:t>
            </w:r>
          </w:p>
        </w:tc>
        <w:tc>
          <w:tcPr>
            <w:tcW w:w="45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Post-Closing Matters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110</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48" w:type="dxa"/>
        <w:jc w:val="left"/>
        <w:tblInd w:w="0" w:type="dxa"/>
        <w:tblLayout w:type="fixed"/>
        <w:tblCellMar>
          <w:top w:w="28" w:type="dxa"/>
          <w:left w:w="28" w:type="dxa"/>
          <w:bottom w:w="28" w:type="dxa"/>
          <w:right w:w="28" w:type="dxa"/>
        </w:tblCellMar>
      </w:tblPr>
      <w:tblGrid>
        <w:gridCol w:w="1291"/>
        <w:gridCol w:w="5926"/>
        <w:gridCol w:w="931"/>
      </w:tblGrid>
      <w:tr>
        <w:trPr/>
        <w:tc>
          <w:tcPr>
            <w:tcW w:w="1291"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6.17.</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Anti-Corruption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110</w:t>
            </w:r>
          </w:p>
        </w:tc>
      </w:tr>
      <w:tr>
        <w:trPr/>
        <w:tc>
          <w:tcPr>
            <w:tcW w:w="72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VII NEGATIVE COVENANTS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116</w:t>
            </w:r>
            <w:r>
              <w:rPr>
                <w:rFonts w:ascii="Times New Roman" w:hAnsi="Times New Roman"/>
                <w:color w:val="0000FF"/>
                <w:sz w:val="22"/>
                <w:u w:val="single"/>
              </w:rPr>
              <w:t>111</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Liens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116</w:t>
            </w:r>
            <w:r>
              <w:rPr>
                <w:rFonts w:ascii="Times New Roman" w:hAnsi="Times New Roman"/>
                <w:color w:val="0000FF"/>
                <w:sz w:val="22"/>
                <w:u w:val="single"/>
              </w:rPr>
              <w:t>111</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Indebtedness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118</w:t>
            </w:r>
            <w:r>
              <w:rPr>
                <w:rFonts w:ascii="Times New Roman" w:hAnsi="Times New Roman"/>
                <w:color w:val="0000FF"/>
                <w:sz w:val="22"/>
                <w:u w:val="single"/>
              </w:rPr>
              <w:t>113</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Investments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120</w:t>
            </w:r>
            <w:r>
              <w:rPr>
                <w:rFonts w:ascii="Times New Roman" w:hAnsi="Times New Roman"/>
                <w:color w:val="0000FF"/>
                <w:sz w:val="22"/>
                <w:u w:val="single"/>
              </w:rPr>
              <w:t>116</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7.04.</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Fundamental Changes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122</w:t>
            </w:r>
            <w:r>
              <w:rPr>
                <w:rFonts w:ascii="Times New Roman" w:hAnsi="Times New Roman"/>
                <w:color w:val="0000FF"/>
                <w:sz w:val="22"/>
                <w:u w:val="single"/>
              </w:rPr>
              <w:t>118</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7.05.</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Dispositions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123</w:t>
            </w:r>
            <w:r>
              <w:rPr>
                <w:rFonts w:ascii="Times New Roman" w:hAnsi="Times New Roman"/>
                <w:color w:val="0000FF"/>
                <w:sz w:val="22"/>
                <w:u w:val="single"/>
              </w:rPr>
              <w:t>119</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7.06.</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Restricted Payments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124</w:t>
            </w:r>
            <w:r>
              <w:rPr>
                <w:rFonts w:ascii="Times New Roman" w:hAnsi="Times New Roman"/>
                <w:color w:val="0000FF"/>
                <w:sz w:val="22"/>
                <w:u w:val="single"/>
              </w:rPr>
              <w:t>120</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7.07.</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Change in Nature of Business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125</w:t>
            </w:r>
            <w:r>
              <w:rPr>
                <w:rFonts w:ascii="Times New Roman" w:hAnsi="Times New Roman"/>
                <w:color w:val="0000FF"/>
                <w:sz w:val="22"/>
                <w:u w:val="single"/>
              </w:rPr>
              <w:t>122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7.08.</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Transactions with Affiliates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125</w:t>
            </w:r>
            <w:r>
              <w:rPr>
                <w:rFonts w:ascii="Times New Roman" w:hAnsi="Times New Roman"/>
                <w:color w:val="0000FF"/>
                <w:sz w:val="22"/>
                <w:u w:val="single"/>
              </w:rPr>
              <w:t>122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7.09.</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Burdensome Agreements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125</w:t>
            </w:r>
            <w:r>
              <w:rPr>
                <w:rFonts w:ascii="Times New Roman" w:hAnsi="Times New Roman"/>
                <w:color w:val="0000FF"/>
                <w:sz w:val="22"/>
                <w:u w:val="single"/>
              </w:rPr>
              <w:t>122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7.10.</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Use of Proceeds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125</w:t>
            </w:r>
            <w:r>
              <w:rPr>
                <w:rFonts w:ascii="Times New Roman" w:hAnsi="Times New Roman"/>
                <w:color w:val="0000FF"/>
                <w:sz w:val="22"/>
                <w:u w:val="single"/>
              </w:rPr>
              <w:t>122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Financial Covenants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125</w:t>
            </w:r>
            <w:r>
              <w:rPr>
                <w:rFonts w:ascii="Times New Roman" w:hAnsi="Times New Roman"/>
                <w:color w:val="0000FF"/>
                <w:sz w:val="22"/>
                <w:u w:val="single"/>
              </w:rPr>
              <w:t>122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Amendments of Organization Documents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123</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Accounting Changes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123</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7.14.</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Prepayments of Indebtedness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123</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7.15.</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Amendment of Indebtedness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7.16.</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Sanctions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7.17.</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Anti-Corruption Laws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FF"/>
                <w:sz w:val="20"/>
                <w:u w:val="single"/>
              </w:rPr>
            </w:pPr>
            <w:r>
              <w:rPr>
                <w:rFonts w:ascii="Times New Roman" w:hAnsi="Times New Roman"/>
                <w:color w:val="0000FF"/>
                <w:sz w:val="20"/>
                <w:u w:val="single"/>
              </w:rPr>
              <w:t>Section 7.18.</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FF"/>
                <w:sz w:val="20"/>
                <w:u w:val="single"/>
              </w:rPr>
            </w:pPr>
            <w:r>
              <w:rPr>
                <w:rFonts w:ascii="Times New Roman" w:hAnsi="Times New Roman"/>
                <w:color w:val="0000FF"/>
                <w:sz w:val="20"/>
                <w:u w:val="single"/>
              </w:rPr>
              <w:t>Outbound Investment Rules</w:t>
            </w:r>
          </w:p>
        </w:tc>
        <w:tc>
          <w:tcPr>
            <w:tcW w:w="931" w:type="dxa"/>
            <w:tcBorders/>
            <w:tcMar>
              <w:top w:w="0" w:type="dxa"/>
              <w:left w:w="0" w:type="dxa"/>
              <w:bottom w:w="0" w:type="dxa"/>
              <w:right w:w="0" w:type="dxa"/>
            </w:tcMar>
            <w:vAlign w:val="center"/>
          </w:tcPr>
          <w:p>
            <w:pPr>
              <w:pStyle w:val="TableContents"/>
              <w:bidi w:val="0"/>
              <w:spacing w:before="20" w:after="20"/>
              <w:jc w:val="right"/>
              <w:rPr>
                <w:rFonts w:ascii="Times New Roman" w:hAnsi="Times New Roman"/>
                <w:color w:val="0000FF"/>
                <w:sz w:val="22"/>
                <w:u w:val="single"/>
              </w:rPr>
            </w:pPr>
            <w:r>
              <w:rPr>
                <w:rFonts w:ascii="Times New Roman" w:hAnsi="Times New Roman"/>
                <w:color w:val="0000FF"/>
                <w:sz w:val="22"/>
                <w:u w:val="single"/>
              </w:rPr>
              <w:t>124</w:t>
            </w:r>
          </w:p>
        </w:tc>
      </w:tr>
      <w:tr>
        <w:trPr/>
        <w:tc>
          <w:tcPr>
            <w:tcW w:w="72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VIII EVENTS OF DEFAULT AND REMEDIES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8.01.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Events of Default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126</w:t>
            </w:r>
            <w:r>
              <w:rPr>
                <w:rFonts w:ascii="Times New Roman" w:hAnsi="Times New Roman"/>
                <w:color w:val="0000FF"/>
                <w:sz w:val="22"/>
                <w:u w:val="single"/>
              </w:rPr>
              <w:t>124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8.02.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Remedies Upon Event of Default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129</w:t>
            </w:r>
            <w:r>
              <w:rPr>
                <w:rFonts w:ascii="Times New Roman" w:hAnsi="Times New Roman"/>
                <w:color w:val="0000FF"/>
                <w:sz w:val="22"/>
                <w:u w:val="single"/>
              </w:rPr>
              <w:t>127</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8.03.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Application of Funds.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130</w:t>
            </w:r>
            <w:r>
              <w:rPr>
                <w:rFonts w:ascii="Times New Roman" w:hAnsi="Times New Roman"/>
                <w:color w:val="0000FF"/>
                <w:sz w:val="22"/>
                <w:u w:val="single"/>
              </w:rPr>
              <w:t>127</w:t>
            </w:r>
          </w:p>
        </w:tc>
      </w:tr>
      <w:tr>
        <w:trPr/>
        <w:tc>
          <w:tcPr>
            <w:tcW w:w="72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IX ADMINISTRATIVE AGENT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132</w:t>
            </w:r>
            <w:r>
              <w:rPr>
                <w:rFonts w:ascii="Times New Roman" w:hAnsi="Times New Roman"/>
                <w:color w:val="0000FF"/>
                <w:sz w:val="22"/>
                <w:u w:val="single"/>
              </w:rPr>
              <w:t>129</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Appointment and Authority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132</w:t>
            </w:r>
            <w:r>
              <w:rPr>
                <w:rFonts w:ascii="Times New Roman" w:hAnsi="Times New Roman"/>
                <w:color w:val="0000FF"/>
                <w:sz w:val="22"/>
                <w:u w:val="single"/>
              </w:rPr>
              <w:t>129</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Rights as a Lender</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133</w:t>
            </w:r>
            <w:r>
              <w:rPr>
                <w:rFonts w:ascii="Times New Roman" w:hAnsi="Times New Roman"/>
                <w:color w:val="0000FF"/>
                <w:sz w:val="22"/>
                <w:u w:val="single"/>
              </w:rPr>
              <w:t>130</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Exculpatory Provisions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133</w:t>
            </w:r>
            <w:r>
              <w:rPr>
                <w:rFonts w:ascii="Times New Roman" w:hAnsi="Times New Roman"/>
                <w:color w:val="0000FF"/>
                <w:sz w:val="22"/>
                <w:u w:val="single"/>
              </w:rPr>
              <w:t>130</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9.04.</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Reliance by Administrative Agent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134</w:t>
            </w:r>
            <w:r>
              <w:rPr>
                <w:rFonts w:ascii="Times New Roman" w:hAnsi="Times New Roman"/>
                <w:color w:val="0000FF"/>
                <w:sz w:val="22"/>
                <w:u w:val="single"/>
              </w:rPr>
              <w:t>131</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9.05.</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Delegation of Duties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135</w:t>
            </w:r>
            <w:r>
              <w:rPr>
                <w:rFonts w:ascii="Times New Roman" w:hAnsi="Times New Roman"/>
                <w:color w:val="0000FF"/>
                <w:sz w:val="22"/>
                <w:u w:val="single"/>
              </w:rPr>
              <w:t>132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9.06.</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Resignation of Administrative Agent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135</w:t>
            </w:r>
            <w:r>
              <w:rPr>
                <w:rFonts w:ascii="Times New Roman" w:hAnsi="Times New Roman"/>
                <w:color w:val="0000FF"/>
                <w:sz w:val="22"/>
                <w:u w:val="single"/>
              </w:rPr>
              <w:t>132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9.07.</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Non-Reliance on Administrative Agent and Other Lenders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136</w:t>
            </w:r>
            <w:r>
              <w:rPr>
                <w:rFonts w:ascii="Times New Roman" w:hAnsi="Times New Roman"/>
                <w:color w:val="0000FF"/>
                <w:sz w:val="22"/>
                <w:u w:val="single"/>
              </w:rPr>
              <w:t>133</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9.08.</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 Other Duties, Etc.</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137</w:t>
            </w:r>
            <w:r>
              <w:rPr>
                <w:rFonts w:ascii="Times New Roman" w:hAnsi="Times New Roman"/>
                <w:color w:val="0000FF"/>
                <w:sz w:val="22"/>
                <w:u w:val="single"/>
              </w:rPr>
              <w:t>134</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9.09.</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Administrative Agent May File Proofs of Claim</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137</w:t>
            </w:r>
            <w:r>
              <w:rPr>
                <w:rFonts w:ascii="Times New Roman" w:hAnsi="Times New Roman"/>
                <w:color w:val="0000FF"/>
                <w:sz w:val="22"/>
                <w:u w:val="single"/>
              </w:rPr>
              <w:t>134</w:t>
            </w:r>
            <w:r>
              <w:rPr>
                <w:rFonts w:ascii="Times New Roman" w:hAnsi="Times New Roman"/>
                <w:color w:val="0000FF"/>
                <w:sz w:val="22"/>
              </w:rPr>
              <w:t xml:space="preserve"> </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9.10.</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Collateral and Guaranty Matters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139</w:t>
            </w:r>
            <w:r>
              <w:rPr>
                <w:rFonts w:ascii="Times New Roman" w:hAnsi="Times New Roman"/>
                <w:color w:val="0000FF"/>
                <w:sz w:val="22"/>
                <w:u w:val="single"/>
              </w:rPr>
              <w:t>136</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9.11.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Secured Cash Management Agreements and Secured Hedge Agreements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139</w:t>
            </w:r>
            <w:r>
              <w:rPr>
                <w:rFonts w:ascii="Times New Roman" w:hAnsi="Times New Roman"/>
                <w:color w:val="0000FF"/>
                <w:sz w:val="22"/>
                <w:u w:val="single"/>
              </w:rPr>
              <w:t>136</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9.12.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Certain ERISA Matters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140</w:t>
            </w:r>
            <w:r>
              <w:rPr>
                <w:rFonts w:ascii="Times New Roman" w:hAnsi="Times New Roman"/>
                <w:color w:val="0000FF"/>
                <w:sz w:val="22"/>
                <w:u w:val="single"/>
              </w:rPr>
              <w:t>137</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9.13.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Recovery of Erroneous Payments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141</w:t>
            </w:r>
            <w:r>
              <w:rPr>
                <w:rFonts w:ascii="Times New Roman" w:hAnsi="Times New Roman"/>
                <w:color w:val="0000FF"/>
                <w:sz w:val="22"/>
                <w:u w:val="single"/>
              </w:rPr>
              <w:t>137</w:t>
            </w:r>
          </w:p>
        </w:tc>
      </w:tr>
      <w:tr>
        <w:trPr/>
        <w:tc>
          <w:tcPr>
            <w:tcW w:w="7217"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X GUARANTY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141</w:t>
            </w:r>
            <w:r>
              <w:rPr>
                <w:rFonts w:ascii="Times New Roman" w:hAnsi="Times New Roman"/>
                <w:color w:val="0000FF"/>
                <w:sz w:val="22"/>
                <w:u w:val="single"/>
              </w:rPr>
              <w:t>138</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10.01.</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The Guaranty.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141</w:t>
            </w:r>
            <w:r>
              <w:rPr>
                <w:rFonts w:ascii="Times New Roman" w:hAnsi="Times New Roman"/>
                <w:color w:val="0000FF"/>
                <w:sz w:val="22"/>
                <w:u w:val="single"/>
              </w:rPr>
              <w:t>138</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10.02.</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Obligations Unconditional.</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142</w:t>
            </w:r>
            <w:r>
              <w:rPr>
                <w:rFonts w:ascii="Times New Roman" w:hAnsi="Times New Roman"/>
                <w:color w:val="0000FF"/>
                <w:sz w:val="22"/>
                <w:u w:val="single"/>
              </w:rPr>
              <w:t>139</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10.03.</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Reinstatement.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145</w:t>
            </w:r>
            <w:r>
              <w:rPr>
                <w:rFonts w:ascii="Times New Roman" w:hAnsi="Times New Roman"/>
                <w:color w:val="0000FF"/>
                <w:sz w:val="22"/>
                <w:u w:val="single"/>
              </w:rPr>
              <w:t>141</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10.04.</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Subrogation and Contribution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145</w:t>
            </w:r>
            <w:r>
              <w:rPr>
                <w:rFonts w:ascii="Times New Roman" w:hAnsi="Times New Roman"/>
                <w:color w:val="0000FF"/>
                <w:sz w:val="22"/>
                <w:u w:val="single"/>
              </w:rPr>
              <w:t>142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10.05.</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Remedies.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145</w:t>
            </w:r>
            <w:r>
              <w:rPr>
                <w:rFonts w:ascii="Times New Roman" w:hAnsi="Times New Roman"/>
                <w:color w:val="0000FF"/>
                <w:sz w:val="22"/>
                <w:u w:val="single"/>
              </w:rPr>
              <w:t>142</w:t>
            </w:r>
          </w:p>
        </w:tc>
      </w:tr>
      <w:tr>
        <w:trPr/>
        <w:tc>
          <w:tcPr>
            <w:tcW w:w="129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10.06.</w:t>
            </w:r>
          </w:p>
        </w:tc>
        <w:tc>
          <w:tcPr>
            <w:tcW w:w="5926"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Rights of Contribution.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146</w:t>
            </w:r>
            <w:r>
              <w:rPr>
                <w:rFonts w:ascii="Times New Roman" w:hAnsi="Times New Roman"/>
                <w:color w:val="0000FF"/>
                <w:sz w:val="22"/>
                <w:u w:val="single"/>
              </w:rPr>
              <w:t>143</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-iii-</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83" w:type="dxa"/>
        <w:jc w:val="left"/>
        <w:tblInd w:w="0" w:type="dxa"/>
        <w:tblLayout w:type="fixed"/>
        <w:tblCellMar>
          <w:top w:w="28" w:type="dxa"/>
          <w:left w:w="28" w:type="dxa"/>
          <w:bottom w:w="28" w:type="dxa"/>
          <w:right w:w="28" w:type="dxa"/>
        </w:tblCellMar>
      </w:tblPr>
      <w:tblGrid>
        <w:gridCol w:w="1471"/>
        <w:gridCol w:w="7081"/>
        <w:gridCol w:w="931"/>
      </w:tblGrid>
      <w:tr>
        <w:trPr/>
        <w:tc>
          <w:tcPr>
            <w:tcW w:w="1471" w:type="dxa"/>
            <w:tcBorders/>
            <w:vAlign w:val="center"/>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10.07.</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Guarantee of Payment; Continuing Guarantee.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147</w:t>
            </w:r>
            <w:r>
              <w:rPr>
                <w:rFonts w:ascii="Times New Roman" w:hAnsi="Times New Roman"/>
                <w:color w:val="0000FF"/>
                <w:sz w:val="22"/>
                <w:u w:val="single"/>
              </w:rPr>
              <w:t>143</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10.08.</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Additional Guarantor Waivers and Agreements.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147</w:t>
            </w:r>
            <w:r>
              <w:rPr>
                <w:rFonts w:ascii="Times New Roman" w:hAnsi="Times New Roman"/>
                <w:color w:val="0000FF"/>
                <w:sz w:val="22"/>
                <w:u w:val="single"/>
              </w:rPr>
              <w:t>143</w:t>
            </w:r>
            <w:r>
              <w:rPr>
                <w:rFonts w:ascii="Times New Roman" w:hAnsi="Times New Roman"/>
                <w:color w:val="0000FF"/>
                <w:sz w:val="22"/>
              </w:rPr>
              <w:t xml:space="preserve"> </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10.09.</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Appointment of Domestic Borrower</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148</w:t>
            </w:r>
            <w:r>
              <w:rPr>
                <w:rFonts w:ascii="Times New Roman" w:hAnsi="Times New Roman"/>
                <w:color w:val="0000FF"/>
                <w:sz w:val="22"/>
                <w:u w:val="single"/>
              </w:rPr>
              <w:t>144</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10.10.</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Keepwell</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148</w:t>
            </w:r>
            <w:r>
              <w:rPr>
                <w:rFonts w:ascii="Times New Roman" w:hAnsi="Times New Roman"/>
                <w:color w:val="0000FF"/>
                <w:sz w:val="22"/>
                <w:u w:val="single"/>
              </w:rPr>
              <w:t>145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10.11.</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Condition of Borrowers.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149</w:t>
            </w:r>
            <w:r>
              <w:rPr>
                <w:rFonts w:ascii="Times New Roman" w:hAnsi="Times New Roman"/>
                <w:color w:val="0000FF"/>
                <w:sz w:val="22"/>
                <w:u w:val="single"/>
              </w:rPr>
              <w:t>145</w:t>
            </w:r>
          </w:p>
        </w:tc>
      </w:tr>
      <w:tr>
        <w:trPr/>
        <w:tc>
          <w:tcPr>
            <w:tcW w:w="8552" w:type="dxa"/>
            <w:gridSpan w:val="2"/>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ARTICLE XI MISCELLANEOUS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149</w:t>
            </w:r>
            <w:r>
              <w:rPr>
                <w:rFonts w:ascii="Times New Roman" w:hAnsi="Times New Roman"/>
                <w:color w:val="0000FF"/>
                <w:sz w:val="22"/>
                <w:u w:val="single"/>
              </w:rPr>
              <w:t>145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11.01.</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Amendments, Etc</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149</w:t>
            </w:r>
            <w:r>
              <w:rPr>
                <w:rFonts w:ascii="Times New Roman" w:hAnsi="Times New Roman"/>
                <w:color w:val="0000FF"/>
                <w:sz w:val="22"/>
                <w:u w:val="single"/>
              </w:rPr>
              <w:t>145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11.02.</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Notices; Effectiveness; Electronic Communication.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152</w:t>
            </w:r>
            <w:r>
              <w:rPr>
                <w:rFonts w:ascii="Times New Roman" w:hAnsi="Times New Roman"/>
                <w:color w:val="0000FF"/>
                <w:sz w:val="22"/>
                <w:u w:val="single"/>
              </w:rPr>
              <w:t>148</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11.03.</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No Waiver; Cumulative Remedies; Enforcement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154</w:t>
            </w:r>
            <w:r>
              <w:rPr>
                <w:rFonts w:ascii="Times New Roman" w:hAnsi="Times New Roman"/>
                <w:color w:val="0000FF"/>
                <w:sz w:val="22"/>
                <w:u w:val="single"/>
              </w:rPr>
              <w:t>150</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11.04.</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Expenses; Indemnity; Damage Waiver.</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155</w:t>
            </w:r>
            <w:r>
              <w:rPr>
                <w:rFonts w:ascii="Times New Roman" w:hAnsi="Times New Roman"/>
                <w:color w:val="0000FF"/>
                <w:sz w:val="22"/>
                <w:u w:val="single"/>
              </w:rPr>
              <w:t>151</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11.05.</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Payments Set Aside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157</w:t>
            </w:r>
            <w:r>
              <w:rPr>
                <w:rFonts w:ascii="Times New Roman" w:hAnsi="Times New Roman"/>
                <w:color w:val="0000FF"/>
                <w:sz w:val="22"/>
                <w:u w:val="single"/>
              </w:rPr>
              <w:t>153</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11.06.</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Successors and Assigns.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158</w:t>
            </w:r>
            <w:r>
              <w:rPr>
                <w:rFonts w:ascii="Times New Roman" w:hAnsi="Times New Roman"/>
                <w:color w:val="0000FF"/>
                <w:sz w:val="22"/>
                <w:u w:val="single"/>
              </w:rPr>
              <w:t>153</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11.07.</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Treatment of Certain Information; Confidentiality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162</w:t>
            </w:r>
            <w:r>
              <w:rPr>
                <w:rFonts w:ascii="Times New Roman" w:hAnsi="Times New Roman"/>
                <w:color w:val="0000FF"/>
                <w:sz w:val="22"/>
                <w:u w:val="single"/>
              </w:rPr>
              <w:t>158</w:t>
            </w:r>
            <w:r>
              <w:rPr>
                <w:rFonts w:ascii="Times New Roman" w:hAnsi="Times New Roman"/>
                <w:color w:val="0000FF"/>
                <w:sz w:val="22"/>
              </w:rPr>
              <w:t xml:space="preserve"> </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11.08.</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Right of Setoff</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163</w:t>
            </w:r>
            <w:r>
              <w:rPr>
                <w:rFonts w:ascii="Times New Roman" w:hAnsi="Times New Roman"/>
                <w:color w:val="0000FF"/>
                <w:sz w:val="22"/>
                <w:u w:val="single"/>
              </w:rPr>
              <w:t>159</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11.09.</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Interest Rate Limitation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164</w:t>
            </w:r>
            <w:r>
              <w:rPr>
                <w:rFonts w:ascii="Times New Roman" w:hAnsi="Times New Roman"/>
                <w:color w:val="0000FF"/>
                <w:sz w:val="22"/>
                <w:u w:val="single"/>
              </w:rPr>
              <w:t>159</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11.10.</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Counterparts; Integration; Effectiveness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164</w:t>
            </w:r>
            <w:r>
              <w:rPr>
                <w:rFonts w:ascii="Times New Roman" w:hAnsi="Times New Roman"/>
                <w:color w:val="0000FF"/>
                <w:sz w:val="22"/>
                <w:u w:val="single"/>
              </w:rPr>
              <w:t>159</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11.11.</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Survival of Representations and Warranties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165</w:t>
            </w:r>
            <w:r>
              <w:rPr>
                <w:rFonts w:ascii="Times New Roman" w:hAnsi="Times New Roman"/>
                <w:color w:val="0000FF"/>
                <w:sz w:val="22"/>
                <w:u w:val="single"/>
              </w:rPr>
              <w:t>160</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11.12.</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Severability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165</w:t>
            </w:r>
            <w:r>
              <w:rPr>
                <w:rFonts w:ascii="Times New Roman" w:hAnsi="Times New Roman"/>
                <w:color w:val="0000FF"/>
                <w:sz w:val="22"/>
                <w:u w:val="single"/>
              </w:rPr>
              <w:t>160</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11.13.</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Replacement of Lenders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165</w:t>
            </w:r>
            <w:r>
              <w:rPr>
                <w:rFonts w:ascii="Times New Roman" w:hAnsi="Times New Roman"/>
                <w:color w:val="0000FF"/>
                <w:sz w:val="22"/>
                <w:u w:val="single"/>
              </w:rPr>
              <w:t>160</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11.14.</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Governing Law; Jurisdiction; Etc.</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166</w:t>
            </w:r>
            <w:r>
              <w:rPr>
                <w:rFonts w:ascii="Times New Roman" w:hAnsi="Times New Roman"/>
                <w:color w:val="0000FF"/>
                <w:sz w:val="22"/>
                <w:u w:val="single"/>
              </w:rPr>
              <w:t>161</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11.15.</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Waiver of Jury Trial</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167</w:t>
            </w:r>
            <w:r>
              <w:rPr>
                <w:rFonts w:ascii="Times New Roman" w:hAnsi="Times New Roman"/>
                <w:color w:val="0000FF"/>
                <w:sz w:val="22"/>
                <w:u w:val="single"/>
              </w:rPr>
              <w:t>162</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11.16.</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California Judicial Reference</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168</w:t>
            </w:r>
            <w:r>
              <w:rPr>
                <w:rFonts w:ascii="Times New Roman" w:hAnsi="Times New Roman"/>
                <w:color w:val="0000FF"/>
                <w:sz w:val="22"/>
                <w:u w:val="single"/>
              </w:rPr>
              <w:t>162</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11.17.</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No Advisory or Fiduciary Responsibility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168</w:t>
            </w:r>
            <w:r>
              <w:rPr>
                <w:rFonts w:ascii="Times New Roman" w:hAnsi="Times New Roman"/>
                <w:color w:val="0000FF"/>
                <w:sz w:val="22"/>
                <w:u w:val="single"/>
              </w:rPr>
              <w:t>163</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11.18.</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Electronic Execution of Assignments and Certain Other Documents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168</w:t>
            </w:r>
            <w:r>
              <w:rPr>
                <w:rFonts w:ascii="Times New Roman" w:hAnsi="Times New Roman"/>
                <w:color w:val="0000FF"/>
                <w:sz w:val="22"/>
                <w:u w:val="single"/>
              </w:rPr>
              <w:t>163</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11.19.</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USA PATRIOT Act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170</w:t>
            </w:r>
            <w:r>
              <w:rPr>
                <w:rFonts w:ascii="Times New Roman" w:hAnsi="Times New Roman"/>
                <w:color w:val="0000FF"/>
                <w:sz w:val="22"/>
                <w:u w:val="single"/>
              </w:rPr>
              <w:t>164</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2"/>
              </w:rPr>
            </w:pPr>
            <w:r>
              <w:rPr>
                <w:rFonts w:ascii="Times New Roman" w:hAnsi="Times New Roman"/>
                <w:color w:val="000000"/>
                <w:sz w:val="22"/>
              </w:rPr>
              <w:t>Section 11.20.</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b/>
                <w:color w:val="000000"/>
                <w:sz w:val="22"/>
              </w:rPr>
            </w:pPr>
            <w:r>
              <w:rPr>
                <w:rFonts w:ascii="Times New Roman" w:hAnsi="Times New Roman"/>
                <w:b/>
                <w:color w:val="000000"/>
                <w:sz w:val="22"/>
              </w:rPr>
              <w:t>ENTIRE AGREEMENT</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170</w:t>
            </w:r>
            <w:r>
              <w:rPr>
                <w:rFonts w:ascii="Times New Roman" w:hAnsi="Times New Roman"/>
                <w:color w:val="0000FF"/>
                <w:sz w:val="22"/>
                <w:u w:val="single"/>
              </w:rPr>
              <w:t>165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11.21.</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Judgment Currency</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170</w:t>
            </w:r>
            <w:r>
              <w:rPr>
                <w:rFonts w:ascii="Times New Roman" w:hAnsi="Times New Roman"/>
                <w:color w:val="0000FF"/>
                <w:sz w:val="22"/>
                <w:u w:val="single"/>
              </w:rPr>
              <w:t>165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11.22.</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Acknowledgment and Consent to Bail-In of Affected Financial Institutions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171</w:t>
            </w:r>
            <w:r>
              <w:rPr>
                <w:rFonts w:ascii="Times New Roman" w:hAnsi="Times New Roman"/>
                <w:color w:val="0000FF"/>
                <w:sz w:val="22"/>
                <w:u w:val="single"/>
              </w:rPr>
              <w:t>165</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11.23.</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Acknowledgment Regarding Any Supported QFCs.</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171</w:t>
            </w:r>
            <w:r>
              <w:rPr>
                <w:rFonts w:ascii="Times New Roman" w:hAnsi="Times New Roman"/>
                <w:color w:val="0000FF"/>
                <w:sz w:val="22"/>
                <w:u w:val="single"/>
              </w:rPr>
              <w:t>166</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11.24.</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Subordination.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172</w:t>
            </w:r>
            <w:r>
              <w:rPr>
                <w:rFonts w:ascii="Times New Roman" w:hAnsi="Times New Roman"/>
                <w:color w:val="0000FF"/>
                <w:sz w:val="22"/>
                <w:u w:val="single"/>
              </w:rPr>
              <w:t>166</w:t>
            </w:r>
          </w:p>
        </w:tc>
      </w:tr>
      <w:tr>
        <w:trPr/>
        <w:tc>
          <w:tcPr>
            <w:tcW w:w="1471" w:type="dxa"/>
            <w:tcBorders/>
            <w:tcMar>
              <w:top w:w="0" w:type="dxa"/>
              <w:left w:w="0" w:type="dxa"/>
              <w:bottom w:w="0" w:type="dxa"/>
              <w:right w:w="0" w:type="dxa"/>
            </w:tcMar>
            <w:vAlign w:val="center"/>
          </w:tcPr>
          <w:p>
            <w:pPr>
              <w:pStyle w:val="TableContents"/>
              <w:bidi w:val="0"/>
              <w:spacing w:before="20" w:after="20"/>
              <w:jc w:val="center"/>
              <w:rPr>
                <w:rFonts w:ascii="Times New Roman" w:hAnsi="Times New Roman"/>
                <w:color w:val="000000"/>
                <w:sz w:val="20"/>
              </w:rPr>
            </w:pPr>
            <w:r>
              <w:rPr>
                <w:rFonts w:ascii="Times New Roman" w:hAnsi="Times New Roman"/>
                <w:color w:val="000000"/>
                <w:sz w:val="20"/>
              </w:rPr>
              <w:t>Section 11.25.</w:t>
            </w:r>
          </w:p>
        </w:tc>
        <w:tc>
          <w:tcPr>
            <w:tcW w:w="70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0"/>
              </w:rPr>
            </w:pPr>
            <w:r>
              <w:rPr>
                <w:rFonts w:ascii="Times New Roman" w:hAnsi="Times New Roman"/>
                <w:color w:val="000000"/>
                <w:sz w:val="20"/>
              </w:rPr>
              <w:t>Amendment and Restatement; No Novation</w:t>
            </w:r>
          </w:p>
        </w:tc>
        <w:tc>
          <w:tcPr>
            <w:tcW w:w="93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sz w:val="22"/>
              </w:rPr>
            </w:pPr>
            <w:r>
              <w:rPr>
                <w:rFonts w:ascii="Times New Roman" w:hAnsi="Times New Roman"/>
                <w:strike/>
                <w:color w:val="FF0000"/>
                <w:sz w:val="22"/>
              </w:rPr>
              <w:t>172</w:t>
            </w:r>
            <w:r>
              <w:rPr>
                <w:rFonts w:ascii="Times New Roman" w:hAnsi="Times New Roman"/>
                <w:color w:val="0000FF"/>
                <w:sz w:val="22"/>
                <w:u w:val="single"/>
              </w:rPr>
              <w:t>167</w:t>
            </w:r>
          </w:p>
        </w:tc>
      </w:tr>
    </w:tbl>
    <w:p>
      <w:pPr>
        <w:pStyle w:val="TextBody"/>
        <w:bidi w:val="0"/>
        <w:spacing w:before="240" w:after="283"/>
        <w:jc w:val="center"/>
        <w:rPr>
          <w:rFonts w:ascii="Times New Roman" w:hAnsi="Times New Roman"/>
          <w:color w:val="000000"/>
          <w:sz w:val="22"/>
        </w:rPr>
      </w:pPr>
      <w:r>
        <w:rPr>
          <w:rFonts w:ascii="Times New Roman" w:hAnsi="Times New Roman"/>
          <w:color w:val="000000"/>
          <w:sz w:val="22"/>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pPr>
      <w:r>
        <w:rPr/>
        <w:t> </w:t>
      </w:r>
    </w:p>
    <w:tbl>
      <w:tblPr>
        <w:tblW w:w="7292" w:type="dxa"/>
        <w:jc w:val="left"/>
        <w:tblInd w:w="0" w:type="dxa"/>
        <w:tblLayout w:type="fixed"/>
        <w:tblCellMar>
          <w:top w:w="28" w:type="dxa"/>
          <w:left w:w="28" w:type="dxa"/>
          <w:bottom w:w="28" w:type="dxa"/>
          <w:right w:w="28" w:type="dxa"/>
        </w:tblCellMar>
      </w:tblPr>
      <w:tblGrid>
        <w:gridCol w:w="1411"/>
        <w:gridCol w:w="5881"/>
      </w:tblGrid>
      <w:tr>
        <w:trPr/>
        <w:tc>
          <w:tcPr>
            <w:tcW w:w="1411" w:type="dxa"/>
            <w:tcBorders/>
            <w:vAlign w:val="center"/>
          </w:tcPr>
          <w:p>
            <w:pPr>
              <w:pStyle w:val="TableContents"/>
              <w:bidi w:val="0"/>
              <w:spacing w:before="0" w:after="283"/>
              <w:jc w:val="left"/>
              <w:rPr>
                <w:sz w:val="4"/>
                <w:szCs w:val="4"/>
              </w:rPr>
            </w:pPr>
            <w:r>
              <w:rPr>
                <w:sz w:val="4"/>
                <w:szCs w:val="4"/>
              </w:rPr>
            </w:r>
          </w:p>
        </w:tc>
        <w:tc>
          <w:tcPr>
            <w:tcW w:w="588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SCHEDULES</w:t>
            </w:r>
          </w:p>
        </w:tc>
        <w:tc>
          <w:tcPr>
            <w:tcW w:w="5881"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2.01</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Commitments and Applicable Percentages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2.03</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Letter of Credit Commitments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5.08(b)</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Existing Liens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5.08(c)</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Owned Real Property</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5.08(d)(i)</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 xml:space="preserve">Leased Real Property (Lessee) </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5.08(d)(ii)</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Leased Real Property (Lessor)</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5.08(e)</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Existing Investments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5.09</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Environmental Matters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5.10</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Insurance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5.12(d)</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Pension Plans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5.13</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Subsidiaries and Other Equity Investments; Loan Parties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5.17</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Intellectual Property Matters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6.16</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Post-Closing Matters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7.02</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Existing Indebtedness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7.09</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Burdensome Agreements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11.02</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Administrative Agent’s Office, Certain Addresses for Notices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EXHIBITS</w:t>
            </w:r>
          </w:p>
        </w:tc>
        <w:tc>
          <w:tcPr>
            <w:tcW w:w="5881"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1411" w:type="dxa"/>
            <w:tcBorders/>
            <w:tcMar>
              <w:top w:w="0" w:type="dxa"/>
              <w:left w:w="0" w:type="dxa"/>
              <w:bottom w:w="0" w:type="dxa"/>
              <w:right w:w="0" w:type="dxa"/>
            </w:tcMar>
            <w:vAlign w:val="center"/>
          </w:tcPr>
          <w:p>
            <w:pPr>
              <w:pStyle w:val="TableContents"/>
              <w:bidi w:val="0"/>
              <w:spacing w:before="20" w:after="20"/>
              <w:jc w:val="left"/>
              <w:rPr/>
            </w:pPr>
            <w:r>
              <w:rPr/>
              <w:t> </w:t>
            </w:r>
          </w:p>
        </w:tc>
        <w:tc>
          <w:tcPr>
            <w:tcW w:w="5881" w:type="dxa"/>
            <w:tcBorders/>
            <w:tcMar>
              <w:top w:w="0" w:type="dxa"/>
              <w:left w:w="0" w:type="dxa"/>
              <w:bottom w:w="0" w:type="dxa"/>
              <w:right w:w="0" w:type="dxa"/>
            </w:tcMar>
            <w:vAlign w:val="center"/>
          </w:tcPr>
          <w:p>
            <w:pPr>
              <w:pStyle w:val="TableContents"/>
              <w:bidi w:val="0"/>
              <w:spacing w:before="20" w:after="20"/>
              <w:jc w:val="left"/>
              <w:rPr/>
            </w:pPr>
            <w:r>
              <w:rPr/>
              <w:t> </w:t>
            </w:r>
          </w:p>
        </w:tc>
      </w:tr>
      <w:tr>
        <w:trPr/>
        <w:tc>
          <w:tcPr>
            <w:tcW w:w="1411" w:type="dxa"/>
            <w:tcBorders/>
            <w:tcMar>
              <w:top w:w="0" w:type="dxa"/>
              <w:left w:w="0" w:type="dxa"/>
              <w:bottom w:w="0" w:type="dxa"/>
              <w:right w:w="0" w:type="dxa"/>
            </w:tcMar>
            <w:vAlign w:val="center"/>
          </w:tcPr>
          <w:p>
            <w:pPr>
              <w:pStyle w:val="TableContents"/>
              <w:bidi w:val="0"/>
              <w:spacing w:before="20" w:after="20"/>
              <w:jc w:val="left"/>
              <w:rPr/>
            </w:pPr>
            <w:r>
              <w:rPr/>
              <w:t> </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b/>
                <w:i/>
                <w:color w:val="000000"/>
                <w:sz w:val="22"/>
              </w:rPr>
            </w:pPr>
            <w:r>
              <w:rPr>
                <w:rFonts w:ascii="Times New Roman" w:hAnsi="Times New Roman"/>
                <w:b/>
                <w:i/>
                <w:color w:val="000000"/>
                <w:sz w:val="22"/>
              </w:rPr>
              <w:t>Form of</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A</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Committed Loan Notice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B</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Swingline Loan Notice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C-1</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[Reserved]</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C-2</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[Reserved]</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C-3</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Incremental Term Note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C-4</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Revolving Credit Note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D</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Compliance Certificate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E-1</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Assignment and Assumption</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E-2</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Administrative Questionnaire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F</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U.S. Tax Compliance Certificates</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G</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Notice of Loan Prepayment</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H</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Secured Party Designation Notice</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I</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Letter of Credit Report</w:t>
            </w:r>
          </w:p>
        </w:tc>
      </w:tr>
      <w:tr>
        <w:trPr/>
        <w:tc>
          <w:tcPr>
            <w:tcW w:w="141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J</w:t>
            </w:r>
          </w:p>
        </w:tc>
        <w:tc>
          <w:tcPr>
            <w:tcW w:w="5881" w:type="dxa"/>
            <w:tcBorders/>
            <w:tcMar>
              <w:top w:w="0" w:type="dxa"/>
              <w:left w:w="0" w:type="dxa"/>
              <w:bottom w:w="0" w:type="dxa"/>
              <w:right w:w="0" w:type="dxa"/>
            </w:tcMar>
            <w:vAlign w:val="center"/>
          </w:tcPr>
          <w:p>
            <w:pPr>
              <w:pStyle w:val="TableContents"/>
              <w:bidi w:val="0"/>
              <w:spacing w:before="20" w:after="20"/>
              <w:jc w:val="left"/>
              <w:rPr>
                <w:rFonts w:ascii="Times New Roman" w:hAnsi="Times New Roman"/>
                <w:color w:val="000000"/>
                <w:sz w:val="22"/>
              </w:rPr>
            </w:pPr>
            <w:r>
              <w:rPr>
                <w:rFonts w:ascii="Times New Roman" w:hAnsi="Times New Roman"/>
                <w:color w:val="000000"/>
                <w:sz w:val="22"/>
              </w:rPr>
              <w:t>Notice of Additional L/C Issuer</w:t>
            </w:r>
          </w:p>
        </w:tc>
      </w:tr>
    </w:tbl>
    <w:p>
      <w:pPr>
        <w:pStyle w:val="Heading2"/>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FF"/>
          <w:sz w:val="22"/>
          <w:u w:val="single"/>
        </w:rPr>
      </w:pPr>
      <w:r>
        <w:rPr>
          <w:rFonts w:ascii="Times New Roman" w:hAnsi="Times New Roman"/>
          <w:b/>
          <w:color w:val="0000FF"/>
          <w:sz w:val="22"/>
          <w:u w:val="single"/>
        </w:rPr>
        <w:t>FINAL</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THIRD AMENDED AND RESTATED CREDIT AGREEMENT</w:t>
      </w:r>
    </w:p>
    <w:p>
      <w:pPr>
        <w:pStyle w:val="TextBody"/>
        <w:bidi w:val="0"/>
        <w:spacing w:before="240" w:after="283"/>
        <w:jc w:val="both"/>
        <w:rPr>
          <w:rFonts w:ascii="Times New Roman" w:hAnsi="Times New Roman"/>
          <w:sz w:val="20"/>
        </w:rPr>
      </w:pPr>
      <w:r>
        <w:rPr>
          <w:rFonts w:ascii="Times New Roman" w:hAnsi="Times New Roman"/>
          <w:color w:val="000000"/>
          <w:sz w:val="22"/>
        </w:rPr>
        <w:t>This THIRD AMENDED AND RESTATED CREDIT AGREEMENT (</w:t>
      </w:r>
      <w:r>
        <w:rPr>
          <w:rFonts w:ascii="Times New Roman" w:hAnsi="Times New Roman"/>
          <w:color w:val="000000"/>
          <w:sz w:val="20"/>
        </w:rPr>
        <w:t>“</w:t>
      </w:r>
      <w:r>
        <w:rPr>
          <w:rFonts w:ascii="Times New Roman" w:hAnsi="Times New Roman"/>
          <w:i/>
          <w:color w:val="000000"/>
          <w:sz w:val="22"/>
        </w:rPr>
        <w:t>Agreement”</w:t>
      </w:r>
      <w:r>
        <w:rPr>
          <w:rFonts w:ascii="Times New Roman" w:hAnsi="Times New Roman"/>
          <w:color w:val="000000"/>
          <w:sz w:val="22"/>
        </w:rPr>
        <w:t xml:space="preserve">) is entered into as of May 26, 2023, among DIODES INCORPORATED, a Delaware corporation (the </w:t>
      </w:r>
      <w:r>
        <w:rPr>
          <w:rFonts w:ascii="Times New Roman" w:hAnsi="Times New Roman"/>
          <w:color w:val="000000"/>
          <w:sz w:val="20"/>
        </w:rPr>
        <w:t>“</w:t>
      </w:r>
      <w:r>
        <w:rPr>
          <w:rFonts w:ascii="Times New Roman" w:hAnsi="Times New Roman"/>
          <w:i/>
          <w:color w:val="000000"/>
          <w:sz w:val="22"/>
        </w:rPr>
        <w:t>Domestic Borrower”</w:t>
      </w:r>
      <w:r>
        <w:rPr>
          <w:rFonts w:ascii="Times New Roman" w:hAnsi="Times New Roman"/>
          <w:color w:val="000000"/>
          <w:sz w:val="22"/>
        </w:rPr>
        <w:t xml:space="preserve">), DIODES HOLDINGS UK LIMITED, a company incorporated and registered under the laws of England and Wales with registration number 06475363 (the </w:t>
      </w:r>
      <w:r>
        <w:rPr>
          <w:rFonts w:ascii="Times New Roman" w:hAnsi="Times New Roman"/>
          <w:color w:val="000000"/>
          <w:sz w:val="20"/>
        </w:rPr>
        <w:t>“</w:t>
      </w:r>
      <w:r>
        <w:rPr>
          <w:rFonts w:ascii="Times New Roman" w:hAnsi="Times New Roman"/>
          <w:i/>
          <w:color w:val="000000"/>
          <w:sz w:val="22"/>
        </w:rPr>
        <w:t xml:space="preserve">Foreign Borrower” </w:t>
      </w:r>
      <w:r>
        <w:rPr>
          <w:rFonts w:ascii="Times New Roman" w:hAnsi="Times New Roman"/>
          <w:color w:val="000000"/>
          <w:sz w:val="22"/>
        </w:rPr>
        <w:t xml:space="preserve">and together with the Domestic Borrower, the </w:t>
      </w:r>
      <w:r>
        <w:rPr>
          <w:rFonts w:ascii="Times New Roman" w:hAnsi="Times New Roman"/>
          <w:color w:val="000000"/>
          <w:sz w:val="20"/>
        </w:rPr>
        <w:t>“</w:t>
      </w:r>
      <w:r>
        <w:rPr>
          <w:rFonts w:ascii="Times New Roman" w:hAnsi="Times New Roman"/>
          <w:i/>
          <w:color w:val="000000"/>
          <w:sz w:val="22"/>
        </w:rPr>
        <w:t xml:space="preserve">Borrowers” </w:t>
      </w:r>
      <w:r>
        <w:rPr>
          <w:rFonts w:ascii="Times New Roman" w:hAnsi="Times New Roman"/>
          <w:color w:val="000000"/>
          <w:sz w:val="22"/>
        </w:rPr>
        <w:t xml:space="preserve">and each, individually, a </w:t>
      </w:r>
      <w:r>
        <w:rPr>
          <w:rFonts w:ascii="Times New Roman" w:hAnsi="Times New Roman"/>
          <w:color w:val="000000"/>
          <w:sz w:val="20"/>
        </w:rPr>
        <w:t>“</w:t>
      </w:r>
      <w:r>
        <w:rPr>
          <w:rFonts w:ascii="Times New Roman" w:hAnsi="Times New Roman"/>
          <w:i/>
          <w:color w:val="000000"/>
          <w:sz w:val="22"/>
        </w:rPr>
        <w:t>Borrower”</w:t>
      </w:r>
      <w:r>
        <w:rPr>
          <w:rFonts w:ascii="Times New Roman" w:hAnsi="Times New Roman"/>
          <w:color w:val="000000"/>
          <w:sz w:val="22"/>
        </w:rPr>
        <w:t xml:space="preserve">), certain Subsidiaries of the Domestic Borrower identified on the signature pages hereto as guarantors, each lender from time to time party hereto (collectively, the </w:t>
      </w:r>
      <w:r>
        <w:rPr>
          <w:rFonts w:ascii="Times New Roman" w:hAnsi="Times New Roman"/>
          <w:color w:val="000000"/>
          <w:sz w:val="20"/>
        </w:rPr>
        <w:t>“</w:t>
      </w:r>
      <w:r>
        <w:rPr>
          <w:rFonts w:ascii="Times New Roman" w:hAnsi="Times New Roman"/>
          <w:i/>
          <w:color w:val="000000"/>
          <w:sz w:val="22"/>
        </w:rPr>
        <w:t xml:space="preserve">Lenders” </w:t>
      </w:r>
      <w:r>
        <w:rPr>
          <w:rFonts w:ascii="Times New Roman" w:hAnsi="Times New Roman"/>
          <w:color w:val="000000"/>
          <w:sz w:val="22"/>
        </w:rPr>
        <w:t xml:space="preserve">and individually, a </w:t>
      </w:r>
      <w:r>
        <w:rPr>
          <w:rFonts w:ascii="Times New Roman" w:hAnsi="Times New Roman"/>
          <w:color w:val="000000"/>
          <w:sz w:val="20"/>
        </w:rPr>
        <w:t>“</w:t>
      </w:r>
      <w:r>
        <w:rPr>
          <w:rFonts w:ascii="Times New Roman" w:hAnsi="Times New Roman"/>
          <w:i/>
          <w:color w:val="000000"/>
          <w:sz w:val="22"/>
        </w:rPr>
        <w:t>Lender”</w:t>
      </w:r>
      <w:r>
        <w:rPr>
          <w:rFonts w:ascii="Times New Roman" w:hAnsi="Times New Roman"/>
          <w:color w:val="000000"/>
          <w:sz w:val="22"/>
        </w:rPr>
        <w:t>), BANK OF AMERICA, N.A., as Administrative Agent, Swingline Lender and an L/C Issuer and the other L/C Issuers from time to time party hereto.</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PRELIMINARY STATEMENTS: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Borrowers are party to that certain Second Amended and Restated Credit Agreement, dated as of May 29, 2020 (as amended by that certain First Amendment to Second Amended and Restated Credit Agreement dated as of September 21, 2020, as amended by that certain Consent Agreement with respect to Second Amended and Restated Credit Agreement and Foreign Security Agreements dated as of November 2, 2020, as amended by that certain Consent and Amendment No. 2 to Second Amended and Restated Credit Agreement dated as of November 17, 2020, as amended by the Joinder Agreement dated as of November 30, 2020, as amended by that certain Amendment No. 3 to Second Amended and Restated Credit Agreement dated as of March 4, 2021, as amended by that certain Amendment No. 4 to Second Amended and Restated Credit Agreement, Consent and Release dated as of November 15, 2021, as amended by that certain Amendment No. 5 to Second Amended and Restated Credit Agreement and Consent dated as of December 8, 2021, as amended by that certain Amendment No. 6 to Second Amended and Restated Credit Agreement, Consent and Incremental Term Assumption Agreement dated as of December 29, 2021, and as amended by that certain Joinder Agreement dated as of February 3, 2022, and as further amended, restated, supplemented or otherwise modified from time to time prior to the date hereof, the </w:t>
      </w:r>
      <w:r>
        <w:rPr>
          <w:rFonts w:ascii="Times New Roman" w:hAnsi="Times New Roman"/>
          <w:color w:val="000000"/>
          <w:sz w:val="20"/>
        </w:rPr>
        <w:t>“</w:t>
      </w:r>
      <w:r>
        <w:rPr>
          <w:rFonts w:ascii="Times New Roman" w:hAnsi="Times New Roman"/>
          <w:i/>
          <w:color w:val="000000"/>
          <w:sz w:val="22"/>
        </w:rPr>
        <w:t>Existing Credit Agreement”</w:t>
      </w:r>
      <w:r>
        <w:rPr>
          <w:rFonts w:ascii="Times New Roman" w:hAnsi="Times New Roman"/>
          <w:color w:val="000000"/>
          <w:sz w:val="22"/>
        </w:rPr>
        <w:t>), among the Borrowers, the Guarantors (as defined therein), the lenders party thereto and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have requested that the Administrative Agent, the Swingline Lender, the L/C Issuers and the Lenders amend and restate the Existing Credit Agreement on the terms and conditions set forth herein, and the Administrative Agent, the Swingline Lender, the L/C Issuers and the Lenders agree to amend and restate the Existing Credit Agreement on the terms and conditions set forth herein to, among other things, extend the Maturity Date and provide for an increase in the Revolving Credit Commitment (as defined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consideration of the mutual covenants and agreements herein contained, the parties hereto covenant and agree as follows: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FF"/>
          <w:sz w:val="18"/>
          <w:u w:val="single"/>
        </w:rPr>
        <w:t>Diodes - Exhibit A to Amendment No. 1 to Third A&amp;R Credit Agreement</w:t>
      </w:r>
      <w:r>
        <w:rPr>
          <w:rFonts w:ascii="Times New Roman" w:hAnsi="Times New Roman"/>
          <w:color w:val="0000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ARTICLE 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DEFINITIONS AND ACCOUNTING TERMS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1.01. Defined Terms</w:t>
      </w:r>
      <w:r>
        <w:rPr>
          <w:rFonts w:ascii="Times New Roman" w:hAnsi="Times New Roman"/>
          <w:color w:val="000000"/>
          <w:sz w:val="22"/>
        </w:rPr>
        <w:t>. As used in this Agreement, the following terms shall have the meanings set forth below:</w:t>
      </w:r>
    </w:p>
    <w:p>
      <w:pPr>
        <w:pStyle w:val="TextBody"/>
        <w:bidi w:val="0"/>
        <w:spacing w:before="240" w:after="283"/>
        <w:jc w:val="left"/>
        <w:rPr/>
      </w:pPr>
      <w:r>
        <w:rPr>
          <w:color w:val="0000FF"/>
          <w:u w:val="single"/>
        </w:rPr>
        <w:t>“</w:t>
      </w:r>
      <w:r>
        <w:rPr>
          <w:rFonts w:ascii="Times New Roman" w:hAnsi="Times New Roman"/>
          <w:i/>
          <w:color w:val="0000FF"/>
          <w:sz w:val="22"/>
          <w:u w:val="single"/>
        </w:rPr>
        <w:t xml:space="preserve">Act” </w:t>
      </w:r>
      <w:r>
        <w:rPr>
          <w:rFonts w:ascii="Times New Roman" w:hAnsi="Times New Roman"/>
          <w:color w:val="0000FF"/>
          <w:sz w:val="22"/>
          <w:u w:val="single"/>
        </w:rPr>
        <w:t>has the meaning specified in Section 11.19.</w:t>
      </w:r>
    </w:p>
    <w:p>
      <w:pPr>
        <w:pStyle w:val="TextBody"/>
        <w:bidi w:val="0"/>
        <w:spacing w:before="240" w:after="283"/>
        <w:jc w:val="both"/>
        <w:rPr/>
      </w:pPr>
      <w:r>
        <w:rPr>
          <w:color w:val="000000"/>
        </w:rPr>
        <w:t>“</w:t>
      </w:r>
      <w:r>
        <w:rPr>
          <w:rFonts w:ascii="Times New Roman" w:hAnsi="Times New Roman"/>
          <w:i/>
          <w:color w:val="000000"/>
          <w:sz w:val="22"/>
        </w:rPr>
        <w:t xml:space="preserve">Additional Secured Obligations” </w:t>
      </w:r>
      <w:r>
        <w:rPr>
          <w:rFonts w:ascii="Times New Roman" w:hAnsi="Times New Roman"/>
          <w:color w:val="000000"/>
          <w:sz w:val="22"/>
        </w:rPr>
        <w:t xml:space="preserve">means all obligations arising under Secured Cash Management Agreements and Secured Hedge Agreements,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hAnsi="Times New Roman"/>
          <w:i/>
          <w:color w:val="000000"/>
          <w:sz w:val="22"/>
        </w:rPr>
        <w:t xml:space="preserve">provided </w:t>
      </w:r>
      <w:r>
        <w:rPr>
          <w:rFonts w:ascii="Times New Roman" w:hAnsi="Times New Roman"/>
          <w:color w:val="000000"/>
          <w:sz w:val="22"/>
        </w:rPr>
        <w:t>that Additional Secured Obligations of a Loan Party shall exclude any Excluded Swap Obligations with respect to such Loan Party.</w:t>
      </w:r>
    </w:p>
    <w:p>
      <w:pPr>
        <w:pStyle w:val="TextBody"/>
        <w:bidi w:val="0"/>
        <w:spacing w:before="240" w:after="283"/>
        <w:jc w:val="both"/>
        <w:rPr/>
      </w:pPr>
      <w:r>
        <w:rPr>
          <w:color w:val="000000"/>
        </w:rPr>
        <w:t>“</w:t>
      </w:r>
      <w:r>
        <w:rPr>
          <w:rFonts w:ascii="Times New Roman" w:hAnsi="Times New Roman"/>
          <w:i/>
          <w:color w:val="000000"/>
          <w:sz w:val="22"/>
        </w:rPr>
        <w:t xml:space="preserve">Administrative Agent” </w:t>
      </w:r>
      <w:r>
        <w:rPr>
          <w:rFonts w:ascii="Times New Roman" w:hAnsi="Times New Roman"/>
          <w:color w:val="000000"/>
          <w:sz w:val="22"/>
        </w:rPr>
        <w:t>means Bank of America (or any of its designated branch offices or affiliates) in its capacity as administrative agent under any of the Loan Documents, or any successor administrative agent.</w:t>
      </w:r>
    </w:p>
    <w:p>
      <w:pPr>
        <w:pStyle w:val="TextBody"/>
        <w:bidi w:val="0"/>
        <w:spacing w:before="240" w:after="283"/>
        <w:jc w:val="both"/>
        <w:rPr/>
      </w:pPr>
      <w:r>
        <w:rPr>
          <w:color w:val="000000"/>
        </w:rPr>
        <w:t>“</w:t>
      </w:r>
      <w:r>
        <w:rPr>
          <w:rFonts w:ascii="Times New Roman" w:hAnsi="Times New Roman"/>
          <w:i/>
          <w:color w:val="000000"/>
          <w:sz w:val="22"/>
        </w:rPr>
        <w:t xml:space="preserve">Administrative Agent’s Office” </w:t>
      </w:r>
      <w:r>
        <w:rPr>
          <w:rFonts w:ascii="Times New Roman" w:hAnsi="Times New Roman"/>
          <w:color w:val="000000"/>
          <w:sz w:val="22"/>
        </w:rPr>
        <w:t>means, with respect to any currency, the Administrative Agent’s address and, as appropriate, account as set forth on Schedule 11.02 with respect to such currency, or such other address or account with respect to such currency as the Administrative Agent may from time to time notify the Domestic Borrower and the Lenders.</w:t>
      </w:r>
    </w:p>
    <w:p>
      <w:pPr>
        <w:pStyle w:val="TextBody"/>
        <w:bidi w:val="0"/>
        <w:spacing w:before="240" w:after="283"/>
        <w:jc w:val="both"/>
        <w:rPr/>
      </w:pPr>
      <w:r>
        <w:rPr>
          <w:color w:val="000000"/>
        </w:rPr>
        <w:t>“</w:t>
      </w:r>
      <w:r>
        <w:rPr>
          <w:rFonts w:ascii="Times New Roman" w:hAnsi="Times New Roman"/>
          <w:i/>
          <w:color w:val="000000"/>
          <w:sz w:val="22"/>
        </w:rPr>
        <w:t xml:space="preserve">Administrative Questionnaire” </w:t>
      </w:r>
      <w:r>
        <w:rPr>
          <w:rFonts w:ascii="Times New Roman" w:hAnsi="Times New Roman"/>
          <w:color w:val="000000"/>
          <w:sz w:val="22"/>
        </w:rPr>
        <w:t>means an administrative questionnaire in substantially the form of</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Exhibit E-2 </w:t>
      </w:r>
      <w:r>
        <w:rPr>
          <w:rFonts w:ascii="Times New Roman" w:hAnsi="Times New Roman"/>
          <w:color w:val="000000"/>
          <w:sz w:val="22"/>
        </w:rPr>
        <w:t>or any other form approved by the Administrative Agent.</w:t>
      </w:r>
    </w:p>
    <w:p>
      <w:pPr>
        <w:pStyle w:val="TextBody"/>
        <w:bidi w:val="0"/>
        <w:spacing w:before="240" w:after="283"/>
        <w:jc w:val="both"/>
        <w:rPr/>
      </w:pPr>
      <w:r>
        <w:rPr>
          <w:color w:val="000000"/>
        </w:rPr>
        <w:t>“</w:t>
      </w:r>
      <w:r>
        <w:rPr>
          <w:rFonts w:ascii="Times New Roman" w:hAnsi="Times New Roman"/>
          <w:i/>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240" w:after="283"/>
        <w:jc w:val="both"/>
        <w:rPr/>
      </w:pPr>
      <w:r>
        <w:rPr>
          <w:color w:val="000000"/>
        </w:rPr>
        <w:t>“</w:t>
      </w:r>
      <w:r>
        <w:rPr>
          <w:rFonts w:ascii="Times New Roman" w:hAnsi="Times New Roman"/>
          <w:i/>
          <w:color w:val="000000"/>
          <w:sz w:val="22"/>
        </w:rPr>
        <w:t xml:space="preserve">Affiliate” </w:t>
      </w:r>
      <w:r>
        <w:rPr>
          <w:rFonts w:ascii="Times New Roman" w:hAnsi="Times New Roman"/>
          <w:color w:val="000000"/>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240" w:after="283"/>
        <w:jc w:val="both"/>
        <w:rPr/>
      </w:pPr>
      <w:r>
        <w:rPr>
          <w:color w:val="000000"/>
        </w:rPr>
        <w:t>“</w:t>
      </w:r>
      <w:r>
        <w:rPr>
          <w:rFonts w:ascii="Times New Roman" w:hAnsi="Times New Roman"/>
          <w:i/>
          <w:color w:val="000000"/>
          <w:sz w:val="22"/>
        </w:rPr>
        <w:t xml:space="preserve">Agent Parties” </w:t>
      </w:r>
      <w:r>
        <w:rPr>
          <w:rFonts w:ascii="Times New Roman" w:hAnsi="Times New Roman"/>
          <w:color w:val="000000"/>
          <w:sz w:val="22"/>
        </w:rPr>
        <w:t>has the meaning specified in Section 11.02(c).</w:t>
      </w:r>
    </w:p>
    <w:p>
      <w:pPr>
        <w:pStyle w:val="TextBody"/>
        <w:bidi w:val="0"/>
        <w:spacing w:before="240" w:after="283"/>
        <w:jc w:val="both"/>
        <w:rPr/>
      </w:pPr>
      <w:r>
        <w:rPr>
          <w:color w:val="000000"/>
        </w:rPr>
        <w:t>“</w:t>
      </w:r>
      <w:r>
        <w:rPr>
          <w:rFonts w:ascii="Times New Roman" w:hAnsi="Times New Roman"/>
          <w:i/>
          <w:color w:val="000000"/>
          <w:sz w:val="22"/>
        </w:rPr>
        <w:t xml:space="preserve">Aggregate Commitments” </w:t>
      </w:r>
      <w:r>
        <w:rPr>
          <w:rFonts w:ascii="Times New Roman" w:hAnsi="Times New Roman"/>
          <w:color w:val="000000"/>
          <w:sz w:val="22"/>
        </w:rPr>
        <w:t>means the Commitments of all the Lenders. “</w:t>
      </w:r>
      <w:r>
        <w:rPr>
          <w:rFonts w:ascii="Times New Roman" w:hAnsi="Times New Roman"/>
          <w:i/>
          <w:color w:val="000000"/>
          <w:sz w:val="22"/>
        </w:rPr>
        <w:t>Agreed Currency</w:t>
      </w:r>
      <w:r>
        <w:rPr>
          <w:rFonts w:ascii="Times New Roman" w:hAnsi="Times New Roman"/>
          <w:color w:val="000000"/>
          <w:sz w:val="20"/>
        </w:rPr>
        <w:t xml:space="preserve">” </w:t>
      </w:r>
      <w:r>
        <w:rPr>
          <w:rFonts w:ascii="Times New Roman" w:hAnsi="Times New Roman"/>
          <w:color w:val="000000"/>
          <w:sz w:val="22"/>
        </w:rPr>
        <w:t xml:space="preserve">means Dollars or any Alternative Currency, as applicable. </w:t>
      </w:r>
      <w:r>
        <w:rPr>
          <w:rFonts w:ascii="Times New Roman" w:hAnsi="Times New Roman"/>
          <w:color w:val="000000"/>
          <w:sz w:val="20"/>
        </w:rPr>
        <w:t>“</w:t>
      </w:r>
      <w:r>
        <w:rPr>
          <w:rFonts w:ascii="Times New Roman" w:hAnsi="Times New Roman"/>
          <w:i/>
          <w:color w:val="000000"/>
          <w:sz w:val="22"/>
        </w:rPr>
        <w:t xml:space="preserve">Agreement” </w:t>
      </w:r>
      <w:r>
        <w:rPr>
          <w:rFonts w:ascii="Times New Roman" w:hAnsi="Times New Roman"/>
          <w:color w:val="000000"/>
          <w:sz w:val="22"/>
        </w:rPr>
        <w:t>means this Third Amended and Restated Credit Agreement. “</w:t>
      </w:r>
      <w:r>
        <w:rPr>
          <w:rFonts w:ascii="Times New Roman" w:hAnsi="Times New Roman"/>
          <w:i/>
          <w:color w:val="000000"/>
          <w:sz w:val="22"/>
        </w:rPr>
        <w:t>Agreement Currency</w:t>
      </w:r>
      <w:r>
        <w:rPr>
          <w:rFonts w:ascii="Times New Roman" w:hAnsi="Times New Roman"/>
          <w:color w:val="000000"/>
          <w:sz w:val="20"/>
        </w:rPr>
        <w:t xml:space="preserve">” </w:t>
      </w:r>
      <w:r>
        <w:rPr>
          <w:rFonts w:ascii="Times New Roman" w:hAnsi="Times New Roman"/>
          <w:color w:val="000000"/>
          <w:sz w:val="22"/>
        </w:rPr>
        <w:t>has the meaning specified in Section 11.21.</w:t>
      </w:r>
    </w:p>
    <w:p>
      <w:pPr>
        <w:pStyle w:val="TextBody"/>
        <w:bidi w:val="0"/>
        <w:spacing w:before="240" w:after="283"/>
        <w:jc w:val="both"/>
        <w:rPr/>
      </w:pPr>
      <w:r>
        <w:rPr>
          <w:color w:val="000000"/>
        </w:rPr>
        <w:t>“</w:t>
      </w:r>
      <w:r>
        <w:rPr>
          <w:rFonts w:ascii="Times New Roman" w:hAnsi="Times New Roman"/>
          <w:i/>
          <w:color w:val="000000"/>
          <w:sz w:val="22"/>
        </w:rPr>
        <w:t xml:space="preserve">Alternative Currency” </w:t>
      </w:r>
      <w:r>
        <w:rPr>
          <w:rFonts w:ascii="Times New Roman" w:hAnsi="Times New Roman"/>
          <w:color w:val="000000"/>
          <w:sz w:val="22"/>
        </w:rPr>
        <w:t xml:space="preserve">means each of Euro, Sterling and each other currency (other than Dollars) that is approved in accordance with Section 1.06; </w:t>
      </w:r>
      <w:r>
        <w:rPr>
          <w:rFonts w:ascii="Times New Roman" w:hAnsi="Times New Roman"/>
          <w:i/>
          <w:color w:val="000000"/>
          <w:sz w:val="22"/>
        </w:rPr>
        <w:t xml:space="preserve">provided that </w:t>
      </w:r>
      <w:r>
        <w:rPr>
          <w:rFonts w:ascii="Times New Roman" w:hAnsi="Times New Roman"/>
          <w:color w:val="000000"/>
          <w:sz w:val="22"/>
        </w:rPr>
        <w:t>for each Alternative Currency, such requested currency is an Eligible Currency.</w:t>
      </w:r>
    </w:p>
    <w:p>
      <w:pPr>
        <w:pStyle w:val="TextBody"/>
        <w:bidi w:val="0"/>
        <w:spacing w:before="240" w:after="283"/>
        <w:jc w:val="both"/>
        <w:rPr/>
      </w:pPr>
      <w:r>
        <w:rPr>
          <w:color w:val="000000"/>
        </w:rPr>
        <w:t>“</w:t>
      </w:r>
      <w:r>
        <w:rPr>
          <w:rFonts w:ascii="Times New Roman" w:hAnsi="Times New Roman"/>
          <w:i/>
          <w:color w:val="000000"/>
          <w:sz w:val="22"/>
        </w:rPr>
        <w:t>Alternative Currency Conforming Changes</w:t>
      </w:r>
      <w:r>
        <w:rPr>
          <w:rFonts w:ascii="Times New Roman" w:hAnsi="Times New Roman"/>
          <w:color w:val="000000"/>
          <w:sz w:val="20"/>
        </w:rPr>
        <w:t xml:space="preserve">” </w:t>
      </w:r>
      <w:r>
        <w:rPr>
          <w:rFonts w:ascii="Times New Roman" w:hAnsi="Times New Roman"/>
          <w:color w:val="000000"/>
          <w:sz w:val="22"/>
        </w:rPr>
        <w:t>means, with respect to the use, administration of or any conventions associated with SONIA or EURIBOR or any proposed Successor Rate for any currency, any conforming changes to the definitions of “SONIA”, “EURIBOR”, “Interest Period”, timing and frequency of determining rates and making payments of interest and other technical, administrative or operational matters (including, for the avoidance of doubt, the definition of “Business Day”, timing of borrowing requests or prepayment, conversion or continuation notices and length of lookback periods) as may be appropriate,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is reasonably necessary in connection with the administration of this Agreement and any other Loan Document).</w:t>
      </w:r>
    </w:p>
    <w:p>
      <w:pPr>
        <w:pStyle w:val="TextBody"/>
        <w:bidi w:val="0"/>
        <w:spacing w:before="240" w:after="283"/>
        <w:jc w:val="both"/>
        <w:rPr/>
      </w:pPr>
      <w:r>
        <w:rPr>
          <w:color w:val="000000"/>
        </w:rPr>
        <w:t>“</w:t>
      </w:r>
      <w:r>
        <w:rPr>
          <w:rFonts w:ascii="Times New Roman" w:hAnsi="Times New Roman"/>
          <w:i/>
          <w:color w:val="000000"/>
          <w:sz w:val="22"/>
        </w:rPr>
        <w:t>Alternative Currency Daily Rate</w:t>
      </w:r>
      <w:r>
        <w:rPr>
          <w:rFonts w:ascii="Times New Roman" w:hAnsi="Times New Roman"/>
          <w:color w:val="000000"/>
          <w:sz w:val="20"/>
        </w:rPr>
        <w:t xml:space="preserve">” </w:t>
      </w:r>
      <w:r>
        <w:rPr>
          <w:rFonts w:ascii="Times New Roman" w:hAnsi="Times New Roman"/>
          <w:color w:val="000000"/>
          <w:sz w:val="22"/>
        </w:rPr>
        <w:t>means, for any day, with respect to any Credit Extension: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denominated in Sterling, the rate per annum equal to SONIA determined pursuant to the definition thereof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the SONIA Adjustment;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hAnsi="Times New Roman"/>
          <w:color w:val="000000"/>
          <w:sz w:val="22"/>
          <w:u w:val="single"/>
        </w:rPr>
        <w:t>Section 1.06</w:t>
      </w:r>
      <w:r>
        <w:rPr>
          <w:color w:val="000000"/>
        </w:rPr>
        <w:t xml:space="preserve">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adjustment (if any) determined by the Administrative Agent and the relevant Lenders pursuant to </w:t>
      </w:r>
      <w:r>
        <w:rPr>
          <w:rFonts w:ascii="Times New Roman" w:hAnsi="Times New Roman"/>
          <w:color w:val="000000"/>
          <w:sz w:val="22"/>
          <w:u w:val="single"/>
        </w:rPr>
        <w:t>Section 1.06</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spacing w:before="240" w:after="283"/>
        <w:jc w:val="both"/>
        <w:rPr/>
      </w:pPr>
      <w:r>
        <w:rPr>
          <w:color w:val="000000"/>
        </w:rPr>
        <w:t>“</w:t>
      </w:r>
      <w:r>
        <w:rPr>
          <w:rFonts w:ascii="Times New Roman" w:hAnsi="Times New Roman"/>
          <w:i/>
          <w:color w:val="000000"/>
          <w:sz w:val="22"/>
        </w:rPr>
        <w:t>Alternative Currency Daily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definition of “Alternative Currency Daily Rate.” All Alternative Currency Daily Rate Loans must be denominated in an Alternative Currency.</w:t>
      </w:r>
    </w:p>
    <w:p>
      <w:pPr>
        <w:pStyle w:val="TextBody"/>
        <w:bidi w:val="0"/>
        <w:spacing w:before="240" w:after="283"/>
        <w:jc w:val="both"/>
        <w:rPr/>
      </w:pPr>
      <w:r>
        <w:rPr>
          <w:color w:val="000000"/>
        </w:rPr>
        <w:t>“</w:t>
      </w:r>
      <w:r>
        <w:rPr>
          <w:rFonts w:ascii="Times New Roman" w:hAnsi="Times New Roman"/>
          <w:i/>
          <w:color w:val="000000"/>
          <w:sz w:val="22"/>
        </w:rPr>
        <w:t xml:space="preserve">Alternative Currency Equivalent” </w:t>
      </w:r>
      <w:r>
        <w:rPr>
          <w:rFonts w:ascii="Times New Roman" w:hAnsi="Times New Roman"/>
          <w:color w:val="000000"/>
          <w:sz w:val="22"/>
        </w:rPr>
        <w:t xml:space="preserve">means, at any time, with respect to any amount denominated in Dollars, the equivalent amount thereof in the applicable Alternative Currency as determined by the Administrative Agent or the Alternative Currency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no such rate is available, the “Alternative Currency Equivalent” shall be determined by the Administrative Agent or the Alternative Currency L/C Issuer, as the case may be, using any reasonable method of determination they deem appropriate in their sole discretion (and such determination shall be conclusive absent manifest error).</w:t>
      </w:r>
    </w:p>
    <w:p>
      <w:pPr>
        <w:pStyle w:val="TextBody"/>
        <w:bidi w:val="0"/>
        <w:spacing w:before="240" w:after="283"/>
        <w:jc w:val="both"/>
        <w:rPr/>
      </w:pPr>
      <w:r>
        <w:rPr>
          <w:color w:val="000000"/>
        </w:rPr>
        <w:t>“</w:t>
      </w:r>
      <w:r>
        <w:rPr>
          <w:rFonts w:ascii="Times New Roman" w:hAnsi="Times New Roman"/>
          <w:i/>
          <w:color w:val="000000"/>
          <w:sz w:val="22"/>
        </w:rPr>
        <w:t xml:space="preserve">Alternative Currency L/C Issuer” </w:t>
      </w:r>
      <w:r>
        <w:rPr>
          <w:rFonts w:ascii="Times New Roman" w:hAnsi="Times New Roman"/>
          <w:color w:val="000000"/>
          <w:sz w:val="22"/>
        </w:rPr>
        <w:t>means Bank of America, through itself or through one of its designated Affiliates or branch offices, in its capacity as issuer of Letters of Credit issued in any Alternative Currency, or any successor issuer thereof.</w:t>
      </w:r>
    </w:p>
    <w:p>
      <w:pPr>
        <w:pStyle w:val="TextBody"/>
        <w:bidi w:val="0"/>
        <w:spacing w:before="240" w:after="283"/>
        <w:jc w:val="both"/>
        <w:rPr/>
      </w:pPr>
      <w:r>
        <w:rPr>
          <w:color w:val="000000"/>
        </w:rPr>
        <w:t>“</w:t>
      </w:r>
      <w:r>
        <w:rPr>
          <w:rFonts w:ascii="Times New Roman" w:hAnsi="Times New Roman"/>
          <w:i/>
          <w:color w:val="000000"/>
          <w:sz w:val="22"/>
        </w:rPr>
        <w:t xml:space="preserve">Alternative Currency Loan” </w:t>
      </w:r>
      <w:r>
        <w:rPr>
          <w:rFonts w:ascii="Times New Roman" w:hAnsi="Times New Roman"/>
          <w:color w:val="000000"/>
          <w:sz w:val="22"/>
        </w:rPr>
        <w:t>means an Alternative Currency Daily Rate Loan or an Alternative Currency Term Rate Loan, as applicable.</w:t>
      </w:r>
    </w:p>
    <w:p>
      <w:pPr>
        <w:pStyle w:val="TextBody"/>
        <w:bidi w:val="0"/>
        <w:spacing w:before="240" w:after="283"/>
        <w:jc w:val="both"/>
        <w:rPr/>
      </w:pPr>
      <w:r>
        <w:rPr>
          <w:color w:val="000000"/>
        </w:rPr>
        <w:t>“</w:t>
      </w:r>
      <w:r>
        <w:rPr>
          <w:rFonts w:ascii="Times New Roman" w:hAnsi="Times New Roman"/>
          <w:i/>
          <w:color w:val="000000"/>
          <w:sz w:val="22"/>
        </w:rPr>
        <w:t>Alternative Currency Scheduled Unavailability Date</w:t>
      </w:r>
      <w:r>
        <w:rPr>
          <w:rFonts w:ascii="Times New Roman" w:hAnsi="Times New Roman"/>
          <w:color w:val="000000"/>
          <w:sz w:val="20"/>
        </w:rPr>
        <w:t xml:space="preserve">” </w:t>
      </w:r>
      <w:r>
        <w:rPr>
          <w:rFonts w:ascii="Times New Roman" w:hAnsi="Times New Roman"/>
          <w:color w:val="000000"/>
          <w:sz w:val="22"/>
        </w:rPr>
        <w:t>has the meaning set forth in Section 3.03(c)(ii).</w:t>
      </w:r>
    </w:p>
    <w:p>
      <w:pPr>
        <w:pStyle w:val="TextBody"/>
        <w:bidi w:val="0"/>
        <w:spacing w:before="240" w:after="283"/>
        <w:jc w:val="both"/>
        <w:rPr/>
      </w:pPr>
      <w:r>
        <w:rPr>
          <w:color w:val="000000"/>
        </w:rPr>
        <w:t>“</w:t>
      </w:r>
      <w:r>
        <w:rPr>
          <w:rFonts w:ascii="Times New Roman" w:hAnsi="Times New Roman"/>
          <w:i/>
          <w:color w:val="000000"/>
          <w:sz w:val="22"/>
        </w:rPr>
        <w:t xml:space="preserve">Alternative Currency Sublimit” </w:t>
      </w:r>
      <w:r>
        <w:rPr>
          <w:rFonts w:ascii="Times New Roman" w:hAnsi="Times New Roman"/>
          <w:color w:val="000000"/>
          <w:sz w:val="22"/>
        </w:rPr>
        <w:t>means an amount equal to the lesser of the Revolving Credit Facility and $40,000,000. The Alternative Currency Sublimit is part of, and not in addition to, the Revolving Credit Facility.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Alternative Currency Successor Rate” </w:t>
      </w:r>
      <w:r>
        <w:rPr>
          <w:rFonts w:ascii="Times New Roman" w:hAnsi="Times New Roman"/>
          <w:color w:val="000000"/>
          <w:sz w:val="22"/>
        </w:rPr>
        <w:t>has the meaning set forth in Section 3.03(c).</w:t>
      </w:r>
    </w:p>
    <w:p>
      <w:pPr>
        <w:pStyle w:val="TextBody"/>
        <w:bidi w:val="0"/>
        <w:spacing w:before="240" w:after="283"/>
        <w:jc w:val="both"/>
        <w:rPr/>
      </w:pPr>
      <w:r>
        <w:rPr>
          <w:color w:val="000000"/>
        </w:rPr>
        <w:t>“</w:t>
      </w:r>
      <w:r>
        <w:rPr>
          <w:rFonts w:ascii="Times New Roman" w:hAnsi="Times New Roman"/>
          <w:i/>
          <w:color w:val="000000"/>
          <w:sz w:val="22"/>
        </w:rPr>
        <w:t xml:space="preserve">Alternative Currency Term Rate” </w:t>
      </w:r>
      <w:r>
        <w:rPr>
          <w:rFonts w:ascii="Times New Roman" w:hAnsi="Times New Roman"/>
          <w:color w:val="000000"/>
          <w:sz w:val="22"/>
        </w:rPr>
        <w:t>means, for any Interest Period, with respect to any Credit Extension: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2"/>
        </w:rPr>
        <w:t>denominated in Euros, the rate per annum equal to the Euro Interbank Offered Rate (“</w:t>
      </w:r>
      <w:r>
        <w:rPr>
          <w:rFonts w:ascii="Times New Roman" w:hAnsi="Times New Roman"/>
          <w:i/>
          <w:color w:val="000000"/>
          <w:sz w:val="22"/>
        </w:rPr>
        <w:t>EURIBOR</w:t>
      </w:r>
      <w:r>
        <w:rPr>
          <w:color w:val="000000"/>
        </w:rPr>
        <w:t>”</w:t>
      </w:r>
      <w:r>
        <w:rPr>
          <w:rFonts w:ascii="Times New Roman" w:hAnsi="Times New Roman"/>
          <w:color w:val="000000"/>
          <w:sz w:val="22"/>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2"/>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hAnsi="Times New Roman"/>
          <w:color w:val="000000"/>
          <w:sz w:val="22"/>
          <w:u w:val="single"/>
        </w:rPr>
        <w:t>Section 1.06 plus</w:t>
      </w:r>
      <w:r>
        <w:rPr>
          <w:color w:val="000000"/>
        </w:rPr>
        <w:t xml:space="preserve"> </w:t>
      </w:r>
      <w:r>
        <w:rPr>
          <w:rFonts w:ascii="Times New Roman" w:hAnsi="Times New Roman"/>
          <w:color w:val="000000"/>
          <w:sz w:val="22"/>
        </w:rPr>
        <w:t xml:space="preserve">the adjustment (if any) determined by the Administrative Agent and the relevant Lenders pursuant to </w:t>
      </w:r>
      <w:r>
        <w:rPr>
          <w:rFonts w:ascii="Times New Roman" w:hAnsi="Times New Roman"/>
          <w:color w:val="000000"/>
          <w:sz w:val="22"/>
          <w:u w:val="single"/>
        </w:rPr>
        <w:t>Section 1.06</w:t>
      </w:r>
      <w:r>
        <w:rPr>
          <w:rFonts w:ascii="Times New Roman" w:hAnsi="Times New Roman"/>
          <w:color w:val="000000"/>
          <w:sz w:val="22"/>
        </w:rPr>
        <w:t>;</w:t>
      </w:r>
    </w:p>
    <w:p>
      <w:pPr>
        <w:pStyle w:val="TextBody"/>
        <w:bidi w:val="0"/>
        <w:spacing w:before="240" w:after="283"/>
        <w:jc w:val="left"/>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Alternative Currency Term Rate shall be less than zero, such rate shall be deemed zero for purposes of this Agreement.</w:t>
      </w:r>
    </w:p>
    <w:p>
      <w:pPr>
        <w:pStyle w:val="TextBody"/>
        <w:bidi w:val="0"/>
        <w:spacing w:before="240" w:after="283"/>
        <w:jc w:val="both"/>
        <w:rPr/>
      </w:pPr>
      <w:r>
        <w:rPr>
          <w:color w:val="000000"/>
        </w:rPr>
        <w:t>“</w:t>
      </w:r>
      <w:r>
        <w:rPr>
          <w:rFonts w:ascii="Times New Roman" w:hAnsi="Times New Roman"/>
          <w:i/>
          <w:color w:val="000000"/>
          <w:sz w:val="22"/>
        </w:rPr>
        <w:t>Alternative Currency Term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definition of “Alternative Currency Term Rate.” All Alternative Currency Term Rate Loans must be denominated in an Alternative Currency.</w:t>
      </w:r>
    </w:p>
    <w:p>
      <w:pPr>
        <w:pStyle w:val="TextBody"/>
        <w:bidi w:val="0"/>
        <w:spacing w:before="240" w:after="283"/>
        <w:jc w:val="both"/>
        <w:rPr/>
      </w:pPr>
      <w:r>
        <w:rPr>
          <w:color w:val="0000FF"/>
          <w:u w:val="single"/>
        </w:rPr>
        <w:t>“</w:t>
      </w:r>
      <w:r>
        <w:rPr>
          <w:rFonts w:ascii="Times New Roman" w:hAnsi="Times New Roman"/>
          <w:i/>
          <w:color w:val="0000FF"/>
          <w:sz w:val="22"/>
          <w:u w:val="single"/>
        </w:rPr>
        <w:t>Amendment No. 1</w:t>
      </w:r>
      <w:r>
        <w:rPr>
          <w:rFonts w:ascii="Times New Roman" w:hAnsi="Times New Roman"/>
          <w:color w:val="0000FF"/>
          <w:sz w:val="20"/>
          <w:u w:val="single"/>
        </w:rPr>
        <w:t xml:space="preserve">” </w:t>
      </w:r>
      <w:r>
        <w:rPr>
          <w:rFonts w:ascii="Times New Roman" w:hAnsi="Times New Roman"/>
          <w:color w:val="0000FF"/>
          <w:sz w:val="22"/>
          <w:u w:val="single"/>
        </w:rPr>
        <w:t>means that certain Amendment No. 1 to Third Amended and Restated Credit</w:t>
      </w:r>
      <w:r>
        <w:rPr>
          <w:rFonts w:ascii="Times New Roman" w:hAnsi="Times New Roman"/>
          <w:color w:val="0000FF"/>
          <w:sz w:val="20"/>
        </w:rPr>
        <w:t xml:space="preserve"> </w:t>
      </w:r>
      <w:r>
        <w:rPr>
          <w:rFonts w:ascii="Times New Roman" w:hAnsi="Times New Roman"/>
          <w:color w:val="0000FF"/>
          <w:sz w:val="22"/>
          <w:u w:val="single"/>
        </w:rPr>
        <w:t>Agreement, dated as of the Amendment No. 1 Effective Date, by and among the Administrative Agent, the</w:t>
      </w:r>
      <w:r>
        <w:rPr>
          <w:rFonts w:ascii="Times New Roman" w:hAnsi="Times New Roman"/>
          <w:color w:val="0000FF"/>
          <w:sz w:val="20"/>
        </w:rPr>
        <w:t xml:space="preserve"> </w:t>
      </w:r>
      <w:r>
        <w:rPr>
          <w:rFonts w:ascii="Times New Roman" w:hAnsi="Times New Roman"/>
          <w:color w:val="0000FF"/>
          <w:sz w:val="22"/>
          <w:u w:val="single"/>
        </w:rPr>
        <w:t>Loan Parties, the Lenders and the other parties thereto.</w:t>
      </w:r>
    </w:p>
    <w:p>
      <w:pPr>
        <w:pStyle w:val="TextBody"/>
        <w:bidi w:val="0"/>
        <w:spacing w:before="240" w:after="283"/>
        <w:jc w:val="left"/>
        <w:rPr/>
      </w:pPr>
      <w:r>
        <w:rPr>
          <w:color w:val="0000FF"/>
          <w:u w:val="single"/>
        </w:rPr>
        <w:t>“</w:t>
      </w:r>
      <w:r>
        <w:rPr>
          <w:rFonts w:ascii="Times New Roman" w:hAnsi="Times New Roman"/>
          <w:i/>
          <w:color w:val="0000FF"/>
          <w:sz w:val="22"/>
          <w:u w:val="single"/>
        </w:rPr>
        <w:t>Amendment No. 1 Effective Date</w:t>
      </w:r>
      <w:r>
        <w:rPr>
          <w:rFonts w:ascii="Times New Roman" w:hAnsi="Times New Roman"/>
          <w:color w:val="0000FF"/>
          <w:sz w:val="20"/>
          <w:u w:val="single"/>
        </w:rPr>
        <w:t xml:space="preserve">” </w:t>
      </w:r>
      <w:r>
        <w:rPr>
          <w:rFonts w:ascii="Times New Roman" w:hAnsi="Times New Roman"/>
          <w:color w:val="0000FF"/>
          <w:sz w:val="22"/>
          <w:u w:val="single"/>
        </w:rPr>
        <w:t>means August 12, 2026.</w:t>
      </w:r>
    </w:p>
    <w:p>
      <w:pPr>
        <w:pStyle w:val="TextBody"/>
        <w:bidi w:val="0"/>
        <w:spacing w:before="240" w:after="283"/>
        <w:jc w:val="both"/>
        <w:rPr/>
      </w:pPr>
      <w:r>
        <w:rPr>
          <w:color w:val="000000"/>
        </w:rPr>
        <w:t>“</w:t>
      </w:r>
      <w:r>
        <w:rPr>
          <w:rFonts w:ascii="Times New Roman" w:hAnsi="Times New Roman"/>
          <w:i/>
          <w:color w:val="000000"/>
          <w:sz w:val="22"/>
        </w:rPr>
        <w:t>Applicable Alternative Currency Authority</w:t>
      </w:r>
      <w:r>
        <w:rPr>
          <w:rFonts w:ascii="Times New Roman" w:hAnsi="Times New Roman"/>
          <w:color w:val="000000"/>
          <w:sz w:val="20"/>
        </w:rPr>
        <w:t xml:space="preserve">” </w:t>
      </w:r>
      <w:r>
        <w:rPr>
          <w:rFonts w:ascii="Times New Roman" w:hAnsi="Times New Roman"/>
          <w:color w:val="000000"/>
          <w:sz w:val="22"/>
        </w:rPr>
        <w:t>means, with respect to any Alternative Currency, the applicable administrator for the Relevant Rate for such Alternative Currency or any governmental authority having jurisdiction over the Administrative Agent or such administrator.</w:t>
      </w:r>
    </w:p>
    <w:p>
      <w:pPr>
        <w:pStyle w:val="TextBody"/>
        <w:bidi w:val="0"/>
        <w:spacing w:before="240" w:after="283"/>
        <w:jc w:val="both"/>
        <w:rPr/>
      </w:pPr>
      <w:r>
        <w:rPr>
          <w:color w:val="000000"/>
        </w:rPr>
        <w:t>“</w:t>
      </w:r>
      <w:r>
        <w:rPr>
          <w:rFonts w:ascii="Times New Roman" w:hAnsi="Times New Roman"/>
          <w:i/>
          <w:color w:val="000000"/>
          <w:sz w:val="22"/>
        </w:rPr>
        <w:t>Applicable Law</w:t>
      </w:r>
      <w:r>
        <w:rPr>
          <w:rFonts w:ascii="Times New Roman" w:hAnsi="Times New Roman"/>
          <w:color w:val="000000"/>
          <w:sz w:val="20"/>
        </w:rPr>
        <w:t xml:space="preserve">” </w:t>
      </w:r>
      <w:r>
        <w:rPr>
          <w:rFonts w:ascii="Times New Roman" w:hAnsi="Times New Roman"/>
          <w:color w:val="000000"/>
          <w:sz w:val="22"/>
        </w:rPr>
        <w:t>means, as to any Person, all applicable Laws binding upon such Person or to which such a Person is subject.</w:t>
      </w:r>
    </w:p>
    <w:p>
      <w:pPr>
        <w:pStyle w:val="TextBody"/>
        <w:bidi w:val="0"/>
        <w:spacing w:before="240" w:after="283"/>
        <w:jc w:val="both"/>
        <w:rPr/>
      </w:pPr>
      <w:r>
        <w:rPr>
          <w:color w:val="000000"/>
        </w:rPr>
        <w:t>“</w:t>
      </w:r>
      <w:r>
        <w:rPr>
          <w:rFonts w:ascii="Times New Roman" w:hAnsi="Times New Roman"/>
          <w:i/>
          <w:color w:val="000000"/>
          <w:sz w:val="22"/>
        </w:rPr>
        <w:t xml:space="preserve">Applicable Percentage” </w:t>
      </w:r>
      <w:r>
        <w:rPr>
          <w:rFonts w:ascii="Times New Roman" w:hAnsi="Times New Roman"/>
          <w:color w:val="000000"/>
          <w:sz w:val="22"/>
        </w:rPr>
        <w:t>means (a) [reserved], (b) in respect of any Incremental Term Facility, with respect to any Incremental Term Lender at any time, the percentage (carried out to the ninth decimal place) of such Incremental Term Facility represented by (i) on or prior to the applicable Incremental Term Loan Date, such Incremental Term Lender’s Incremental Term Commitment at such time and (ii) thereafter, the principal amount of such Incremental Term Lender’s Incremental Term Loans at such time and (c) in respect of the Revolving Credit Facility, with respect to any Revolving Credit Lender at any time, the percentage (carried out to the ninth decimal place) of the Revolving Credit Facility represented by such Revolving Credit Lender’s Revolving Credit Commitment at such time. If the commitment of each Revolving Credit Lender to make Revolving Credit Loans and the obligation of the L/C Issuers to make L/C Credit Extensions have been terminated pursuant to Section 8.02,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on Schedule 2.01 or in the Assignment and Assumption or Incremental Term Assumption Agreement pursuant to which such Lender becomes a party hereto, as applicable.</w:t>
      </w:r>
    </w:p>
    <w:p>
      <w:pPr>
        <w:pStyle w:val="TextBody"/>
        <w:bidi w:val="0"/>
        <w:spacing w:before="240" w:after="283"/>
        <w:jc w:val="both"/>
        <w:rPr/>
      </w:pPr>
      <w:r>
        <w:rPr>
          <w:color w:val="000000"/>
        </w:rPr>
        <w:t>“</w:t>
      </w:r>
      <w:r>
        <w:rPr>
          <w:rFonts w:ascii="Times New Roman" w:hAnsi="Times New Roman"/>
          <w:i/>
          <w:color w:val="000000"/>
          <w:sz w:val="22"/>
        </w:rPr>
        <w:t xml:space="preserve">Applicable Rate” </w:t>
      </w:r>
      <w:r>
        <w:rPr>
          <w:rFonts w:ascii="Times New Roman" w:hAnsi="Times New Roman"/>
          <w:color w:val="000000"/>
          <w:sz w:val="22"/>
        </w:rPr>
        <w:t>means, (I) for Dollar denominated Loans, on any day, the rate per annum set forth below opposite the applicable Pricing Level then in effect (based on the Consolidated</w:t>
      </w:r>
      <w:r>
        <w:rPr>
          <w:rFonts w:ascii="Times New Roman" w:hAnsi="Times New Roman"/>
          <w:color w:val="0000FF"/>
          <w:sz w:val="20"/>
          <w:u w:val="single"/>
        </w:rPr>
        <w:t xml:space="preserve"> </w:t>
      </w:r>
      <w:r>
        <w:rPr>
          <w:rFonts w:ascii="Times New Roman" w:hAnsi="Times New Roman"/>
          <w:color w:val="0000FF"/>
          <w:sz w:val="22"/>
          <w:u w:val="single"/>
        </w:rPr>
        <w:t>Secured Net</w:t>
      </w:r>
      <w:r>
        <w:rPr>
          <w:rFonts w:ascii="Times New Roman" w:hAnsi="Times New Roman"/>
          <w:color w:val="0000FF"/>
          <w:sz w:val="20"/>
        </w:rPr>
        <w:t xml:space="preserve"> </w:t>
      </w:r>
      <w:r>
        <w:rPr>
          <w:rFonts w:ascii="Times New Roman" w:hAnsi="Times New Roman"/>
          <w:color w:val="000000"/>
          <w:sz w:val="22"/>
        </w:rPr>
        <w:t>Leverage Ratio), it being understood that the Applicable Rate for (a) Revolving Credit Loans that are Base Rate Loans shall be the percentage set forth under the column “Revolving Credit Loans” and “Base Rate”, (b) Revolving Credit Loans that are Term SOFR Loans shall be the percentage set forth under the column “Revolving Credit Loans” and “Term SOFR &amp; Letter of Credit Fee”, and (c) the Letter of Credit Fee shall be the percentage set forth under the column “Revolving Credit Loans” and “Term SOFR &amp; Letter of Credit Fee”:</w:t>
      </w:r>
    </w:p>
    <w:p>
      <w:pPr>
        <w:pStyle w:val="TextBody"/>
        <w:bidi w:val="0"/>
        <w:jc w:val="left"/>
        <w:rPr/>
      </w:pPr>
      <w:r>
        <w:rPr/>
        <w:t> </w:t>
      </w:r>
    </w:p>
    <w:tbl>
      <w:tblPr>
        <w:tblW w:w="7804" w:type="dxa"/>
        <w:jc w:val="left"/>
        <w:tblInd w:w="0" w:type="dxa"/>
        <w:tblLayout w:type="fixed"/>
        <w:tblCellMar>
          <w:top w:w="28" w:type="dxa"/>
          <w:left w:w="28" w:type="dxa"/>
          <w:bottom w:w="28" w:type="dxa"/>
          <w:right w:w="28" w:type="dxa"/>
        </w:tblCellMar>
      </w:tblPr>
      <w:tblGrid>
        <w:gridCol w:w="751"/>
        <w:gridCol w:w="1816"/>
        <w:gridCol w:w="1870"/>
        <w:gridCol w:w="1761"/>
        <w:gridCol w:w="1606"/>
      </w:tblGrid>
      <w:tr>
        <w:trPr/>
        <w:tc>
          <w:tcPr>
            <w:tcW w:w="75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7804" w:type="dxa"/>
            <w:gridSpan w:val="5"/>
            <w:tcBorders>
              <w:top w:val="single" w:sz="4" w:space="0" w:color="000000"/>
              <w:left w:val="single" w:sz="4" w:space="0" w:color="000000"/>
              <w:bottom w:val="single" w:sz="4" w:space="0" w:color="000000"/>
              <w:right w:val="single" w:sz="4" w:space="0" w:color="000000"/>
            </w:tcBorders>
            <w:shd w:fill="000080" w:val="clear"/>
            <w:vAlign w:val="center"/>
          </w:tcPr>
          <w:p>
            <w:pPr>
              <w:pStyle w:val="TableContents"/>
              <w:bidi w:val="0"/>
              <w:spacing w:before="60" w:after="60"/>
              <w:jc w:val="center"/>
              <w:rPr>
                <w:rFonts w:ascii="Times New Roman" w:hAnsi="Times New Roman"/>
                <w:color w:val="FFFFFF"/>
                <w:sz w:val="20"/>
              </w:rPr>
            </w:pPr>
            <w:r>
              <w:rPr>
                <w:rFonts w:ascii="Times New Roman" w:hAnsi="Times New Roman"/>
                <w:color w:val="FFFFFF"/>
                <w:sz w:val="20"/>
              </w:rPr>
              <w:t>APPLICABLE RATE FOR DOLLAR LOANS AND LETTERS OF CREDIT</w:t>
            </w:r>
          </w:p>
          <w:p>
            <w:pPr>
              <w:pStyle w:val="TableContents"/>
              <w:bidi w:val="0"/>
              <w:spacing w:before="13" w:after="283"/>
              <w:jc w:val="center"/>
              <w:rPr/>
            </w:pPr>
            <w:r>
              <w:rPr/>
              <w:t> </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Pricing</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Level</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Consolidated</w:t>
            </w:r>
          </w:p>
          <w:p>
            <w:pPr>
              <w:pStyle w:val="TableContents"/>
              <w:bidi w:val="0"/>
              <w:spacing w:before="0" w:after="60"/>
              <w:jc w:val="center"/>
              <w:rPr>
                <w:rFonts w:ascii="Times New Roman" w:hAnsi="Times New Roman"/>
                <w:b/>
                <w:color w:val="0000FF"/>
                <w:sz w:val="20"/>
                <w:u w:val="single"/>
              </w:rPr>
            </w:pPr>
            <w:r>
              <w:rPr>
                <w:rFonts w:ascii="Times New Roman" w:hAnsi="Times New Roman"/>
                <w:b/>
                <w:color w:val="0000FF"/>
                <w:sz w:val="20"/>
                <w:u w:val="single"/>
              </w:rPr>
              <w:t>Secured Net</w:t>
            </w:r>
          </w:p>
          <w:p>
            <w:pPr>
              <w:pStyle w:val="TableContents"/>
              <w:bidi w:val="0"/>
              <w:spacing w:before="0" w:after="60"/>
              <w:jc w:val="center"/>
              <w:rPr>
                <w:rFonts w:ascii="Times New Roman" w:hAnsi="Times New Roman"/>
                <w:sz w:val="20"/>
              </w:rPr>
            </w:pPr>
            <w:r>
              <w:rPr>
                <w:rFonts w:ascii="Times New Roman" w:hAnsi="Times New Roman"/>
                <w:b/>
                <w:color w:val="000000"/>
                <w:sz w:val="20"/>
                <w:u w:val="single"/>
              </w:rPr>
              <w:t>Leverage</w:t>
            </w:r>
            <w:r>
              <w:rPr>
                <w:rFonts w:ascii="Times New Roman" w:hAnsi="Times New Roman"/>
                <w:color w:val="000000"/>
                <w:sz w:val="20"/>
              </w:rPr>
              <w:t xml:space="preserve"> </w:t>
            </w:r>
            <w:r>
              <w:rPr>
                <w:rFonts w:ascii="Times New Roman" w:hAnsi="Times New Roman"/>
                <w:b/>
                <w:color w:val="000000"/>
                <w:sz w:val="20"/>
                <w:u w:val="single"/>
              </w:rPr>
              <w:t>Ratio</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b/>
                <w:color w:val="000000"/>
                <w:sz w:val="20"/>
                <w:u w:val="single"/>
              </w:rPr>
              <w:t>Term SOFR &amp;</w:t>
            </w:r>
            <w:r>
              <w:rPr>
                <w:rFonts w:ascii="Times New Roman" w:hAnsi="Times New Roman"/>
                <w:color w:val="000000"/>
                <w:sz w:val="20"/>
              </w:rPr>
              <w:t xml:space="preserve"> </w:t>
            </w:r>
          </w:p>
          <w:p>
            <w:pPr>
              <w:pStyle w:val="TableContents"/>
              <w:bidi w:val="0"/>
              <w:spacing w:before="0" w:after="60"/>
              <w:jc w:val="center"/>
              <w:rPr>
                <w:rFonts w:ascii="Times New Roman" w:hAnsi="Times New Roman"/>
                <w:sz w:val="20"/>
              </w:rPr>
            </w:pPr>
            <w:r>
              <w:rPr>
                <w:rFonts w:ascii="Times New Roman" w:hAnsi="Times New Roman"/>
                <w:b/>
                <w:color w:val="000000"/>
                <w:sz w:val="20"/>
                <w:u w:val="single"/>
              </w:rPr>
              <w:t>Letter of</w:t>
            </w:r>
            <w:r>
              <w:rPr>
                <w:rFonts w:ascii="Times New Roman" w:hAnsi="Times New Roman"/>
                <w:color w:val="000000"/>
                <w:sz w:val="20"/>
              </w:rPr>
              <w:t xml:space="preserve"> </w:t>
            </w:r>
            <w:r>
              <w:rPr>
                <w:rFonts w:ascii="Times New Roman" w:hAnsi="Times New Roman"/>
                <w:b/>
                <w:color w:val="000000"/>
                <w:sz w:val="20"/>
                <w:u w:val="single"/>
              </w:rPr>
              <w:t>Credit Fee</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Base Rate</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Commitment Fee</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pPr>
            <w:r>
              <w:rPr/>
              <w:t> </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firstLine="123"/>
              <w:jc w:val="center"/>
              <w:rPr/>
            </w:pPr>
            <w:r>
              <w:rPr/>
              <w:t> </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117" w:after="283"/>
              <w:ind w:left="0" w:right="0" w:firstLine="123"/>
              <w:jc w:val="center"/>
              <w:rPr>
                <w:rFonts w:ascii="Times New Roman" w:hAnsi="Times New Roman"/>
                <w:sz w:val="20"/>
              </w:rPr>
            </w:pPr>
            <w:r>
              <w:rPr>
                <w:rFonts w:ascii="Times New Roman" w:hAnsi="Times New Roman"/>
                <w:b/>
                <w:strike/>
                <w:color w:val="FF0000"/>
                <w:sz w:val="20"/>
                <w:u w:val="single"/>
              </w:rPr>
              <w:t>Revolving</w:t>
            </w:r>
            <w:r>
              <w:rPr>
                <w:rFonts w:ascii="Times New Roman" w:hAnsi="Times New Roman"/>
                <w:color w:val="FF0000"/>
                <w:sz w:val="20"/>
              </w:rPr>
              <w:t xml:space="preserve"> </w:t>
            </w:r>
            <w:r>
              <w:rPr>
                <w:rFonts w:ascii="Times New Roman" w:hAnsi="Times New Roman"/>
                <w:b/>
                <w:strike/>
                <w:color w:val="FF0000"/>
                <w:sz w:val="20"/>
                <w:u w:val="single"/>
              </w:rPr>
              <w:t>Credit</w:t>
            </w:r>
          </w:p>
          <w:p>
            <w:pPr>
              <w:pStyle w:val="TableContents"/>
              <w:bidi w:val="0"/>
              <w:spacing w:before="0" w:after="60"/>
              <w:ind w:left="0" w:right="0" w:firstLine="200"/>
              <w:jc w:val="center"/>
              <w:rPr>
                <w:rFonts w:ascii="Times New Roman" w:hAnsi="Times New Roman"/>
                <w:b/>
                <w:strike/>
                <w:color w:val="FF0000"/>
                <w:sz w:val="20"/>
                <w:u w:val="single"/>
              </w:rPr>
            </w:pPr>
            <w:r>
              <w:rPr>
                <w:rFonts w:ascii="Times New Roman" w:hAnsi="Times New Roman"/>
                <w:b/>
                <w:strike/>
                <w:color w:val="FF0000"/>
                <w:sz w:val="20"/>
                <w:u w:val="single"/>
              </w:rPr>
              <w:t>Loans</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117" w:after="283"/>
              <w:ind w:left="0" w:right="0" w:firstLine="200"/>
              <w:jc w:val="center"/>
              <w:rPr>
                <w:rFonts w:ascii="Times New Roman" w:hAnsi="Times New Roman"/>
                <w:sz w:val="20"/>
              </w:rPr>
            </w:pPr>
            <w:r>
              <w:rPr>
                <w:rFonts w:ascii="Times New Roman" w:hAnsi="Times New Roman"/>
                <w:b/>
                <w:strike/>
                <w:color w:val="FF0000"/>
                <w:sz w:val="20"/>
                <w:u w:val="single"/>
              </w:rPr>
              <w:t>Revolving</w:t>
            </w:r>
            <w:r>
              <w:rPr>
                <w:rFonts w:ascii="Times New Roman" w:hAnsi="Times New Roman"/>
                <w:color w:val="FF0000"/>
                <w:sz w:val="20"/>
              </w:rPr>
              <w:t xml:space="preserve"> </w:t>
            </w:r>
            <w:r>
              <w:rPr>
                <w:rFonts w:ascii="Times New Roman" w:hAnsi="Times New Roman"/>
                <w:b/>
                <w:strike/>
                <w:color w:val="FF0000"/>
                <w:sz w:val="20"/>
                <w:u w:val="single"/>
              </w:rPr>
              <w:t>Credit</w:t>
            </w:r>
          </w:p>
          <w:p>
            <w:pPr>
              <w:pStyle w:val="TableContents"/>
              <w:bidi w:val="0"/>
              <w:spacing w:before="0" w:after="60"/>
              <w:ind w:left="0" w:right="0" w:firstLine="200"/>
              <w:jc w:val="center"/>
              <w:rPr>
                <w:rFonts w:ascii="Times New Roman" w:hAnsi="Times New Roman"/>
                <w:b/>
                <w:strike/>
                <w:color w:val="FF0000"/>
                <w:sz w:val="20"/>
                <w:u w:val="single"/>
              </w:rPr>
            </w:pPr>
            <w:r>
              <w:rPr>
                <w:rFonts w:ascii="Times New Roman" w:hAnsi="Times New Roman"/>
                <w:b/>
                <w:strike/>
                <w:color w:val="FF0000"/>
                <w:sz w:val="20"/>
                <w:u w:val="single"/>
              </w:rPr>
              <w:t>Loans</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pPr>
            <w:r>
              <w:rPr/>
              <w:t> </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&lt; 0.75:1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0.875%</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0.00%</w:t>
            </w:r>
            <w:r>
              <w:rPr>
                <w:rFonts w:ascii="Times New Roman" w:hAnsi="Times New Roman"/>
                <w:color w:val="0000FF"/>
                <w:sz w:val="20"/>
                <w:u w:val="single"/>
              </w:rPr>
              <w:t>0.000%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0.175%</w:t>
            </w:r>
            <w:r>
              <w:rPr>
                <w:rFonts w:ascii="Times New Roman" w:hAnsi="Times New Roman"/>
                <w:color w:val="0000FF"/>
                <w:sz w:val="20"/>
                <w:u w:val="single"/>
              </w:rPr>
              <w:t>0.125%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ind w:left="0" w:right="0" w:firstLine="101"/>
              <w:jc w:val="center"/>
              <w:rPr>
                <w:rFonts w:ascii="Times New Roman" w:hAnsi="Times New Roman"/>
                <w:color w:val="000000"/>
                <w:sz w:val="20"/>
              </w:rPr>
            </w:pPr>
            <w:r>
              <w:rPr>
                <w:rFonts w:ascii="Times New Roman" w:hAnsi="Times New Roman"/>
                <w:color w:val="000000"/>
                <w:sz w:val="20"/>
              </w:rPr>
              <w:t>2</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ind w:left="0" w:right="0" w:firstLine="101"/>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0.75:1 but &lt;</w:t>
            </w:r>
          </w:p>
          <w:p>
            <w:pPr>
              <w:pStyle w:val="TableContents"/>
              <w:bidi w:val="0"/>
              <w:spacing w:before="0" w:after="60"/>
              <w:ind w:left="0" w:right="0" w:firstLine="609"/>
              <w:jc w:val="center"/>
              <w:rPr>
                <w:rFonts w:ascii="Times New Roman" w:hAnsi="Times New Roman"/>
                <w:color w:val="000000"/>
                <w:sz w:val="20"/>
              </w:rPr>
            </w:pPr>
            <w:r>
              <w:rPr>
                <w:rFonts w:ascii="Times New Roman" w:hAnsi="Times New Roman"/>
                <w:color w:val="000000"/>
                <w:sz w:val="20"/>
              </w:rPr>
              <w:t>1.00:1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93" w:after="283"/>
              <w:ind w:left="0" w:right="0" w:firstLine="609"/>
              <w:jc w:val="left"/>
              <w:rPr>
                <w:rFonts w:ascii="Times New Roman" w:hAnsi="Times New Roman"/>
                <w:sz w:val="20"/>
              </w:rPr>
            </w:pPr>
            <w:r>
              <w:rPr>
                <w:rFonts w:ascii="Times New Roman" w:hAnsi="Times New Roman"/>
                <w:strike/>
                <w:color w:val="FF0000"/>
                <w:sz w:val="20"/>
              </w:rPr>
              <w:t>1.00%</w:t>
            </w:r>
            <w:r>
              <w:rPr>
                <w:rFonts w:ascii="Times New Roman" w:hAnsi="Times New Roman"/>
                <w:color w:val="0000FF"/>
                <w:sz w:val="20"/>
                <w:u w:val="single"/>
              </w:rPr>
              <w:t>1.000%</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0.00%</w:t>
            </w:r>
            <w:r>
              <w:rPr>
                <w:rFonts w:ascii="Times New Roman" w:hAnsi="Times New Roman"/>
                <w:color w:val="0000FF"/>
                <w:sz w:val="20"/>
                <w:u w:val="single"/>
              </w:rPr>
              <w:t>0.000%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0"/>
              </w:rPr>
            </w:pPr>
            <w:r>
              <w:rPr>
                <w:rFonts w:ascii="Times New Roman" w:hAnsi="Times New Roman"/>
                <w:strike/>
                <w:color w:val="FF0000"/>
                <w:sz w:val="20"/>
              </w:rPr>
              <w:t>0.175%</w:t>
            </w:r>
            <w:r>
              <w:rPr>
                <w:rFonts w:ascii="Times New Roman" w:hAnsi="Times New Roman"/>
                <w:color w:val="0000FF"/>
                <w:sz w:val="20"/>
                <w:u w:val="single"/>
              </w:rPr>
              <w:t>0.150%</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3</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1.00:1 but &lt; 1.50:1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1.25%</w:t>
            </w:r>
            <w:r>
              <w:rPr>
                <w:rFonts w:ascii="Times New Roman" w:hAnsi="Times New Roman"/>
                <w:color w:val="0000FF"/>
                <w:sz w:val="20"/>
                <w:u w:val="single"/>
              </w:rPr>
              <w:t>1.250%</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0.25%</w:t>
            </w:r>
            <w:r>
              <w:rPr>
                <w:rFonts w:ascii="Times New Roman" w:hAnsi="Times New Roman"/>
                <w:color w:val="0000FF"/>
                <w:sz w:val="20"/>
                <w:u w:val="single"/>
              </w:rPr>
              <w:t>0.250%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0.20%</w:t>
            </w:r>
            <w:r>
              <w:rPr>
                <w:rFonts w:ascii="Times New Roman" w:hAnsi="Times New Roman"/>
                <w:color w:val="0000FF"/>
                <w:sz w:val="20"/>
                <w:u w:val="single"/>
              </w:rPr>
              <w:t>0.175%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4</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1.50:1 but &lt; 2.00:1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1.50%</w:t>
            </w:r>
            <w:r>
              <w:rPr>
                <w:rFonts w:ascii="Times New Roman" w:hAnsi="Times New Roman"/>
                <w:color w:val="0000FF"/>
                <w:sz w:val="20"/>
                <w:u w:val="single"/>
              </w:rPr>
              <w:t>1.500%</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0.50%</w:t>
            </w:r>
            <w:r>
              <w:rPr>
                <w:rFonts w:ascii="Times New Roman" w:hAnsi="Times New Roman"/>
                <w:color w:val="0000FF"/>
                <w:sz w:val="20"/>
                <w:u w:val="single"/>
              </w:rPr>
              <w:t>0.500%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0.225%</w:t>
            </w:r>
            <w:r>
              <w:rPr>
                <w:rFonts w:ascii="Times New Roman" w:hAnsi="Times New Roman"/>
                <w:color w:val="0000FF"/>
                <w:sz w:val="20"/>
                <w:u w:val="single"/>
              </w:rPr>
              <w:t>0.200%</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5</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2.00:1</w:t>
            </w:r>
            <w:r>
              <w:rPr>
                <w:rFonts w:ascii="Times New Roman" w:hAnsi="Times New Roman"/>
                <w:strike/>
                <w:color w:val="FF0000"/>
                <w:sz w:val="20"/>
              </w:rPr>
              <w:t> but &lt;</w:t>
            </w:r>
            <w:r>
              <w:rPr>
                <w:rFonts w:ascii="Times New Roman" w:hAnsi="Times New Roman"/>
                <w:color w:val="FF0000"/>
                <w:sz w:val="20"/>
              </w:rPr>
              <w:t xml:space="preserve"> </w:t>
            </w:r>
            <w:r>
              <w:rPr>
                <w:rFonts w:ascii="Times New Roman" w:hAnsi="Times New Roman"/>
                <w:strike/>
                <w:color w:val="FF0000"/>
                <w:sz w:val="20"/>
              </w:rPr>
              <w:t>2.50:1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1.75%</w:t>
            </w:r>
            <w:r>
              <w:rPr>
                <w:rFonts w:ascii="Times New Roman" w:hAnsi="Times New Roman"/>
                <w:color w:val="0000FF"/>
                <w:sz w:val="20"/>
                <w:u w:val="single"/>
              </w:rPr>
              <w:t>1.750%</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0.75%</w:t>
            </w:r>
            <w:r>
              <w:rPr>
                <w:rFonts w:ascii="Times New Roman" w:hAnsi="Times New Roman"/>
                <w:color w:val="0000FF"/>
                <w:sz w:val="20"/>
                <w:u w:val="single"/>
              </w:rPr>
              <w:t>0.750%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0.25%</w:t>
            </w:r>
            <w:r>
              <w:rPr>
                <w:rFonts w:ascii="Times New Roman" w:hAnsi="Times New Roman"/>
                <w:color w:val="0000FF"/>
                <w:sz w:val="20"/>
                <w:u w:val="single"/>
              </w:rPr>
              <w:t>0.225%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6</w:t>
            </w:r>
          </w:p>
        </w:tc>
        <w:tc>
          <w:tcPr>
            <w:tcW w:w="181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u w:val="single"/>
              </w:rPr>
              <w:t xml:space="preserve">&gt; </w:t>
            </w:r>
            <w:r>
              <w:rPr>
                <w:rFonts w:ascii="Times New Roman" w:hAnsi="Times New Roman"/>
                <w:strike/>
                <w:color w:val="FF0000"/>
                <w:sz w:val="20"/>
              </w:rPr>
              <w:t>2.50:1</w:t>
            </w:r>
          </w:p>
        </w:tc>
        <w:tc>
          <w:tcPr>
            <w:tcW w:w="1870"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2.00%</w:t>
            </w:r>
          </w:p>
        </w:tc>
        <w:tc>
          <w:tcPr>
            <w:tcW w:w="17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1.00%</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0.30%</w:t>
            </w:r>
          </w:p>
        </w:tc>
      </w:tr>
    </w:tbl>
    <w:p>
      <w:pPr>
        <w:pStyle w:val="TextBody"/>
        <w:bidi w:val="0"/>
        <w:spacing w:before="60" w:after="60"/>
        <w:jc w:val="left"/>
        <w:rPr/>
      </w:pPr>
      <w:r>
        <w:rPr/>
        <w:t> </w:t>
      </w:r>
    </w:p>
    <w:p>
      <w:pPr>
        <w:pStyle w:val="TextBody"/>
        <w:bidi w:val="0"/>
        <w:jc w:val="both"/>
        <w:rPr>
          <w:rFonts w:ascii="Times New Roman" w:hAnsi="Times New Roman"/>
          <w:sz w:val="20"/>
        </w:rPr>
      </w:pPr>
      <w:r>
        <w:rPr>
          <w:rFonts w:ascii="Times New Roman" w:hAnsi="Times New Roman"/>
          <w:color w:val="000000"/>
          <w:sz w:val="22"/>
        </w:rPr>
        <w:t>(II) for Alternative Currency Loans, on any day, the rate per annum set forth below opposite the applicable Pricing Level then in effect (based on the Consolidated</w:t>
      </w:r>
      <w:r>
        <w:rPr>
          <w:rFonts w:ascii="Times New Roman" w:hAnsi="Times New Roman"/>
          <w:color w:val="0000FF"/>
          <w:sz w:val="20"/>
          <w:u w:val="single"/>
        </w:rPr>
        <w:t xml:space="preserve"> </w:t>
      </w:r>
      <w:r>
        <w:rPr>
          <w:rFonts w:ascii="Times New Roman" w:hAnsi="Times New Roman"/>
          <w:color w:val="0000FF"/>
          <w:sz w:val="22"/>
          <w:u w:val="single"/>
        </w:rPr>
        <w:t>Secured Net</w:t>
      </w:r>
      <w:r>
        <w:rPr>
          <w:rFonts w:ascii="Times New Roman" w:hAnsi="Times New Roman"/>
          <w:color w:val="0000FF"/>
          <w:sz w:val="20"/>
        </w:rPr>
        <w:t xml:space="preserve"> </w:t>
      </w:r>
      <w:r>
        <w:rPr>
          <w:rFonts w:ascii="Times New Roman" w:hAnsi="Times New Roman"/>
          <w:color w:val="000000"/>
          <w:sz w:val="22"/>
        </w:rPr>
        <w:t>Leverage Ratio), it being understood that the Applicable Rate for (a) Alternative Currency Loans that are Alternative Currency Daily Rate Loans shall be the percentage set forth under the column “Alternative Currency Daily Rate” and (b) Alternative Currency Loans that are Alternative Currency Term Rate Loans shall be the percentage set forth under the column “Alternative Currency Term Rate &amp; Letter of Credit Fee”, and (c) the Letter of Credit Fee for Letters of Credit denominated in (i) Sterling, shall be the percentage set forth under the column “Alternative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Currency Daily Rate” and (ii) in Euros, shall be the percentage set forth under the column “Alternative Currency Term Rate”:</w:t>
      </w:r>
    </w:p>
    <w:p>
      <w:pPr>
        <w:pStyle w:val="TextBody"/>
        <w:bidi w:val="0"/>
        <w:spacing w:before="24" w:after="283"/>
        <w:jc w:val="left"/>
        <w:rPr/>
      </w:pPr>
      <w:r>
        <w:rPr/>
        <w:t> </w:t>
      </w:r>
    </w:p>
    <w:tbl>
      <w:tblPr>
        <w:tblW w:w="7865" w:type="dxa"/>
        <w:jc w:val="left"/>
        <w:tblInd w:w="0" w:type="dxa"/>
        <w:tblLayout w:type="fixed"/>
        <w:tblCellMar>
          <w:top w:w="28" w:type="dxa"/>
          <w:left w:w="28" w:type="dxa"/>
          <w:bottom w:w="28" w:type="dxa"/>
          <w:right w:w="28" w:type="dxa"/>
        </w:tblCellMar>
      </w:tblPr>
      <w:tblGrid>
        <w:gridCol w:w="751"/>
        <w:gridCol w:w="2476"/>
        <w:gridCol w:w="1966"/>
        <w:gridCol w:w="1261"/>
        <w:gridCol w:w="1411"/>
      </w:tblGrid>
      <w:tr>
        <w:trPr/>
        <w:tc>
          <w:tcPr>
            <w:tcW w:w="7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7865" w:type="dxa"/>
            <w:gridSpan w:val="5"/>
            <w:tcBorders>
              <w:top w:val="single" w:sz="4" w:space="0" w:color="000000"/>
              <w:left w:val="single" w:sz="4" w:space="0" w:color="000000"/>
              <w:bottom w:val="single" w:sz="4" w:space="0" w:color="000000"/>
              <w:right w:val="single" w:sz="4" w:space="0" w:color="000000"/>
            </w:tcBorders>
            <w:shd w:fill="000080" w:val="clear"/>
            <w:vAlign w:val="center"/>
          </w:tcPr>
          <w:p>
            <w:pPr>
              <w:pStyle w:val="TableContents"/>
              <w:bidi w:val="0"/>
              <w:spacing w:before="60" w:after="60"/>
              <w:jc w:val="center"/>
              <w:rPr>
                <w:rFonts w:ascii="Times New Roman" w:hAnsi="Times New Roman"/>
                <w:color w:val="FFFFFF"/>
                <w:sz w:val="20"/>
              </w:rPr>
            </w:pPr>
            <w:r>
              <w:rPr>
                <w:rFonts w:ascii="Times New Roman" w:hAnsi="Times New Roman"/>
                <w:color w:val="FFFFFF"/>
                <w:sz w:val="20"/>
              </w:rPr>
              <w:t>APPLICABLE RATE FOR ALTERNATIVE CURRENCY LOANS AND LETTERS OF CREDIT</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Pricing</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Level</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Consolidated</w:t>
            </w:r>
          </w:p>
          <w:p>
            <w:pPr>
              <w:pStyle w:val="TableContents"/>
              <w:bidi w:val="0"/>
              <w:spacing w:before="0" w:after="60"/>
              <w:jc w:val="center"/>
              <w:rPr>
                <w:rFonts w:ascii="Times New Roman" w:hAnsi="Times New Roman"/>
                <w:sz w:val="20"/>
              </w:rPr>
            </w:pPr>
            <w:r>
              <w:rPr>
                <w:rFonts w:ascii="Times New Roman" w:hAnsi="Times New Roman"/>
                <w:b/>
                <w:color w:val="0000FF"/>
                <w:sz w:val="20"/>
                <w:u w:val="single"/>
              </w:rPr>
              <w:t xml:space="preserve">Secured Net </w:t>
            </w:r>
            <w:r>
              <w:rPr>
                <w:rFonts w:ascii="Times New Roman" w:hAnsi="Times New Roman"/>
                <w:b/>
                <w:color w:val="000000"/>
                <w:sz w:val="20"/>
                <w:u w:val="single"/>
              </w:rPr>
              <w:t>Leverage</w:t>
            </w:r>
            <w:r>
              <w:rPr>
                <w:rFonts w:ascii="Times New Roman" w:hAnsi="Times New Roman"/>
                <w:color w:val="000000"/>
                <w:sz w:val="20"/>
              </w:rPr>
              <w:t xml:space="preserve"> </w:t>
            </w:r>
            <w:r>
              <w:rPr>
                <w:rFonts w:ascii="Times New Roman" w:hAnsi="Times New Roman"/>
                <w:b/>
                <w:color w:val="000000"/>
                <w:sz w:val="20"/>
                <w:u w:val="single"/>
              </w:rPr>
              <w:t>Ratio</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b/>
                <w:color w:val="000000"/>
                <w:sz w:val="20"/>
                <w:u w:val="single"/>
              </w:rPr>
              <w:t>Alternative Currency</w:t>
            </w:r>
            <w:r>
              <w:rPr>
                <w:rFonts w:ascii="Times New Roman" w:hAnsi="Times New Roman"/>
                <w:color w:val="000000"/>
                <w:sz w:val="20"/>
              </w:rPr>
              <w:t xml:space="preserve"> </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Term Rate</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b/>
                <w:color w:val="000000"/>
                <w:sz w:val="20"/>
                <w:u w:val="single"/>
              </w:rPr>
              <w:t>Alternative</w:t>
            </w:r>
            <w:r>
              <w:rPr>
                <w:rFonts w:ascii="Times New Roman" w:hAnsi="Times New Roman"/>
                <w:color w:val="000000"/>
                <w:sz w:val="20"/>
              </w:rPr>
              <w:t xml:space="preserve"> </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Currency</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Daily Rate</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b/>
                <w:color w:val="000000"/>
                <w:sz w:val="20"/>
                <w:u w:val="single"/>
              </w:rPr>
            </w:pPr>
            <w:r>
              <w:rPr>
                <w:rFonts w:ascii="Times New Roman" w:hAnsi="Times New Roman"/>
                <w:b/>
                <w:color w:val="000000"/>
                <w:sz w:val="20"/>
                <w:u w:val="single"/>
              </w:rPr>
              <w:t>Commitment</w:t>
            </w:r>
          </w:p>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Fee</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&lt; 0.75:1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0.875%</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0.00%</w:t>
            </w:r>
            <w:r>
              <w:rPr>
                <w:rFonts w:ascii="Times New Roman" w:hAnsi="Times New Roman"/>
                <w:color w:val="0000FF"/>
                <w:sz w:val="20"/>
                <w:u w:val="single"/>
              </w:rPr>
              <w:t>0.000%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0.15%</w:t>
            </w:r>
            <w:r>
              <w:rPr>
                <w:rFonts w:ascii="Times New Roman" w:hAnsi="Times New Roman"/>
                <w:color w:val="0000FF"/>
                <w:sz w:val="20"/>
                <w:u w:val="single"/>
              </w:rPr>
              <w:t>0.125%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2</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0.75:1 but &lt; 1.00:1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1.00%</w:t>
            </w:r>
            <w:r>
              <w:rPr>
                <w:rFonts w:ascii="Times New Roman" w:hAnsi="Times New Roman"/>
                <w:color w:val="0000FF"/>
                <w:sz w:val="20"/>
                <w:u w:val="single"/>
              </w:rPr>
              <w:t>1.000%</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0.00%</w:t>
            </w:r>
            <w:r>
              <w:rPr>
                <w:rFonts w:ascii="Times New Roman" w:hAnsi="Times New Roman"/>
                <w:color w:val="0000FF"/>
                <w:sz w:val="20"/>
                <w:u w:val="single"/>
              </w:rPr>
              <w:t>0.000%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0.175%</w:t>
            </w:r>
            <w:r>
              <w:rPr>
                <w:rFonts w:ascii="Times New Roman" w:hAnsi="Times New Roman"/>
                <w:color w:val="0000FF"/>
                <w:sz w:val="20"/>
                <w:u w:val="single"/>
              </w:rPr>
              <w:t>0.150%</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3</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1.00:1 but &lt; 1.50:1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1.25%</w:t>
            </w:r>
            <w:r>
              <w:rPr>
                <w:rFonts w:ascii="Times New Roman" w:hAnsi="Times New Roman"/>
                <w:color w:val="0000FF"/>
                <w:sz w:val="20"/>
                <w:u w:val="single"/>
              </w:rPr>
              <w:t>1.250%</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0.25%</w:t>
            </w:r>
            <w:r>
              <w:rPr>
                <w:rFonts w:ascii="Times New Roman" w:hAnsi="Times New Roman"/>
                <w:color w:val="0000FF"/>
                <w:sz w:val="20"/>
                <w:u w:val="single"/>
              </w:rPr>
              <w:t>0.250%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0.20%</w:t>
            </w:r>
            <w:r>
              <w:rPr>
                <w:rFonts w:ascii="Times New Roman" w:hAnsi="Times New Roman"/>
                <w:color w:val="0000FF"/>
                <w:sz w:val="20"/>
                <w:u w:val="single"/>
              </w:rPr>
              <w:t>0.175%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4</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1.50:1 but &lt; 2.00:1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1.50%</w:t>
            </w:r>
            <w:r>
              <w:rPr>
                <w:rFonts w:ascii="Times New Roman" w:hAnsi="Times New Roman"/>
                <w:color w:val="0000FF"/>
                <w:sz w:val="20"/>
                <w:u w:val="single"/>
              </w:rPr>
              <w:t>1.500%</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0.50%</w:t>
            </w:r>
            <w:r>
              <w:rPr>
                <w:rFonts w:ascii="Times New Roman" w:hAnsi="Times New Roman"/>
                <w:color w:val="0000FF"/>
                <w:sz w:val="20"/>
                <w:u w:val="single"/>
              </w:rPr>
              <w:t>0.500%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0.225%</w:t>
            </w:r>
            <w:r>
              <w:rPr>
                <w:rFonts w:ascii="Times New Roman" w:hAnsi="Times New Roman"/>
                <w:color w:val="0000FF"/>
                <w:sz w:val="20"/>
                <w:u w:val="single"/>
              </w:rPr>
              <w:t>0.200%</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5</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color w:val="000000"/>
                <w:sz w:val="20"/>
                <w:u w:val="single"/>
              </w:rPr>
              <w:t>&gt;</w:t>
            </w:r>
            <w:r>
              <w:rPr>
                <w:rFonts w:ascii="Times New Roman" w:hAnsi="Times New Roman"/>
                <w:color w:val="000000"/>
                <w:sz w:val="20"/>
              </w:rPr>
              <w:t> 2.00:1</w:t>
            </w:r>
            <w:r>
              <w:rPr>
                <w:rFonts w:ascii="Times New Roman" w:hAnsi="Times New Roman"/>
                <w:strike/>
                <w:color w:val="FF0000"/>
                <w:sz w:val="20"/>
              </w:rPr>
              <w:t> but &lt;</w:t>
            </w:r>
            <w:r>
              <w:rPr>
                <w:rFonts w:ascii="Times New Roman" w:hAnsi="Times New Roman"/>
                <w:color w:val="FF0000"/>
                <w:sz w:val="20"/>
              </w:rPr>
              <w:t xml:space="preserve"> </w:t>
            </w:r>
            <w:r>
              <w:rPr>
                <w:rFonts w:ascii="Times New Roman" w:hAnsi="Times New Roman"/>
                <w:strike/>
                <w:color w:val="FF0000"/>
                <w:sz w:val="20"/>
              </w:rPr>
              <w:t>2.50:1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1.75%</w:t>
            </w:r>
            <w:r>
              <w:rPr>
                <w:rFonts w:ascii="Times New Roman" w:hAnsi="Times New Roman"/>
                <w:color w:val="0000FF"/>
                <w:sz w:val="20"/>
                <w:u w:val="single"/>
              </w:rPr>
              <w:t>1.750%</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0.75%</w:t>
            </w:r>
            <w:r>
              <w:rPr>
                <w:rFonts w:ascii="Times New Roman" w:hAnsi="Times New Roman"/>
                <w:color w:val="0000FF"/>
                <w:sz w:val="20"/>
                <w:u w:val="single"/>
              </w:rPr>
              <w:t>0.750%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rPr>
              <w:t>0.25%</w:t>
            </w:r>
            <w:r>
              <w:rPr>
                <w:rFonts w:ascii="Times New Roman" w:hAnsi="Times New Roman"/>
                <w:color w:val="0000FF"/>
                <w:sz w:val="20"/>
                <w:u w:val="single"/>
              </w:rPr>
              <w:t>0.225%</w:t>
            </w:r>
          </w:p>
        </w:tc>
      </w:tr>
      <w:tr>
        <w:trPr/>
        <w:tc>
          <w:tcPr>
            <w:tcW w:w="7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6</w:t>
            </w:r>
          </w:p>
        </w:tc>
        <w:tc>
          <w:tcPr>
            <w:tcW w:w="247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z w:val="20"/>
              </w:rPr>
            </w:pPr>
            <w:r>
              <w:rPr>
                <w:rFonts w:ascii="Times New Roman" w:hAnsi="Times New Roman"/>
                <w:strike/>
                <w:color w:val="FF0000"/>
                <w:sz w:val="20"/>
                <w:u w:val="single"/>
              </w:rPr>
              <w:t xml:space="preserve">&gt; </w:t>
            </w:r>
            <w:r>
              <w:rPr>
                <w:rFonts w:ascii="Times New Roman" w:hAnsi="Times New Roman"/>
                <w:strike/>
                <w:color w:val="FF0000"/>
                <w:sz w:val="20"/>
              </w:rPr>
              <w:t>2.50:1</w:t>
            </w:r>
          </w:p>
        </w:tc>
        <w:tc>
          <w:tcPr>
            <w:tcW w:w="1966"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2.00%</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1.00%</w:t>
            </w:r>
          </w:p>
        </w:tc>
        <w:tc>
          <w:tcPr>
            <w:tcW w:w="1411" w:type="dxa"/>
            <w:tcBorders>
              <w:bottom w:val="single" w:sz="4" w:space="0" w:color="000000"/>
              <w:right w:val="single" w:sz="4" w:space="0" w:color="000000"/>
            </w:tcBorders>
            <w:tcMar>
              <w:top w:w="0" w:type="dxa"/>
              <w:left w:w="0" w:type="dxa"/>
            </w:tcMar>
            <w:vAlign w:val="center"/>
          </w:tcPr>
          <w:p>
            <w:pPr>
              <w:pStyle w:val="TableContents"/>
              <w:bidi w:val="0"/>
              <w:spacing w:before="60" w:after="60"/>
              <w:jc w:val="center"/>
              <w:rPr>
                <w:rFonts w:ascii="Times New Roman" w:hAnsi="Times New Roman"/>
                <w:strike/>
                <w:color w:val="FF0000"/>
                <w:sz w:val="20"/>
              </w:rPr>
            </w:pPr>
            <w:r>
              <w:rPr>
                <w:rFonts w:ascii="Times New Roman" w:hAnsi="Times New Roman"/>
                <w:strike/>
                <w:color w:val="FF0000"/>
                <w:sz w:val="20"/>
              </w:rPr>
              <w:t>0.30%</w:t>
            </w:r>
          </w:p>
        </w:tc>
      </w:tr>
    </w:tbl>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 (III) the Commitment Fee (regardless of currency) shall be the percentage set forth under the column “Commitment Fee” in either of the above charts; and (IV) the Applicable Rate for any Incremental Term Loan shall be as set forth in the Incremental Term Assumption Agreement executed in connection therewith.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increase or decrease in the Applicable Rate resulting from a change in the Consolidated </w:t>
      </w:r>
      <w:r>
        <w:rPr>
          <w:rFonts w:ascii="Times New Roman" w:hAnsi="Times New Roman"/>
          <w:color w:val="0000FF"/>
          <w:sz w:val="22"/>
          <w:u w:val="single"/>
        </w:rPr>
        <w:t>Secured Net</w:t>
      </w:r>
      <w:r>
        <w:rPr>
          <w:rFonts w:ascii="Times New Roman" w:hAnsi="Times New Roman"/>
          <w:color w:val="0000FF"/>
          <w:sz w:val="20"/>
        </w:rPr>
        <w:t xml:space="preserve"> </w:t>
      </w:r>
      <w:r>
        <w:rPr>
          <w:rFonts w:ascii="Times New Roman" w:hAnsi="Times New Roman"/>
          <w:color w:val="000000"/>
          <w:sz w:val="22"/>
        </w:rPr>
        <w:t xml:space="preserve">Leverage Ratio shall become effective as of the first Business Day immediately following the date a Compliance Certificate is delivered pursuant to Section 6.02(a);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 Compliance Certificate is not delivered when due in accordance with such Section, then, upon the request of the Required Lenders, Pricing Level </w:t>
      </w:r>
      <w:r>
        <w:rPr>
          <w:rFonts w:ascii="Times New Roman" w:hAnsi="Times New Roman"/>
          <w:strike/>
          <w:color w:val="FF0000"/>
          <w:sz w:val="22"/>
        </w:rPr>
        <w:t>6</w:t>
      </w:r>
      <w:r>
        <w:rPr>
          <w:rFonts w:ascii="Times New Roman" w:hAnsi="Times New Roman"/>
          <w:color w:val="0000FF"/>
          <w:sz w:val="22"/>
          <w:u w:val="single"/>
        </w:rPr>
        <w:t>5</w:t>
      </w:r>
      <w:r>
        <w:rPr>
          <w:rFonts w:ascii="Times New Roman" w:hAnsi="Times New Roman"/>
          <w:color w:val="0000FF"/>
          <w:sz w:val="20"/>
        </w:rPr>
        <w:t xml:space="preserve"> </w:t>
      </w:r>
      <w:r>
        <w:rPr>
          <w:rFonts w:ascii="Times New Roman" w:hAnsi="Times New Roman"/>
          <w:color w:val="000000"/>
          <w:sz w:val="22"/>
        </w:rPr>
        <w:t>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contained in this definition, (x) the determination of the Applicable Rate for any period shall be subject to the provisions of Section 2.10(b) and (y) for the period from the </w:t>
      </w:r>
      <w:r>
        <w:rPr>
          <w:rFonts w:ascii="Times New Roman" w:hAnsi="Times New Roman"/>
          <w:strike/>
          <w:color w:val="FF0000"/>
          <w:sz w:val="22"/>
        </w:rPr>
        <w:t>Closing</w:t>
      </w:r>
      <w:r>
        <w:rPr>
          <w:rFonts w:ascii="Times New Roman" w:hAnsi="Times New Roman"/>
          <w:color w:val="0000FF"/>
          <w:sz w:val="22"/>
          <w:u w:val="single"/>
        </w:rPr>
        <w:t>Amendment No. 1 Effective</w:t>
      </w:r>
      <w:r>
        <w:rPr>
          <w:rFonts w:ascii="Times New Roman" w:hAnsi="Times New Roman"/>
          <w:color w:val="0000FF"/>
          <w:sz w:val="20"/>
        </w:rPr>
        <w:t xml:space="preserve"> </w:t>
      </w:r>
      <w:r>
        <w:rPr>
          <w:rFonts w:ascii="Times New Roman" w:hAnsi="Times New Roman"/>
          <w:color w:val="000000"/>
          <w:sz w:val="22"/>
        </w:rPr>
        <w:t xml:space="preserve">Date until the first Business Day immediately following the date a Compliance Certificate is delivered pursuant to Section 6.02(b) for the fiscal quarter ending September 30, </w:t>
      </w:r>
      <w:r>
        <w:rPr>
          <w:rFonts w:ascii="Times New Roman" w:hAnsi="Times New Roman"/>
          <w:strike/>
          <w:color w:val="FF0000"/>
          <w:sz w:val="22"/>
        </w:rPr>
        <w:t>2023</w:t>
      </w:r>
      <w:r>
        <w:rPr>
          <w:rFonts w:ascii="Times New Roman" w:hAnsi="Times New Roman"/>
          <w:color w:val="0000FF"/>
          <w:sz w:val="22"/>
          <w:u w:val="single"/>
        </w:rPr>
        <w:t>2026</w:t>
      </w:r>
      <w:r>
        <w:rPr>
          <w:rFonts w:ascii="Times New Roman" w:hAnsi="Times New Roman"/>
          <w:color w:val="000000"/>
          <w:sz w:val="22"/>
        </w:rPr>
        <w:t>, Pricing Level 1 shall apply. Any adjustment in the Applicable Rate shall be applicable to all Credit Extensions then existing or subsequently made or issued.</w:t>
      </w:r>
    </w:p>
    <w:p>
      <w:pPr>
        <w:pStyle w:val="TextBody"/>
        <w:bidi w:val="0"/>
        <w:spacing w:before="240" w:after="283"/>
        <w:jc w:val="both"/>
        <w:rPr/>
      </w:pPr>
      <w:r>
        <w:rPr>
          <w:color w:val="000000"/>
        </w:rPr>
        <w:t>“</w:t>
      </w:r>
      <w:r>
        <w:rPr>
          <w:rFonts w:ascii="Times New Roman" w:hAnsi="Times New Roman"/>
          <w:i/>
          <w:color w:val="000000"/>
          <w:sz w:val="22"/>
        </w:rPr>
        <w:t xml:space="preserve">Applicable Revolving Credit Percentage” </w:t>
      </w:r>
      <w:r>
        <w:rPr>
          <w:rFonts w:ascii="Times New Roman" w:hAnsi="Times New Roman"/>
          <w:color w:val="000000"/>
          <w:sz w:val="22"/>
        </w:rPr>
        <w:t>means with respect to any Revolving Credit Lender at any time, such Revolving Credit Lender’s Applicable Percentage in respect of the Revolving Credit Facility at such time.</w:t>
      </w:r>
    </w:p>
    <w:p>
      <w:pPr>
        <w:pStyle w:val="TextBody"/>
        <w:bidi w:val="0"/>
        <w:spacing w:before="240" w:after="283"/>
        <w:jc w:val="both"/>
        <w:rPr/>
      </w:pPr>
      <w:r>
        <w:rPr>
          <w:color w:val="000000"/>
        </w:rPr>
        <w:t>“</w:t>
      </w:r>
      <w:r>
        <w:rPr>
          <w:rFonts w:ascii="Times New Roman" w:hAnsi="Times New Roman"/>
          <w:i/>
          <w:color w:val="000000"/>
          <w:sz w:val="22"/>
        </w:rPr>
        <w:t xml:space="preserve">Applicable Time” </w:t>
      </w:r>
      <w:r>
        <w:rPr>
          <w:rFonts w:ascii="Times New Roman" w:hAnsi="Times New Roman"/>
          <w:color w:val="000000"/>
          <w:sz w:val="22"/>
        </w:rPr>
        <w:t>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Appropriate Lender” </w:t>
      </w:r>
      <w:r>
        <w:rPr>
          <w:rFonts w:ascii="Times New Roman" w:hAnsi="Times New Roman"/>
          <w:color w:val="000000"/>
          <w:sz w:val="22"/>
        </w:rPr>
        <w:t>means, at any time, (a) with respect to any Facility, a Lender that has a Commitment with respect to such Facility or holds a Loan with respect to such Facility at such time, (b) with respect to the Letter of Credit Sublimit, (i) the L/C Issuers and (ii) if any Letters of Credit have been issued pursuant to Section 2.03(a), the Revolving Credit Lenders and (c) with respect to the Swingline Sublimit, (i) the Swingline Lender and (ii) if any Swingline Loans are outstanding pursuant to Section 2.04(a), the Revolving Credit Lenders.</w:t>
      </w:r>
    </w:p>
    <w:p>
      <w:pPr>
        <w:pStyle w:val="TextBody"/>
        <w:bidi w:val="0"/>
        <w:spacing w:before="240" w:after="283"/>
        <w:jc w:val="both"/>
        <w:rPr/>
      </w:pPr>
      <w:r>
        <w:rPr>
          <w:color w:val="000000"/>
        </w:rPr>
        <w:t>“</w:t>
      </w:r>
      <w:r>
        <w:rPr>
          <w:rFonts w:ascii="Times New Roman" w:hAnsi="Times New Roman"/>
          <w:i/>
          <w:color w:val="000000"/>
          <w:sz w:val="22"/>
        </w:rPr>
        <w:t xml:space="preserve">Approved Fund” </w:t>
      </w:r>
      <w:r>
        <w:rPr>
          <w:rFonts w:ascii="Times New Roman" w:hAnsi="Times New Roman"/>
          <w:color w:val="000000"/>
          <w:sz w:val="22"/>
        </w:rPr>
        <w:t>means any Fund that is administered or managed by (a) a Lender, (b) an Affiliate of a Lender or (c) an entity or an Affiliate of an entity that administers or manages a Lender.</w:t>
      </w:r>
    </w:p>
    <w:p>
      <w:pPr>
        <w:pStyle w:val="TextBody"/>
        <w:bidi w:val="0"/>
        <w:spacing w:before="240" w:after="283"/>
        <w:jc w:val="both"/>
        <w:rPr/>
      </w:pPr>
      <w:r>
        <w:rPr>
          <w:color w:val="000000"/>
        </w:rPr>
        <w:t>“</w:t>
      </w:r>
      <w:r>
        <w:rPr>
          <w:rFonts w:ascii="Times New Roman" w:hAnsi="Times New Roman"/>
          <w:i/>
          <w:color w:val="000000"/>
          <w:sz w:val="22"/>
        </w:rPr>
        <w:t xml:space="preserve">Arrangers” </w:t>
      </w:r>
      <w:r>
        <w:rPr>
          <w:rFonts w:ascii="Times New Roman" w:hAnsi="Times New Roman"/>
          <w:color w:val="000000"/>
          <w:sz w:val="22"/>
        </w:rPr>
        <w:t>means BofA Securities, Inc. and PNC Capital Markets, LLC, in their capacities as joint lead arrangers and joint bookrunners.</w:t>
      </w:r>
    </w:p>
    <w:p>
      <w:pPr>
        <w:pStyle w:val="TextBody"/>
        <w:bidi w:val="0"/>
        <w:spacing w:before="240" w:after="283"/>
        <w:jc w:val="both"/>
        <w:rPr/>
      </w:pPr>
      <w:r>
        <w:rPr>
          <w:color w:val="000000"/>
        </w:rPr>
        <w:t>“</w:t>
      </w:r>
      <w:r>
        <w:rPr>
          <w:rFonts w:ascii="Times New Roman" w:hAnsi="Times New Roman"/>
          <w:i/>
          <w:color w:val="000000"/>
          <w:sz w:val="22"/>
        </w:rPr>
        <w:t xml:space="preserve">Assignment and Assumption” </w:t>
      </w:r>
      <w:r>
        <w:rPr>
          <w:rFonts w:ascii="Times New Roman" w:hAnsi="Times New Roman"/>
          <w:color w:val="000000"/>
          <w:sz w:val="22"/>
        </w:rPr>
        <w:t xml:space="preserve">means an assignment and assumption entered into by a Lender and an Eligible Assignee (with the consent of any party whose consent is required by Section 11.06(b)), and accepted by the Administrative Agent, in substantially the form of </w:t>
      </w:r>
      <w:r>
        <w:rPr>
          <w:rFonts w:ascii="Times New Roman" w:hAnsi="Times New Roman"/>
          <w:i/>
          <w:color w:val="000000"/>
          <w:sz w:val="22"/>
        </w:rPr>
        <w:t xml:space="preserve">Exhibit E-1 </w:t>
      </w:r>
      <w:r>
        <w:rPr>
          <w:rFonts w:ascii="Times New Roman" w:hAnsi="Times New Roman"/>
          <w:color w:val="000000"/>
          <w:sz w:val="22"/>
        </w:rPr>
        <w:t>or any other form (including an electronic documentation form generated by use of an electronic platform) approved by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Attributable Indebtedness” </w:t>
      </w:r>
      <w:r>
        <w:rPr>
          <w:rFonts w:ascii="Times New Roman" w:hAnsi="Times New Roman"/>
          <w:color w:val="000000"/>
          <w:sz w:val="22"/>
        </w:rPr>
        <w:t>means, on any date, (a) in respect of any Capitalized Lease of any Person, the capitalized amount thereof that would appear on a balance sheet of such Person prepared as of such date in accordance with GAAP, and (b) in respect of any Synthetic Lease Obligation, the capitalized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pStyle w:val="TextBody"/>
        <w:bidi w:val="0"/>
        <w:spacing w:before="240" w:after="283"/>
        <w:jc w:val="both"/>
        <w:rPr/>
      </w:pPr>
      <w:r>
        <w:rPr>
          <w:color w:val="000000"/>
        </w:rPr>
        <w:t>“</w:t>
      </w:r>
      <w:r>
        <w:rPr>
          <w:rFonts w:ascii="Times New Roman" w:hAnsi="Times New Roman"/>
          <w:i/>
          <w:color w:val="000000"/>
          <w:sz w:val="22"/>
        </w:rPr>
        <w:t xml:space="preserve">Audited Financial Statements” </w:t>
      </w:r>
      <w:r>
        <w:rPr>
          <w:rFonts w:ascii="Times New Roman" w:hAnsi="Times New Roman"/>
          <w:color w:val="000000"/>
          <w:sz w:val="22"/>
        </w:rPr>
        <w:t>means the audited consolidated balance sheet of the Domestic Borrower and its Subsidiaries for the fiscal year ended December 31, 2022, and the related consolidated statements of income or operations, shareholders’ equity and cash flows for such fiscal year of the Domestic Borrower and its Subsidiaries, including the notes thereto.</w:t>
      </w:r>
    </w:p>
    <w:p>
      <w:pPr>
        <w:pStyle w:val="TextBody"/>
        <w:bidi w:val="0"/>
        <w:spacing w:before="240" w:after="283"/>
        <w:jc w:val="both"/>
        <w:rPr/>
      </w:pPr>
      <w:r>
        <w:rPr>
          <w:color w:val="000000"/>
        </w:rPr>
        <w:t>“</w:t>
      </w:r>
      <w:r>
        <w:rPr>
          <w:rFonts w:ascii="Times New Roman" w:hAnsi="Times New Roman"/>
          <w:i/>
          <w:color w:val="000000"/>
          <w:sz w:val="22"/>
        </w:rPr>
        <w:t xml:space="preserve">Availability Period” </w:t>
      </w:r>
      <w:r>
        <w:rPr>
          <w:rFonts w:ascii="Times New Roman" w:hAnsi="Times New Roman"/>
          <w:color w:val="000000"/>
          <w:sz w:val="22"/>
        </w:rPr>
        <w:t>means in respect of the Revolving Credit Facility, the period from and including the Closing Date to the earliest of (a) the Maturity Date for the Revolving Credit Facility, (b) the date of termination of the Revolving Credit Commitments pursuant to Section 2.06, and (c) the date of termination of the commitment of each Revolving Credit Lender to make Revolving Credit Loans and of the obligation of the L/C Issuers to make L/C Credit Extensions pursuant to Section 8.02.</w:t>
      </w:r>
    </w:p>
    <w:p>
      <w:pPr>
        <w:pStyle w:val="TextBody"/>
        <w:bidi w:val="0"/>
        <w:spacing w:before="240" w:after="283"/>
        <w:jc w:val="both"/>
        <w:rPr/>
      </w:pPr>
      <w:r>
        <w:rPr>
          <w:color w:val="000000"/>
        </w:rPr>
        <w:t>“</w:t>
      </w:r>
      <w:r>
        <w:rPr>
          <w:rFonts w:ascii="Times New Roman" w:hAnsi="Times New Roman"/>
          <w:i/>
          <w:color w:val="000000"/>
          <w:sz w:val="22"/>
        </w:rPr>
        <w:t xml:space="preserve">Bail-In Action”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240" w:after="283"/>
        <w:jc w:val="both"/>
        <w:rPr/>
      </w:pPr>
      <w:r>
        <w:rPr>
          <w:color w:val="000000"/>
        </w:rPr>
        <w:t>“</w:t>
      </w:r>
      <w:r>
        <w:rPr>
          <w:rFonts w:ascii="Times New Roman" w:hAnsi="Times New Roman"/>
          <w:i/>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i/>
          <w:color w:val="000000"/>
          <w:sz w:val="22"/>
        </w:rPr>
        <w:t xml:space="preserve">Bank of America” </w:t>
      </w:r>
      <w:r>
        <w:rPr>
          <w:rFonts w:ascii="Times New Roman" w:hAnsi="Times New Roman"/>
          <w:color w:val="000000"/>
          <w:sz w:val="22"/>
        </w:rPr>
        <w:t>means Bank of America, N.A. and its successors.</w:t>
      </w:r>
    </w:p>
    <w:p>
      <w:pPr>
        <w:pStyle w:val="TextBody"/>
        <w:bidi w:val="0"/>
        <w:spacing w:before="240" w:after="283"/>
        <w:jc w:val="both"/>
        <w:rPr/>
      </w:pPr>
      <w:r>
        <w:rPr>
          <w:color w:val="000000"/>
        </w:rPr>
        <w:t>“</w:t>
      </w:r>
      <w:r>
        <w:rPr>
          <w:rFonts w:ascii="Times New Roman" w:hAnsi="Times New Roman"/>
          <w:i/>
          <w:color w:val="000000"/>
          <w:sz w:val="22"/>
        </w:rPr>
        <w:t xml:space="preserve">Base Rate” </w:t>
      </w:r>
      <w:r>
        <w:rPr>
          <w:rFonts w:ascii="Times New Roman" w:hAnsi="Times New Roman"/>
          <w:color w:val="000000"/>
          <w:sz w:val="22"/>
        </w:rPr>
        <w:t xml:space="preserve">means for any day a fluctuating rate per annum equal to the highest of (a) the Federal Funds Rate plus </w:t>
      </w:r>
      <w:r>
        <w:rPr>
          <w:rFonts w:ascii="Times New Roman" w:hAnsi="Times New Roman"/>
          <w:strike/>
          <w:color w:val="FF0000"/>
          <w:sz w:val="22"/>
        </w:rPr>
        <w:t>1/2 of 1.00</w:t>
      </w:r>
      <w:r>
        <w:rPr>
          <w:rFonts w:ascii="Times New Roman" w:hAnsi="Times New Roman"/>
          <w:color w:val="0000FF"/>
          <w:sz w:val="22"/>
          <w:u w:val="single"/>
        </w:rPr>
        <w:t>0.50</w:t>
      </w:r>
      <w:r>
        <w:rPr>
          <w:rFonts w:ascii="Times New Roman" w:hAnsi="Times New Roman"/>
          <w:color w:val="000000"/>
          <w:sz w:val="22"/>
        </w:rPr>
        <w:t>%, (b) the rate of interest in effect for such day as publicly announced from time to time by Bank of America as its “prime rate,” and (c) Term SOFR plus 1.00%, subject to the interest rate floors set forth therein; and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Section 3.03 hereof, then the Base Rate shall be the greater of clauses (a) and (b) above and shall be determined without reference to clause (c) above.</w:t>
      </w:r>
    </w:p>
    <w:p>
      <w:pPr>
        <w:pStyle w:val="TextBody"/>
        <w:bidi w:val="0"/>
        <w:spacing w:before="240" w:after="283"/>
        <w:jc w:val="both"/>
        <w:rPr/>
      </w:pPr>
      <w:r>
        <w:rPr>
          <w:color w:val="000000"/>
        </w:rPr>
        <w:t>“</w:t>
      </w:r>
      <w:r>
        <w:rPr>
          <w:rFonts w:ascii="Times New Roman" w:hAnsi="Times New Roman"/>
          <w:i/>
          <w:color w:val="000000"/>
          <w:sz w:val="22"/>
        </w:rPr>
        <w:t xml:space="preserve">Base Rate Loan” </w:t>
      </w:r>
      <w:r>
        <w:rPr>
          <w:rFonts w:ascii="Times New Roman" w:hAnsi="Times New Roman"/>
          <w:color w:val="000000"/>
          <w:sz w:val="22"/>
        </w:rPr>
        <w:t>means a Revolving Credit Loan or Incremental Term Loan that bears interest based on the Base Rate. All Base Rate Loans are only available to the Domestic Borrower and shall be denominated in Dollars.</w:t>
      </w:r>
    </w:p>
    <w:p>
      <w:pPr>
        <w:pStyle w:val="TextBody"/>
        <w:bidi w:val="0"/>
        <w:spacing w:before="240" w:after="283"/>
        <w:jc w:val="both"/>
        <w:rPr/>
      </w:pPr>
      <w:r>
        <w:rPr>
          <w:color w:val="000000"/>
        </w:rPr>
        <w:t>“</w:t>
      </w:r>
      <w:r>
        <w:rPr>
          <w:rFonts w:ascii="Times New Roman" w:hAnsi="Times New Roman"/>
          <w:i/>
          <w:color w:val="000000"/>
          <w:sz w:val="22"/>
        </w:rPr>
        <w:t>Beneficial Ownership Certification</w:t>
      </w:r>
      <w:r>
        <w:rPr>
          <w:rFonts w:ascii="Times New Roman" w:hAnsi="Times New Roman"/>
          <w:color w:val="000000"/>
          <w:sz w:val="20"/>
        </w:rPr>
        <w:t xml:space="preserve">” </w:t>
      </w:r>
      <w:r>
        <w:rPr>
          <w:rFonts w:ascii="Times New Roman" w:hAnsi="Times New Roman"/>
          <w:color w:val="000000"/>
          <w:sz w:val="22"/>
        </w:rPr>
        <w:t xml:space="preserve">means a certification regarding beneficial ownership </w:t>
      </w:r>
      <w:r>
        <w:rPr>
          <w:rFonts w:ascii="Times New Roman" w:hAnsi="Times New Roman"/>
          <w:color w:val="000000"/>
          <w:sz w:val="20"/>
        </w:rPr>
        <w:t>required by the Beneficial Ownership Regulation.</w:t>
      </w:r>
    </w:p>
    <w:p>
      <w:pPr>
        <w:pStyle w:val="TextBody"/>
        <w:bidi w:val="0"/>
        <w:spacing w:before="240" w:after="283"/>
        <w:jc w:val="both"/>
        <w:rPr/>
      </w:pPr>
      <w:r>
        <w:rPr>
          <w:color w:val="000000"/>
        </w:rPr>
        <w:t>“</w:t>
      </w:r>
      <w:r>
        <w:rPr>
          <w:rFonts w:ascii="Times New Roman" w:hAnsi="Times New Roman"/>
          <w:i/>
          <w:color w:val="000000"/>
          <w:sz w:val="22"/>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240" w:after="283"/>
        <w:jc w:val="both"/>
        <w:rPr/>
      </w:pPr>
      <w:r>
        <w:rPr>
          <w:color w:val="000000"/>
        </w:rPr>
        <w:t>“</w:t>
      </w:r>
      <w:r>
        <w:rPr>
          <w:rFonts w:ascii="Times New Roman" w:hAnsi="Times New Roman"/>
          <w:i/>
          <w:color w:val="000000"/>
          <w:sz w:val="22"/>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240" w:after="283"/>
        <w:jc w:val="both"/>
        <w:rPr/>
      </w:pPr>
      <w:r>
        <w:rPr>
          <w:color w:val="000000"/>
        </w:rPr>
        <w:t>“</w:t>
      </w:r>
      <w:r>
        <w:rPr>
          <w:rFonts w:ascii="Times New Roman" w:hAnsi="Times New Roman"/>
          <w:i/>
          <w:color w:val="000000"/>
          <w:sz w:val="22"/>
        </w:rPr>
        <w:t xml:space="preserve">Borrowers” </w:t>
      </w:r>
      <w:r>
        <w:rPr>
          <w:rFonts w:ascii="Times New Roman" w:hAnsi="Times New Roman"/>
          <w:color w:val="000000"/>
          <w:sz w:val="22"/>
        </w:rPr>
        <w:t>has the meaning specified in the introductory paragraph hereto.</w:t>
      </w:r>
    </w:p>
    <w:p>
      <w:pPr>
        <w:pStyle w:val="TextBody"/>
        <w:bidi w:val="0"/>
        <w:spacing w:before="240" w:after="283"/>
        <w:jc w:val="both"/>
        <w:rPr/>
      </w:pPr>
      <w:r>
        <w:rPr>
          <w:color w:val="000000"/>
        </w:rPr>
        <w:t>“</w:t>
      </w:r>
      <w:r>
        <w:rPr>
          <w:rFonts w:ascii="Times New Roman" w:hAnsi="Times New Roman"/>
          <w:i/>
          <w:color w:val="000000"/>
          <w:sz w:val="22"/>
        </w:rPr>
        <w:t xml:space="preserve">Borrower Materials” </w:t>
      </w:r>
      <w:r>
        <w:rPr>
          <w:rFonts w:ascii="Times New Roman" w:hAnsi="Times New Roman"/>
          <w:color w:val="000000"/>
          <w:sz w:val="22"/>
        </w:rPr>
        <w:t>has the meaning specified in Section 6.02.</w:t>
      </w:r>
    </w:p>
    <w:p>
      <w:pPr>
        <w:pStyle w:val="TextBody"/>
        <w:bidi w:val="0"/>
        <w:spacing w:before="240" w:after="283"/>
        <w:jc w:val="both"/>
        <w:rPr/>
      </w:pPr>
      <w:r>
        <w:rPr>
          <w:color w:val="000000"/>
        </w:rPr>
        <w:t>“</w:t>
      </w:r>
      <w:r>
        <w:rPr>
          <w:rFonts w:ascii="Times New Roman" w:hAnsi="Times New Roman"/>
          <w:i/>
          <w:color w:val="000000"/>
          <w:sz w:val="22"/>
        </w:rPr>
        <w:t xml:space="preserve">Borrowing” </w:t>
      </w:r>
      <w:r>
        <w:rPr>
          <w:rFonts w:ascii="Times New Roman" w:hAnsi="Times New Roman"/>
          <w:color w:val="000000"/>
          <w:sz w:val="22"/>
        </w:rPr>
        <w:t>means a Revolving Credit Borrowing, a Swingline Borrowing or an Incremental Term Borrowing, as the context may require.</w:t>
      </w:r>
    </w:p>
    <w:p>
      <w:pPr>
        <w:pStyle w:val="TextBody"/>
        <w:bidi w:val="0"/>
        <w:spacing w:before="240" w:after="283"/>
        <w:jc w:val="both"/>
        <w:rPr/>
      </w:pPr>
      <w:r>
        <w:rPr>
          <w:color w:val="000000"/>
        </w:rPr>
        <w:t>“</w:t>
      </w:r>
      <w:r>
        <w:rPr>
          <w:rFonts w:ascii="Times New Roman" w:hAnsi="Times New Roman"/>
          <w:i/>
          <w:color w:val="000000"/>
          <w:sz w:val="22"/>
        </w:rPr>
        <w:t xml:space="preserve">Business Day” </w:t>
      </w:r>
      <w:r>
        <w:rPr>
          <w:rFonts w:ascii="Times New Roman" w:hAnsi="Times New Roman"/>
          <w:color w:val="000000"/>
          <w:sz w:val="22"/>
        </w:rPr>
        <w:t>means any day other than a Saturday, Sunday or other day on which commercial banks are authorized to close under the Laws of, or are in fact closed in, the state where the Administrative Agent's Office is located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if such day relates to any fundings, disbursements, settlements and payments in a currency other than Euro</w:t>
      </w:r>
      <w:r>
        <w:rPr>
          <w:color w:val="0000FF"/>
          <w:u w:val="single"/>
        </w:rPr>
        <w:t xml:space="preserve"> </w:t>
      </w:r>
      <w:r>
        <w:rPr>
          <w:rFonts w:ascii="Times New Roman" w:hAnsi="Times New Roman"/>
          <w:color w:val="0000FF"/>
          <w:sz w:val="22"/>
          <w:u w:val="single"/>
        </w:rPr>
        <w:t>or Sterling</w:t>
      </w:r>
      <w:r>
        <w:rPr>
          <w:color w:val="0000FF"/>
        </w:rPr>
        <w:t xml:space="preserve"> </w:t>
      </w:r>
      <w:r>
        <w:rPr>
          <w:rFonts w:ascii="Times New Roman" w:hAnsi="Times New Roman"/>
          <w:color w:val="000000"/>
          <w:sz w:val="22"/>
        </w:rPr>
        <w:t>in respect of an Alternative Currency Loan denominated in a currency other than Euro</w:t>
      </w:r>
      <w:r>
        <w:rPr>
          <w:color w:val="0000FF"/>
          <w:u w:val="single"/>
        </w:rPr>
        <w:t xml:space="preserve"> </w:t>
      </w:r>
      <w:r>
        <w:rPr>
          <w:rFonts w:ascii="Times New Roman" w:hAnsi="Times New Roman"/>
          <w:color w:val="0000FF"/>
          <w:sz w:val="22"/>
          <w:u w:val="single"/>
        </w:rPr>
        <w:t>or Sterling</w:t>
      </w:r>
      <w:r>
        <w:rPr>
          <w:rFonts w:ascii="Times New Roman" w:hAnsi="Times New Roman"/>
          <w:color w:val="000000"/>
          <w:sz w:val="22"/>
        </w:rPr>
        <w:t>, or any other dealings in any currency other than Euro</w:t>
      </w:r>
      <w:r>
        <w:rPr>
          <w:color w:val="0000FF"/>
          <w:u w:val="single"/>
        </w:rPr>
        <w:t xml:space="preserve"> </w:t>
      </w:r>
      <w:r>
        <w:rPr>
          <w:rFonts w:ascii="Times New Roman" w:hAnsi="Times New Roman"/>
          <w:color w:val="0000FF"/>
          <w:sz w:val="22"/>
          <w:u w:val="single"/>
        </w:rPr>
        <w:t>or Sterling</w:t>
      </w:r>
      <w:r>
        <w:rPr>
          <w:color w:val="0000FF"/>
        </w:rPr>
        <w:t xml:space="preserve"> </w:t>
      </w:r>
      <w:r>
        <w:rPr>
          <w:rFonts w:ascii="Times New Roman" w:hAnsi="Times New Roman"/>
          <w:color w:val="000000"/>
          <w:sz w:val="22"/>
        </w:rPr>
        <w:t>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pStyle w:val="TextBody"/>
        <w:bidi w:val="0"/>
        <w:spacing w:before="240" w:after="283"/>
        <w:jc w:val="both"/>
        <w:rPr/>
      </w:pPr>
      <w:r>
        <w:rPr>
          <w:color w:val="000000"/>
        </w:rPr>
        <w:t>“</w:t>
      </w:r>
      <w:r>
        <w:rPr>
          <w:rFonts w:ascii="Times New Roman" w:hAnsi="Times New Roman"/>
          <w:i/>
          <w:color w:val="000000"/>
          <w:sz w:val="22"/>
        </w:rPr>
        <w:t xml:space="preserve">Capitalized Leases” </w:t>
      </w:r>
      <w:r>
        <w:rPr>
          <w:rFonts w:ascii="Times New Roman" w:hAnsi="Times New Roman"/>
          <w:color w:val="000000"/>
          <w:sz w:val="22"/>
        </w:rPr>
        <w:t>means all leases that have been or should be, in accordance with GAAP, recorded as capitalized leases.</w:t>
      </w:r>
    </w:p>
    <w:p>
      <w:pPr>
        <w:pStyle w:val="TextBody"/>
        <w:bidi w:val="0"/>
        <w:spacing w:before="240" w:after="283"/>
        <w:jc w:val="both"/>
        <w:rPr/>
      </w:pPr>
      <w:r>
        <w:rPr>
          <w:color w:val="000000"/>
        </w:rPr>
        <w:t>“</w:t>
      </w:r>
      <w:r>
        <w:rPr>
          <w:rFonts w:ascii="Times New Roman" w:hAnsi="Times New Roman"/>
          <w:i/>
          <w:color w:val="000000"/>
          <w:sz w:val="22"/>
        </w:rPr>
        <w:t xml:space="preserve">Cash Collateralize” </w:t>
      </w:r>
      <w:r>
        <w:rPr>
          <w:rFonts w:ascii="Times New Roman" w:hAnsi="Times New Roman"/>
          <w:color w:val="000000"/>
          <w:sz w:val="22"/>
        </w:rPr>
        <w:t xml:space="preserve">means to deposit in a Controlled Account or to pledge and deposit with or deliver to the Administrative Agent, for the benefit of one or more of the L/C Issuers or Swingline Lender (as applicable) or the Lenders, as collateral for L/C Obligations, the Obligations in respect of Swingline Loans, or obligations of the Revolving Credit Lenders to fund participations in respect of either thereof (as the context may require), cash or deposit account balances or, if the Administrative Agent and the applicable L/C Issuers or Swingline Lender, as applicable, shall agree in their sole discretion, other credit support, in each case pursuant to documentation in form and substance satisfactory to the Administrative Agent and such L/C Issuer or Swingline Lender (as applicable). </w:t>
      </w:r>
      <w:r>
        <w:rPr>
          <w:rFonts w:ascii="Times New Roman" w:hAnsi="Times New Roman"/>
          <w:color w:val="000000"/>
          <w:sz w:val="20"/>
        </w:rPr>
        <w:t>“</w:t>
      </w:r>
      <w:r>
        <w:rPr>
          <w:rFonts w:ascii="Times New Roman" w:hAnsi="Times New Roman"/>
          <w:i/>
          <w:color w:val="000000"/>
          <w:sz w:val="22"/>
        </w:rPr>
        <w:t xml:space="preserve">Cash Collateral” </w:t>
      </w:r>
      <w:r>
        <w:rPr>
          <w:rFonts w:ascii="Times New Roman" w:hAnsi="Times New Roman"/>
          <w:color w:val="000000"/>
          <w:sz w:val="22"/>
        </w:rPr>
        <w:t>shall have a meaning correlative to the foregoing and shall include the proceeds of such cash collateral and other credit support.</w:t>
      </w:r>
    </w:p>
    <w:p>
      <w:pPr>
        <w:pStyle w:val="TextBody"/>
        <w:bidi w:val="0"/>
        <w:spacing w:before="240" w:after="283"/>
        <w:jc w:val="both"/>
        <w:rPr/>
      </w:pPr>
      <w:r>
        <w:rPr>
          <w:color w:val="000000"/>
        </w:rPr>
        <w:t>“</w:t>
      </w:r>
      <w:r>
        <w:rPr>
          <w:rFonts w:ascii="Times New Roman" w:hAnsi="Times New Roman"/>
          <w:i/>
          <w:color w:val="000000"/>
          <w:sz w:val="22"/>
        </w:rPr>
        <w:t xml:space="preserve">Cash Equivalents” </w:t>
      </w:r>
      <w:r>
        <w:rPr>
          <w:rFonts w:ascii="Times New Roman" w:hAnsi="Times New Roman"/>
          <w:color w:val="000000"/>
          <w:sz w:val="22"/>
        </w:rPr>
        <w:t>means any of the following types of Investments, to the extent owned by the Domestic Borrower or any of its Subsidiaries free and clear of all Liens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hAnsi="Times New Roman"/>
          <w:i/>
          <w:color w:val="000000"/>
          <w:sz w:val="22"/>
        </w:rPr>
        <w:t xml:space="preserve">provided </w:t>
      </w:r>
      <w:r>
        <w:rPr>
          <w:rFonts w:ascii="Times New Roman" w:hAnsi="Times New Roman"/>
          <w:color w:val="000000"/>
          <w:sz w:val="22"/>
        </w:rPr>
        <w:t>that the full faith and credit of the United States of America is pledged in support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 (iii) has combined capital and surplus of at least $1,000,000,000, in each case with maturities of not more than 90 days from the date of acquisition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classified in accordance with GAAP as current assets of the Domestic Borrower or any of its Subsidiaries, in money market investment programs registered under the Investment Company Act of 1940, which are administered by reputable financial institutions having capital of at least $1,000,000,000 and the portfolios of which are limited solely to Investments of the character, quality and maturity described in clauses (a), (b) and (c) of this definition;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made or held in any country outside of the United States of America by any Foreign Subsidiary pursuant to that certain Investment Policy of Diodes Incorporated and Subsidiaries previously provided to the Lenders and as in effect on the date hereof.</w:t>
      </w:r>
    </w:p>
    <w:p>
      <w:pPr>
        <w:pStyle w:val="TextBody"/>
        <w:bidi w:val="0"/>
        <w:spacing w:before="240" w:after="283"/>
        <w:jc w:val="both"/>
        <w:rPr/>
      </w:pPr>
      <w:r>
        <w:rPr>
          <w:color w:val="000000"/>
        </w:rPr>
        <w:t>“</w:t>
      </w:r>
      <w:r>
        <w:rPr>
          <w:rFonts w:ascii="Times New Roman" w:hAnsi="Times New Roman"/>
          <w:i/>
          <w:color w:val="000000"/>
          <w:sz w:val="22"/>
        </w:rPr>
        <w:t xml:space="preserve">Cash Management Agreement” </w:t>
      </w:r>
      <w:r>
        <w:rPr>
          <w:rFonts w:ascii="Times New Roman" w:hAnsi="Times New Roman"/>
          <w:color w:val="000000"/>
          <w:sz w:val="22"/>
        </w:rPr>
        <w:t>means any agreement that is not prohibited by the terms hereof to provide treasury or cash management services, including deposit accounts, foreign exchange services, overnight draft, daylight and other overdraft services, credit cards, debit cards, p-cards (including purchasing cards and commercial cards), funds transfer, intraday credit, automated clearinghouse services, zero balance accounts/arrangements, returned check concentration, controlled disbursement, lockbox, account reconciliation and reporting and trade finance services and other cash management services.</w:t>
      </w:r>
    </w:p>
    <w:p>
      <w:pPr>
        <w:pStyle w:val="TextBody"/>
        <w:bidi w:val="0"/>
        <w:spacing w:before="240" w:after="283"/>
        <w:jc w:val="both"/>
        <w:rPr/>
      </w:pPr>
      <w:r>
        <w:rPr>
          <w:color w:val="000000"/>
        </w:rPr>
        <w:t>“</w:t>
      </w:r>
      <w:r>
        <w:rPr>
          <w:rFonts w:ascii="Times New Roman" w:hAnsi="Times New Roman"/>
          <w:i/>
          <w:color w:val="000000"/>
          <w:sz w:val="22"/>
        </w:rPr>
        <w:t xml:space="preserve">Cash Management Bank” </w:t>
      </w:r>
      <w:r>
        <w:rPr>
          <w:rFonts w:ascii="Times New Roman" w:hAnsi="Times New Roman"/>
          <w:color w:val="000000"/>
          <w:sz w:val="22"/>
        </w:rPr>
        <w:t>means any Person in its capacity as a party to a Cash Management Agreement that, (a) at the time it enters into a Cash Management Agreement with a Loan Party or any Subsidiary, is a Lender or an Affiliate of a Lender, or (b) at the time it (or its Affiliate) becomes a Lender, is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hAnsi="Times New Roman"/>
          <w:i/>
          <w:color w:val="000000"/>
          <w:sz w:val="22"/>
        </w:rPr>
        <w:t>provided</w:t>
      </w:r>
      <w:r>
        <w:rPr>
          <w:rFonts w:ascii="Times New Roman" w:hAnsi="Times New Roman"/>
          <w:color w:val="000000"/>
          <w:sz w:val="22"/>
        </w:rPr>
        <w:t>, however,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pStyle w:val="TextBody"/>
        <w:bidi w:val="0"/>
        <w:spacing w:before="240" w:after="283"/>
        <w:jc w:val="both"/>
        <w:rPr/>
      </w:pPr>
      <w:r>
        <w:rPr>
          <w:color w:val="000000"/>
        </w:rPr>
        <w:t>“</w:t>
      </w:r>
      <w:r>
        <w:rPr>
          <w:rFonts w:ascii="Times New Roman" w:hAnsi="Times New Roman"/>
          <w:i/>
          <w:color w:val="000000"/>
          <w:sz w:val="22"/>
        </w:rPr>
        <w:t xml:space="preserve">CERCLA” </w:t>
      </w:r>
      <w:r>
        <w:rPr>
          <w:rFonts w:ascii="Times New Roman" w:hAnsi="Times New Roman"/>
          <w:color w:val="000000"/>
          <w:sz w:val="22"/>
        </w:rPr>
        <w:t>means the Comprehensive Environmental Response, Compensation and Liability Act of 1980.</w:t>
      </w:r>
    </w:p>
    <w:p>
      <w:pPr>
        <w:pStyle w:val="TextBody"/>
        <w:bidi w:val="0"/>
        <w:spacing w:before="240" w:after="283"/>
        <w:jc w:val="both"/>
        <w:rPr/>
      </w:pPr>
      <w:r>
        <w:rPr>
          <w:color w:val="000000"/>
        </w:rPr>
        <w:t>“</w:t>
      </w:r>
      <w:r>
        <w:rPr>
          <w:rFonts w:ascii="Times New Roman" w:hAnsi="Times New Roman"/>
          <w:i/>
          <w:color w:val="000000"/>
          <w:sz w:val="22"/>
        </w:rPr>
        <w:t xml:space="preserve">CERCLIS” </w:t>
      </w:r>
      <w:r>
        <w:rPr>
          <w:rFonts w:ascii="Times New Roman" w:hAnsi="Times New Roman"/>
          <w:color w:val="000000"/>
          <w:sz w:val="22"/>
        </w:rPr>
        <w:t>means the Comprehensive Environmental Response, Compensation and Liability Information System maintained by the U.S. Environmental Protection Agency.</w:t>
      </w:r>
    </w:p>
    <w:p>
      <w:pPr>
        <w:pStyle w:val="TextBody"/>
        <w:bidi w:val="0"/>
        <w:spacing w:before="240" w:after="283"/>
        <w:jc w:val="both"/>
        <w:rPr/>
      </w:pPr>
      <w:r>
        <w:rPr>
          <w:color w:val="000000"/>
        </w:rPr>
        <w:t>“</w:t>
      </w:r>
      <w:r>
        <w:rPr>
          <w:rFonts w:ascii="Times New Roman" w:hAnsi="Times New Roman"/>
          <w:i/>
          <w:color w:val="000000"/>
          <w:sz w:val="22"/>
        </w:rPr>
        <w:t xml:space="preserve">CFC” </w:t>
      </w:r>
      <w:r>
        <w:rPr>
          <w:rFonts w:ascii="Times New Roman" w:hAnsi="Times New Roman"/>
          <w:color w:val="000000"/>
          <w:sz w:val="22"/>
        </w:rPr>
        <w:t>means a Person that is a controlled foreign corporation under Section 957 of the Code in which the Domestic Borrower or any Loan Party is a United States shareholder within the meaning of Section 951(b) of the Code.</w:t>
      </w:r>
    </w:p>
    <w:p>
      <w:pPr>
        <w:pStyle w:val="TextBody"/>
        <w:bidi w:val="0"/>
        <w:spacing w:before="240" w:after="283"/>
        <w:jc w:val="both"/>
        <w:rPr/>
      </w:pPr>
      <w:r>
        <w:rPr>
          <w:color w:val="000000"/>
        </w:rPr>
        <w:t>“</w:t>
      </w:r>
      <w:r>
        <w:rPr>
          <w:rFonts w:ascii="Times New Roman" w:hAnsi="Times New Roman"/>
          <w:i/>
          <w:color w:val="000000"/>
          <w:sz w:val="22"/>
        </w:rPr>
        <w:t xml:space="preserve">Change in Law” </w:t>
      </w:r>
      <w:r>
        <w:rPr>
          <w:rFonts w:ascii="Times New Roman" w:hAnsi="Times New Roman"/>
          <w:color w:val="000000"/>
          <w:sz w:val="22"/>
        </w:rPr>
        <w:t>means the occurrence, after the date of this Agreement, of any of the following: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color w:val="000000"/>
          <w:sz w:val="22"/>
        </w:rPr>
        <w:t xml:space="preserve">provided </w:t>
      </w:r>
      <w:r>
        <w:rPr>
          <w:rFonts w:ascii="Times New Roman" w:hAnsi="Times New Roman"/>
          <w:color w:val="000000"/>
          <w:sz w:val="22"/>
        </w:rPr>
        <w:t>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Change of Control” </w:t>
      </w:r>
      <w:r>
        <w:rPr>
          <w:rFonts w:ascii="Times New Roman" w:hAnsi="Times New Roman"/>
          <w:color w:val="000000"/>
          <w:sz w:val="22"/>
        </w:rPr>
        <w:t>means an event or series of events by which: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35% or more of the Equity Interests of the Domestic Borrower entitled to vote for members of the board of directors or equivalent governing body of the Domestic Borrower on a fully-diluted basis (and taking into account all such securities that such “person” or “group” has the right to acquire pursuant to any option right);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shall fail to own 100% of the Equity Interests of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Foreign Borrower.</w:t>
      </w:r>
    </w:p>
    <w:p>
      <w:pPr>
        <w:pStyle w:val="TextBody"/>
        <w:bidi w:val="0"/>
        <w:spacing w:before="240" w:after="283"/>
        <w:jc w:val="both"/>
        <w:rPr/>
      </w:pPr>
      <w:r>
        <w:rPr>
          <w:color w:val="000000"/>
        </w:rPr>
        <w:t>“</w:t>
      </w:r>
      <w:r>
        <w:rPr>
          <w:rFonts w:ascii="Times New Roman" w:hAnsi="Times New Roman"/>
          <w:i/>
          <w:color w:val="000000"/>
          <w:sz w:val="22"/>
        </w:rPr>
        <w:t xml:space="preserve">Closing Date” </w:t>
      </w:r>
      <w:r>
        <w:rPr>
          <w:rFonts w:ascii="Times New Roman" w:hAnsi="Times New Roman"/>
          <w:color w:val="000000"/>
          <w:sz w:val="22"/>
        </w:rPr>
        <w:t>means the first date all the conditions precedent in Section 4.01 are satisfied or waived in accordance with Section 11.01.</w:t>
      </w:r>
    </w:p>
    <w:p>
      <w:pPr>
        <w:pStyle w:val="TextBody"/>
        <w:bidi w:val="0"/>
        <w:spacing w:before="240" w:after="283"/>
        <w:jc w:val="both"/>
        <w:rPr/>
      </w:pPr>
      <w:r>
        <w:rPr>
          <w:color w:val="000000"/>
        </w:rPr>
        <w:t>“</w:t>
      </w:r>
      <w:r>
        <w:rPr>
          <w:rFonts w:ascii="Times New Roman" w:hAnsi="Times New Roman"/>
          <w:i/>
          <w:color w:val="000000"/>
          <w:sz w:val="22"/>
        </w:rPr>
        <w:t>CME</w:t>
      </w:r>
      <w:r>
        <w:rPr>
          <w:rFonts w:ascii="Times New Roman" w:hAnsi="Times New Roman"/>
          <w:color w:val="000000"/>
          <w:sz w:val="20"/>
        </w:rPr>
        <w:t xml:space="preserve">” </w:t>
      </w:r>
      <w:r>
        <w:rPr>
          <w:rFonts w:ascii="Times New Roman" w:hAnsi="Times New Roman"/>
          <w:color w:val="000000"/>
          <w:sz w:val="22"/>
        </w:rPr>
        <w:t>means CME Group Benchmark Administration Limited.</w:t>
      </w:r>
    </w:p>
    <w:p>
      <w:pPr>
        <w:pStyle w:val="TextBody"/>
        <w:bidi w:val="0"/>
        <w:spacing w:before="240" w:after="283"/>
        <w:jc w:val="both"/>
        <w:rPr/>
      </w:pPr>
      <w:r>
        <w:rPr>
          <w:color w:val="000000"/>
        </w:rPr>
        <w:t>“</w:t>
      </w:r>
      <w:r>
        <w:rPr>
          <w:rFonts w:ascii="Times New Roman" w:hAnsi="Times New Roman"/>
          <w:i/>
          <w:color w:val="000000"/>
          <w:sz w:val="22"/>
        </w:rPr>
        <w:t xml:space="preserve">Code” </w:t>
      </w:r>
      <w:r>
        <w:rPr>
          <w:rFonts w:ascii="Times New Roman" w:hAnsi="Times New Roman"/>
          <w:color w:val="000000"/>
          <w:sz w:val="22"/>
        </w:rPr>
        <w:t>means the Internal Revenue Code of 1986.</w:t>
      </w:r>
    </w:p>
    <w:p>
      <w:pPr>
        <w:pStyle w:val="TextBody"/>
        <w:bidi w:val="0"/>
        <w:spacing w:before="240" w:after="283"/>
        <w:jc w:val="both"/>
        <w:rPr/>
      </w:pPr>
      <w:r>
        <w:rPr>
          <w:color w:val="000000"/>
        </w:rPr>
        <w:t>“</w:t>
      </w:r>
      <w:r>
        <w:rPr>
          <w:rFonts w:ascii="Times New Roman" w:hAnsi="Times New Roman"/>
          <w:i/>
          <w:color w:val="000000"/>
          <w:sz w:val="22"/>
        </w:rPr>
        <w:t xml:space="preserve">Collateral” </w:t>
      </w:r>
      <w:r>
        <w:rPr>
          <w:rFonts w:ascii="Times New Roman" w:hAnsi="Times New Roman"/>
          <w:color w:val="000000"/>
          <w:sz w:val="22"/>
        </w:rPr>
        <w:t>means, collectively, all of the “Collateral” as defined in and referred to in the Collateral Agreement, all of the collateral referred to in the Foreign Security Agreements and all of the other property that is or is intended under the terms of the Collateral Documents to be subject to Liens in favor of the Administrative Agent for the benefit of the Secured Parties.</w:t>
      </w:r>
    </w:p>
    <w:p>
      <w:pPr>
        <w:pStyle w:val="TextBody"/>
        <w:bidi w:val="0"/>
        <w:spacing w:before="240" w:after="283"/>
        <w:jc w:val="both"/>
        <w:rPr/>
      </w:pPr>
      <w:r>
        <w:rPr>
          <w:color w:val="000000"/>
        </w:rPr>
        <w:t>“</w:t>
      </w:r>
      <w:r>
        <w:rPr>
          <w:rFonts w:ascii="Times New Roman" w:hAnsi="Times New Roman"/>
          <w:i/>
          <w:color w:val="000000"/>
          <w:sz w:val="22"/>
        </w:rPr>
        <w:t xml:space="preserve">Collateral Agreement” </w:t>
      </w:r>
      <w:r>
        <w:rPr>
          <w:rFonts w:ascii="Times New Roman" w:hAnsi="Times New Roman"/>
          <w:color w:val="000000"/>
          <w:sz w:val="22"/>
        </w:rPr>
        <w:t>means the Second Amended and Restated Collateral Agreement dated as of the Closing Date, executed by the Domestic Borrower and certain other Loan Parties in favor of the Administrative Agent, for the ratable benefit of the Secured Parties, together with each other collateral agreement, collateral agreement supplement, collateral agreement joinder and notice of grant of security interest delivered pursuant to Section 6.12, in each case, as amended, restated, supplemented or otherwise modified from time to time.</w:t>
      </w:r>
    </w:p>
    <w:p>
      <w:pPr>
        <w:pStyle w:val="TextBody"/>
        <w:bidi w:val="0"/>
        <w:spacing w:before="240" w:after="283"/>
        <w:jc w:val="both"/>
        <w:rPr/>
      </w:pPr>
      <w:r>
        <w:rPr>
          <w:color w:val="000000"/>
        </w:rPr>
        <w:t>“</w:t>
      </w:r>
      <w:r>
        <w:rPr>
          <w:rFonts w:ascii="Times New Roman" w:hAnsi="Times New Roman"/>
          <w:i/>
          <w:color w:val="000000"/>
          <w:sz w:val="22"/>
        </w:rPr>
        <w:t xml:space="preserve">Collateral Documents” </w:t>
      </w:r>
      <w:r>
        <w:rPr>
          <w:rFonts w:ascii="Times New Roman" w:hAnsi="Times New Roman"/>
          <w:color w:val="000000"/>
          <w:sz w:val="22"/>
        </w:rPr>
        <w:t>means, collectively, the Collateral Agreement, the Foreign Security Agreements and each of the collateral assignments, supplements, security agreements, pledge agreements or other similar agreements delivered to the Administrative Agent pursuant to Section 6.12 or pursuant to Section 6.12 of the Existing Credit Agreement, and each of the other agreements, instruments, supplements, addendums or documents that creates or purports to create a Lien in favor of the Administrative Agent for the benefit of the Secured Parties.</w:t>
      </w:r>
    </w:p>
    <w:p>
      <w:pPr>
        <w:pStyle w:val="TextBody"/>
        <w:bidi w:val="0"/>
        <w:spacing w:before="240" w:after="283"/>
        <w:jc w:val="both"/>
        <w:rPr/>
      </w:pPr>
      <w:r>
        <w:rPr>
          <w:color w:val="000000"/>
        </w:rPr>
        <w:t>“</w:t>
      </w:r>
      <w:r>
        <w:rPr>
          <w:rFonts w:ascii="Times New Roman" w:hAnsi="Times New Roman"/>
          <w:i/>
          <w:color w:val="000000"/>
          <w:sz w:val="22"/>
        </w:rPr>
        <w:t xml:space="preserve">Commitment” </w:t>
      </w:r>
      <w:r>
        <w:rPr>
          <w:rFonts w:ascii="Times New Roman" w:hAnsi="Times New Roman"/>
          <w:color w:val="000000"/>
          <w:sz w:val="22"/>
        </w:rPr>
        <w:t>means an Incremental Term Commitment or a Revolving Credit Commitment, as the context may require.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Committed Loan Notice” </w:t>
      </w:r>
      <w:r>
        <w:rPr>
          <w:rFonts w:ascii="Times New Roman" w:hAnsi="Times New Roman"/>
          <w:color w:val="000000"/>
          <w:sz w:val="22"/>
        </w:rPr>
        <w:t xml:space="preserve">means a notice of (a) a Borrowing, (b) a conversion of Loans from one Type to another, or (c) a continuation of Term SOFR Loans or Alternative Currency Term Rate Loans, pursuant to Section 2.02(a), which shall be substantially in the form of </w:t>
      </w:r>
      <w:r>
        <w:rPr>
          <w:rFonts w:ascii="Times New Roman" w:hAnsi="Times New Roman"/>
          <w:i/>
          <w:color w:val="000000"/>
          <w:sz w:val="22"/>
        </w:rPr>
        <w:t xml:space="preserve">Exhibit A </w:t>
      </w:r>
      <w:r>
        <w:rPr>
          <w:rFonts w:ascii="Times New Roman" w:hAnsi="Times New Roman"/>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Domestic Borrower.</w:t>
      </w:r>
    </w:p>
    <w:p>
      <w:pPr>
        <w:pStyle w:val="TextBody"/>
        <w:bidi w:val="0"/>
        <w:spacing w:before="240" w:after="283"/>
        <w:jc w:val="both"/>
        <w:rPr/>
      </w:pPr>
      <w:r>
        <w:rPr>
          <w:color w:val="000000"/>
        </w:rPr>
        <w:t>“</w:t>
      </w:r>
      <w:r>
        <w:rPr>
          <w:rFonts w:ascii="Times New Roman" w:hAnsi="Times New Roman"/>
          <w:i/>
          <w:color w:val="000000"/>
          <w:sz w:val="22"/>
        </w:rPr>
        <w:t xml:space="preserve">Commodity Exchange Act” </w:t>
      </w:r>
      <w:r>
        <w:rPr>
          <w:rFonts w:ascii="Times New Roman" w:hAnsi="Times New Roman"/>
          <w:color w:val="000000"/>
          <w:sz w:val="22"/>
        </w:rPr>
        <w:t xml:space="preserve">means the Commodity Exchange Act (7 U.S.C. § 1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240" w:after="283"/>
        <w:jc w:val="both"/>
        <w:rPr/>
      </w:pPr>
      <w:r>
        <w:rPr>
          <w:color w:val="000000"/>
        </w:rPr>
        <w:t>“</w:t>
      </w:r>
      <w:r>
        <w:rPr>
          <w:rFonts w:ascii="Times New Roman" w:hAnsi="Times New Roman"/>
          <w:i/>
          <w:color w:val="000000"/>
          <w:sz w:val="22"/>
        </w:rPr>
        <w:t>Communication</w:t>
      </w:r>
      <w:r>
        <w:rPr>
          <w:rFonts w:ascii="Times New Roman" w:hAnsi="Times New Roman"/>
          <w:color w:val="000000"/>
          <w:sz w:val="20"/>
        </w:rPr>
        <w:t xml:space="preserve">” </w:t>
      </w:r>
      <w:r>
        <w:rPr>
          <w:rFonts w:ascii="Times New Roman" w:hAnsi="Times New Roman"/>
          <w:color w:val="000000"/>
          <w:sz w:val="22"/>
        </w:rPr>
        <w:t>means this Agreement, any Loan Document and any document, amendment, approval, consent, information, notice, certificate, request, statement, disclosure or authorization related to any Loan Document.</w:t>
      </w:r>
    </w:p>
    <w:p>
      <w:pPr>
        <w:pStyle w:val="TextBody"/>
        <w:bidi w:val="0"/>
        <w:spacing w:before="240" w:after="283"/>
        <w:jc w:val="both"/>
        <w:rPr/>
      </w:pPr>
      <w:r>
        <w:rPr>
          <w:color w:val="000000"/>
        </w:rPr>
        <w:t>“</w:t>
      </w:r>
      <w:r>
        <w:rPr>
          <w:rFonts w:ascii="Times New Roman" w:hAnsi="Times New Roman"/>
          <w:i/>
          <w:color w:val="000000"/>
          <w:sz w:val="22"/>
        </w:rPr>
        <w:t xml:space="preserve">Compliance Certificate” </w:t>
      </w:r>
      <w:r>
        <w:rPr>
          <w:rFonts w:ascii="Times New Roman" w:hAnsi="Times New Roman"/>
          <w:color w:val="000000"/>
          <w:sz w:val="22"/>
        </w:rPr>
        <w:t xml:space="preserve">means a certificate substantially in the form of </w:t>
      </w:r>
      <w:r>
        <w:rPr>
          <w:rFonts w:ascii="Times New Roman" w:hAnsi="Times New Roman"/>
          <w:i/>
          <w:color w:val="000000"/>
          <w:sz w:val="22"/>
        </w:rPr>
        <w:t>Exhibit 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Conforming Changes</w:t>
      </w:r>
      <w:r>
        <w:rPr>
          <w:rFonts w:ascii="Times New Roman" w:hAnsi="Times New Roman"/>
          <w:color w:val="000000"/>
          <w:sz w:val="20"/>
        </w:rPr>
        <w:t xml:space="preserve">” </w:t>
      </w:r>
      <w:r>
        <w:rPr>
          <w:rFonts w:ascii="Times New Roman" w:hAnsi="Times New Roman"/>
          <w:color w:val="000000"/>
          <w:sz w:val="22"/>
        </w:rPr>
        <w:t>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before="240" w:after="283"/>
        <w:jc w:val="both"/>
        <w:rPr/>
      </w:pPr>
      <w:r>
        <w:rPr>
          <w:color w:val="000000"/>
        </w:rPr>
        <w:t>“</w:t>
      </w:r>
      <w:r>
        <w:rPr>
          <w:rFonts w:ascii="Times New Roman" w:hAnsi="Times New Roman"/>
          <w:i/>
          <w:color w:val="000000"/>
          <w:sz w:val="22"/>
        </w:rPr>
        <w:t xml:space="preserve">Connection Income Taxes” </w:t>
      </w:r>
      <w:r>
        <w:rPr>
          <w:rFonts w:ascii="Times New Roman" w:hAnsi="Times New Roman"/>
          <w:color w:val="000000"/>
          <w:sz w:val="22"/>
        </w:rPr>
        <w:t>means Other Connection Taxes that are imposed on or measured by net income (however denominated) or that are franchise Taxes or branch profits Taxes.</w:t>
      </w:r>
    </w:p>
    <w:p>
      <w:pPr>
        <w:pStyle w:val="TextBody"/>
        <w:bidi w:val="0"/>
        <w:spacing w:before="240" w:after="283"/>
        <w:jc w:val="both"/>
        <w:rPr/>
      </w:pPr>
      <w:r>
        <w:rPr>
          <w:color w:val="000000"/>
        </w:rPr>
        <w:t>“</w:t>
      </w:r>
      <w:r>
        <w:rPr>
          <w:rFonts w:ascii="Times New Roman" w:hAnsi="Times New Roman"/>
          <w:i/>
          <w:color w:val="000000"/>
          <w:sz w:val="22"/>
        </w:rPr>
        <w:t xml:space="preserve">Consolidated EBITDA” </w:t>
      </w:r>
      <w:r>
        <w:rPr>
          <w:rFonts w:ascii="Times New Roman" w:hAnsi="Times New Roman"/>
          <w:color w:val="000000"/>
          <w:sz w:val="22"/>
        </w:rPr>
        <w:t xml:space="preserve">means, at any date of determination, an amount equal to Consolidated Net Income of the Domestic Borrower and its Subsidiaries on a consolidated basis for the most recently completed Measurement Period </w:t>
      </w:r>
      <w:r>
        <w:rPr>
          <w:rFonts w:ascii="Times New Roman" w:hAnsi="Times New Roman"/>
          <w:i/>
          <w:color w:val="000000"/>
          <w:sz w:val="22"/>
        </w:rPr>
        <w:t xml:space="preserve">plus </w:t>
      </w:r>
      <w:r>
        <w:rPr>
          <w:rFonts w:ascii="Times New Roman" w:hAnsi="Times New Roman"/>
          <w:color w:val="000000"/>
          <w:sz w:val="22"/>
        </w:rPr>
        <w:t>(a) the following to the extent deducted in calculating such Consolidated Net Income: (i) Consolidated Interest Charges</w:t>
      </w:r>
      <w:r>
        <w:rPr>
          <w:rFonts w:ascii="Times New Roman" w:hAnsi="Times New Roman"/>
          <w:color w:val="FF0000"/>
          <w:sz w:val="22"/>
        </w:rPr>
        <w:t>,</w:t>
      </w:r>
      <w:r>
        <w:rPr>
          <w:rFonts w:ascii="Times New Roman" w:hAnsi="Times New Roman"/>
          <w:color w:val="0000FF"/>
          <w:sz w:val="22"/>
        </w:rPr>
        <w:t xml:space="preserve">; </w:t>
      </w:r>
      <w:r>
        <w:rPr>
          <w:rFonts w:ascii="Times New Roman" w:hAnsi="Times New Roman"/>
          <w:color w:val="000000"/>
          <w:sz w:val="22"/>
        </w:rPr>
        <w:t>(ii) the provision for Federal, state, local and foreign income taxes payable</w:t>
      </w:r>
      <w:r>
        <w:rPr>
          <w:rFonts w:ascii="Times New Roman" w:hAnsi="Times New Roman"/>
          <w:color w:val="FF0000"/>
          <w:sz w:val="22"/>
        </w:rPr>
        <w:t>,</w:t>
      </w:r>
      <w:r>
        <w:rPr>
          <w:rFonts w:ascii="Times New Roman" w:hAnsi="Times New Roman"/>
          <w:color w:val="0000FF"/>
          <w:sz w:val="22"/>
        </w:rPr>
        <w:t xml:space="preserve">; </w:t>
      </w:r>
      <w:r>
        <w:rPr>
          <w:rFonts w:ascii="Times New Roman" w:hAnsi="Times New Roman"/>
          <w:color w:val="000000"/>
          <w:sz w:val="22"/>
        </w:rPr>
        <w:t>(iii) depreciation and amortization expense</w:t>
      </w:r>
      <w:r>
        <w:rPr>
          <w:rFonts w:ascii="Times New Roman" w:hAnsi="Times New Roman"/>
          <w:color w:val="FF0000"/>
          <w:sz w:val="22"/>
        </w:rPr>
        <w:t>,</w:t>
      </w:r>
      <w:r>
        <w:rPr>
          <w:rFonts w:ascii="Times New Roman" w:hAnsi="Times New Roman"/>
          <w:color w:val="0000FF"/>
          <w:sz w:val="22"/>
        </w:rPr>
        <w:t xml:space="preserve">; </w:t>
      </w:r>
      <w:r>
        <w:rPr>
          <w:rFonts w:ascii="Times New Roman" w:hAnsi="Times New Roman"/>
          <w:color w:val="000000"/>
          <w:sz w:val="22"/>
        </w:rPr>
        <w:t xml:space="preserve">(iv) </w:t>
      </w:r>
      <w:r>
        <w:rPr>
          <w:rFonts w:ascii="Times New Roman" w:hAnsi="Times New Roman"/>
          <w:strike/>
          <w:color w:val="FF0000"/>
          <w:sz w:val="22"/>
        </w:rPr>
        <w:t>reserved,</w:t>
      </w:r>
      <w:r>
        <w:rPr>
          <w:rFonts w:ascii="Times New Roman" w:hAnsi="Times New Roman"/>
          <w:color w:val="0000FF"/>
          <w:sz w:val="22"/>
          <w:u w:val="single"/>
        </w:rPr>
        <w:t>any fees</w:t>
      </w:r>
      <w:r>
        <w:rPr>
          <w:rFonts w:ascii="Times New Roman" w:hAnsi="Times New Roman"/>
          <w:color w:val="0000FF"/>
          <w:sz w:val="20"/>
        </w:rPr>
        <w:t xml:space="preserve"> </w:t>
      </w:r>
      <w:r>
        <w:rPr>
          <w:rFonts w:ascii="Times New Roman" w:hAnsi="Times New Roman"/>
          <w:color w:val="0000FF"/>
          <w:sz w:val="22"/>
          <w:u w:val="single"/>
        </w:rPr>
        <w:t>(including any financial advisory fees, accounting fees, legal fees and other similar advisory and consulting</w:t>
      </w:r>
      <w:r>
        <w:rPr>
          <w:rFonts w:ascii="Times New Roman" w:hAnsi="Times New Roman"/>
          <w:color w:val="0000FF"/>
          <w:sz w:val="20"/>
        </w:rPr>
        <w:t xml:space="preserve"> </w:t>
      </w:r>
      <w:r>
        <w:rPr>
          <w:rFonts w:ascii="Times New Roman" w:hAnsi="Times New Roman"/>
          <w:color w:val="0000FF"/>
          <w:sz w:val="22"/>
          <w:u w:val="single"/>
        </w:rPr>
        <w:t>fees), expenses or charges incurred during such Measurement Period in connection with any Permitted</w:t>
      </w:r>
      <w:r>
        <w:rPr>
          <w:rFonts w:ascii="Times New Roman" w:hAnsi="Times New Roman"/>
          <w:color w:val="0000FF"/>
          <w:sz w:val="20"/>
        </w:rPr>
        <w:t xml:space="preserve"> </w:t>
      </w:r>
      <w:r>
        <w:rPr>
          <w:rFonts w:ascii="Times New Roman" w:hAnsi="Times New Roman"/>
          <w:color w:val="0000FF"/>
          <w:sz w:val="22"/>
          <w:u w:val="single"/>
        </w:rPr>
        <w:t>Acquisition, Investment, Disposition outside the ordinary course of business, incurrence or repayment of</w:t>
      </w:r>
      <w:r>
        <w:rPr>
          <w:rFonts w:ascii="Times New Roman" w:hAnsi="Times New Roman"/>
          <w:color w:val="0000FF"/>
          <w:sz w:val="20"/>
        </w:rPr>
        <w:t xml:space="preserve"> </w:t>
      </w:r>
      <w:r>
        <w:rPr>
          <w:rFonts w:ascii="Times New Roman" w:hAnsi="Times New Roman"/>
          <w:color w:val="0000FF"/>
          <w:sz w:val="22"/>
          <w:u w:val="single"/>
        </w:rPr>
        <w:t>Indebtedness (including such fees, expenses or charges related to the syndication of the credit facilities</w:t>
      </w:r>
      <w:r>
        <w:rPr>
          <w:rFonts w:ascii="Times New Roman" w:hAnsi="Times New Roman"/>
          <w:color w:val="0000FF"/>
          <w:sz w:val="20"/>
        </w:rPr>
        <w:t xml:space="preserve"> </w:t>
      </w:r>
      <w:r>
        <w:rPr>
          <w:rFonts w:ascii="Times New Roman" w:hAnsi="Times New Roman"/>
          <w:color w:val="0000FF"/>
          <w:sz w:val="22"/>
          <w:u w:val="single"/>
        </w:rPr>
        <w:t>represented by this Agreement and any other credit facilities), the issuance of Equity Interests, refinancing</w:t>
      </w:r>
      <w:r>
        <w:rPr>
          <w:rFonts w:ascii="Times New Roman" w:hAnsi="Times New Roman"/>
          <w:color w:val="0000FF"/>
          <w:sz w:val="20"/>
        </w:rPr>
        <w:t xml:space="preserve"> </w:t>
      </w:r>
      <w:r>
        <w:rPr>
          <w:rFonts w:ascii="Times New Roman" w:hAnsi="Times New Roman"/>
          <w:color w:val="0000FF"/>
          <w:sz w:val="22"/>
          <w:u w:val="single"/>
        </w:rPr>
        <w:t>transactions or the amendment or modification of any debt instrument (including any amendment or other</w:t>
      </w:r>
      <w:r>
        <w:rPr>
          <w:rFonts w:ascii="Times New Roman" w:hAnsi="Times New Roman"/>
          <w:color w:val="0000FF"/>
          <w:sz w:val="20"/>
        </w:rPr>
        <w:t xml:space="preserve"> </w:t>
      </w:r>
      <w:r>
        <w:rPr>
          <w:rFonts w:ascii="Times New Roman" w:hAnsi="Times New Roman"/>
          <w:color w:val="0000FF"/>
          <w:sz w:val="22"/>
          <w:u w:val="single"/>
        </w:rPr>
        <w:t>modification of this Agreement and any other credit facilities), in each case to the extent not prohibited by</w:t>
      </w:r>
      <w:r>
        <w:rPr>
          <w:rFonts w:ascii="Times New Roman" w:hAnsi="Times New Roman"/>
          <w:color w:val="0000FF"/>
          <w:sz w:val="20"/>
        </w:rPr>
        <w:t xml:space="preserve"> </w:t>
      </w:r>
      <w:r>
        <w:rPr>
          <w:rFonts w:ascii="Times New Roman" w:hAnsi="Times New Roman"/>
          <w:color w:val="0000FF"/>
          <w:sz w:val="22"/>
          <w:u w:val="single"/>
        </w:rPr>
        <w:t>this Agreement and including, in each case, any transaction consummated on or prior to the Amendment</w:t>
      </w:r>
      <w:r>
        <w:rPr>
          <w:rFonts w:ascii="Times New Roman" w:hAnsi="Times New Roman"/>
          <w:color w:val="0000FF"/>
          <w:sz w:val="20"/>
        </w:rPr>
        <w:t xml:space="preserve"> </w:t>
      </w:r>
      <w:r>
        <w:rPr>
          <w:rFonts w:ascii="Times New Roman" w:hAnsi="Times New Roman"/>
          <w:color w:val="0000FF"/>
          <w:sz w:val="22"/>
          <w:u w:val="single"/>
        </w:rPr>
        <w:t>No. 1 Effective Date and any such transaction undertaken but not completed;</w:t>
      </w:r>
      <w:r>
        <w:rPr>
          <w:rFonts w:ascii="Times New Roman" w:hAnsi="Times New Roman"/>
          <w:color w:val="0000FF"/>
          <w:sz w:val="20"/>
        </w:rPr>
        <w:t xml:space="preserve"> </w:t>
      </w:r>
      <w:r>
        <w:rPr>
          <w:rFonts w:ascii="Times New Roman" w:hAnsi="Times New Roman"/>
          <w:color w:val="000000"/>
          <w:sz w:val="22"/>
        </w:rPr>
        <w:t>(v) non-cash stock compensation expense, non-cash impairments of assets and intangibles and other non-cash charges (excluding write downs of accounts receivable, write-downs of inventory, and any other non-cash expense to the extent it represents an accrual of or a reserve for cash expense in any future period)</w:t>
      </w:r>
      <w:r>
        <w:rPr>
          <w:rFonts w:ascii="Times New Roman" w:hAnsi="Times New Roman"/>
          <w:color w:val="FF0000"/>
          <w:sz w:val="22"/>
        </w:rPr>
        <w:t>,</w:t>
      </w:r>
      <w:r>
        <w:rPr>
          <w:rFonts w:ascii="Times New Roman" w:hAnsi="Times New Roman"/>
          <w:color w:val="0000FF"/>
          <w:sz w:val="22"/>
        </w:rPr>
        <w:t xml:space="preserve">; </w:t>
      </w:r>
      <w:r>
        <w:rPr>
          <w:rFonts w:ascii="Times New Roman" w:hAnsi="Times New Roman"/>
          <w:color w:val="000000"/>
          <w:sz w:val="22"/>
        </w:rPr>
        <w:t>(vi)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with respect to any acquisitions permitted under Sections 7.03(g) and (i), non-cash adjustments in accordance with GAAP purchase accounting rules under FASB Statement No. 141 and EITF Issue No. 01-3, in the event that such an adjustment is required, in each case, as determined in accordance with GAAP</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rPr>
        <w:t xml:space="preserve">; </w:t>
      </w:r>
      <w:r>
        <w:rPr>
          <w:rFonts w:ascii="Times New Roman" w:hAnsi="Times New Roman"/>
          <w:color w:val="000000"/>
          <w:sz w:val="22"/>
        </w:rPr>
        <w:t>(vii) other non-recurring expenses reducing such Consolidated Net Income which do not represent a cash item in such period or any future period (in each case of or by the Domestic Borrower and its Subsidiaries for such Measurement Period)</w:t>
      </w:r>
      <w:r>
        <w:rPr>
          <w:rFonts w:ascii="Times New Roman" w:hAnsi="Times New Roman"/>
          <w:color w:val="0000FF"/>
          <w:sz w:val="22"/>
          <w:u w:val="single"/>
        </w:rPr>
        <w:t>; (viii) any restructuring charges, integration and facilities opening costs, project</w:t>
      </w:r>
      <w:r>
        <w:rPr>
          <w:rFonts w:ascii="Times New Roman" w:hAnsi="Times New Roman"/>
          <w:color w:val="0000FF"/>
          <w:sz w:val="20"/>
        </w:rPr>
        <w:t xml:space="preserve"> </w:t>
      </w:r>
      <w:r>
        <w:rPr>
          <w:rFonts w:ascii="Times New Roman" w:hAnsi="Times New Roman"/>
          <w:color w:val="0000FF"/>
          <w:sz w:val="22"/>
          <w:u w:val="single"/>
        </w:rPr>
        <w:t>start-up costs, costs related to the closure and/or consolidation of facilities, severance costs and recruiting</w:t>
      </w:r>
      <w:r>
        <w:rPr>
          <w:rFonts w:ascii="Times New Roman" w:hAnsi="Times New Roman"/>
          <w:color w:val="0000FF"/>
          <w:sz w:val="20"/>
        </w:rPr>
        <w:t xml:space="preserve"> </w:t>
      </w:r>
      <w:r>
        <w:rPr>
          <w:rFonts w:ascii="Times New Roman" w:hAnsi="Times New Roman"/>
          <w:color w:val="0000FF"/>
          <w:sz w:val="22"/>
          <w:u w:val="single"/>
        </w:rPr>
        <w:t>fees and expenses and costs incurred in connection with new systems design and implementation costs, in</w:t>
      </w:r>
      <w:r>
        <w:rPr>
          <w:rFonts w:ascii="Times New Roman" w:hAnsi="Times New Roman"/>
          <w:color w:val="0000FF"/>
          <w:sz w:val="20"/>
        </w:rPr>
        <w:t xml:space="preserve"> </w:t>
      </w:r>
      <w:r>
        <w:rPr>
          <w:rFonts w:ascii="Times New Roman" w:hAnsi="Times New Roman"/>
          <w:color w:val="0000FF"/>
          <w:sz w:val="22"/>
          <w:u w:val="single"/>
        </w:rPr>
        <w:t>each case, to the extent paid in cash during such Measurement Period; and (ix) the amount of “run rate” cost</w:t>
      </w:r>
      <w:r>
        <w:rPr>
          <w:rFonts w:ascii="Times New Roman" w:hAnsi="Times New Roman"/>
          <w:color w:val="0000FF"/>
          <w:sz w:val="20"/>
        </w:rPr>
        <w:t xml:space="preserve"> </w:t>
      </w:r>
      <w:r>
        <w:rPr>
          <w:rFonts w:ascii="Times New Roman" w:hAnsi="Times New Roman"/>
          <w:color w:val="0000FF"/>
          <w:sz w:val="22"/>
          <w:u w:val="single"/>
        </w:rPr>
        <w:t>savings, operating expense reductions, business optimization expenses and synergies related to Permitted</w:t>
      </w:r>
      <w:r>
        <w:rPr>
          <w:rFonts w:ascii="Times New Roman" w:hAnsi="Times New Roman"/>
          <w:color w:val="0000FF"/>
          <w:sz w:val="20"/>
        </w:rPr>
        <w:t xml:space="preserve"> </w:t>
      </w:r>
      <w:r>
        <w:rPr>
          <w:rFonts w:ascii="Times New Roman" w:hAnsi="Times New Roman"/>
          <w:color w:val="0000FF"/>
          <w:sz w:val="22"/>
          <w:u w:val="single"/>
        </w:rPr>
        <w:t>Acquisitions, Dispositions, restructurings, Investments and cost savings initiatives that are reasonably</w:t>
      </w:r>
      <w:r>
        <w:rPr>
          <w:rFonts w:ascii="Times New Roman" w:hAnsi="Times New Roman"/>
          <w:color w:val="0000FF"/>
          <w:sz w:val="20"/>
        </w:rPr>
        <w:t xml:space="preserve"> </w:t>
      </w:r>
      <w:r>
        <w:rPr>
          <w:rFonts w:ascii="Times New Roman" w:hAnsi="Times New Roman"/>
          <w:color w:val="0000FF"/>
          <w:sz w:val="22"/>
          <w:u w:val="single"/>
        </w:rPr>
        <w:t>identifiable, factually supportable and projected by the Domestic Borrower in good faith to result from</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actions that have been taken or with respect to which substantial steps have been taken or are expected to be</w:t>
      </w:r>
      <w:r>
        <w:rPr>
          <w:rFonts w:ascii="Times New Roman" w:hAnsi="Times New Roman"/>
          <w:color w:val="0000FF"/>
          <w:sz w:val="20"/>
        </w:rPr>
        <w:t xml:space="preserve"> </w:t>
      </w:r>
      <w:r>
        <w:rPr>
          <w:rFonts w:ascii="Times New Roman" w:hAnsi="Times New Roman"/>
          <w:color w:val="0000FF"/>
          <w:sz w:val="22"/>
          <w:u w:val="single"/>
        </w:rPr>
        <w:t>taken (in the good faith determination of the Domestic Borrower), in each case, within twenty-four (24)</w:t>
      </w:r>
      <w:r>
        <w:rPr>
          <w:rFonts w:ascii="Times New Roman" w:hAnsi="Times New Roman"/>
          <w:color w:val="0000FF"/>
          <w:sz w:val="20"/>
        </w:rPr>
        <w:t xml:space="preserve"> </w:t>
      </w:r>
      <w:r>
        <w:rPr>
          <w:rFonts w:ascii="Times New Roman" w:hAnsi="Times New Roman"/>
          <w:color w:val="0000FF"/>
          <w:sz w:val="22"/>
          <w:u w:val="single"/>
        </w:rPr>
        <w:t>months after such Permitted Acquisition, Disposition, restructuring, Investment or cost savings initiative or</w:t>
      </w:r>
      <w:r>
        <w:rPr>
          <w:rFonts w:ascii="Times New Roman" w:hAnsi="Times New Roman"/>
          <w:color w:val="0000FF"/>
          <w:sz w:val="20"/>
        </w:rPr>
        <w:t xml:space="preserve"> </w:t>
      </w:r>
      <w:r>
        <w:rPr>
          <w:rFonts w:ascii="Times New Roman" w:hAnsi="Times New Roman"/>
          <w:color w:val="0000FF"/>
          <w:sz w:val="22"/>
          <w:u w:val="single"/>
        </w:rPr>
        <w:t>(which will be added to Consolidated EBITDA as so projected until fully realized and calculated on a pro</w:t>
      </w:r>
      <w:r>
        <w:rPr>
          <w:rFonts w:ascii="Times New Roman" w:hAnsi="Times New Roman"/>
          <w:color w:val="0000FF"/>
          <w:sz w:val="20"/>
        </w:rPr>
        <w:t xml:space="preserve"> </w:t>
      </w:r>
      <w:r>
        <w:rPr>
          <w:rFonts w:ascii="Times New Roman" w:hAnsi="Times New Roman"/>
          <w:color w:val="0000FF"/>
          <w:sz w:val="22"/>
          <w:u w:val="single"/>
        </w:rPr>
        <w:t>forma basis as though such cost savings, operating expense reductions and synergies had been realized on</w:t>
      </w:r>
      <w:r>
        <w:rPr>
          <w:rFonts w:ascii="Times New Roman" w:hAnsi="Times New Roman"/>
          <w:color w:val="0000FF"/>
          <w:sz w:val="20"/>
        </w:rPr>
        <w:t xml:space="preserve"> </w:t>
      </w:r>
      <w:r>
        <w:rPr>
          <w:rFonts w:ascii="Times New Roman" w:hAnsi="Times New Roman"/>
          <w:color w:val="0000FF"/>
          <w:sz w:val="22"/>
          <w:u w:val="single"/>
        </w:rPr>
        <w:t>the first day of such period), net of the amount of actual benefits realized during such period from such</w:t>
      </w:r>
      <w:r>
        <w:rPr>
          <w:rFonts w:ascii="Times New Roman" w:hAnsi="Times New Roman"/>
          <w:color w:val="0000FF"/>
          <w:sz w:val="20"/>
        </w:rPr>
        <w:t xml:space="preserve"> </w:t>
      </w:r>
      <w:r>
        <w:rPr>
          <w:rFonts w:ascii="Times New Roman" w:hAnsi="Times New Roman"/>
          <w:color w:val="0000FF"/>
          <w:sz w:val="22"/>
          <w:u w:val="single"/>
        </w:rPr>
        <w:t>actions;</w:t>
      </w:r>
      <w:r>
        <w:rPr>
          <w:rFonts w:ascii="Times New Roman" w:hAnsi="Times New Roman"/>
          <w:color w:val="0000FF"/>
          <w:sz w:val="20"/>
        </w:rPr>
        <w:t xml:space="preserve"> </w:t>
      </w:r>
      <w:r>
        <w:rPr>
          <w:rFonts w:ascii="Times New Roman" w:hAnsi="Times New Roman"/>
          <w:color w:val="000000"/>
          <w:sz w:val="22"/>
        </w:rPr>
        <w:t xml:space="preserve">and </w:t>
      </w:r>
      <w:r>
        <w:rPr>
          <w:rFonts w:ascii="Times New Roman" w:hAnsi="Times New Roman"/>
          <w:i/>
          <w:color w:val="000000"/>
          <w:sz w:val="22"/>
        </w:rPr>
        <w:t xml:space="preserve">minus </w:t>
      </w:r>
      <w:r>
        <w:rPr>
          <w:rFonts w:ascii="Times New Roman" w:hAnsi="Times New Roman"/>
          <w:color w:val="000000"/>
          <w:sz w:val="22"/>
        </w:rPr>
        <w:t>(b) the following to the extent included in calculating such Consolidated Net Income: (i) Federal, state, local and foreign income tax credits</w:t>
      </w:r>
      <w:r>
        <w:rPr>
          <w:rFonts w:ascii="Times New Roman" w:hAnsi="Times New Roman"/>
          <w:color w:val="0000FF"/>
          <w:sz w:val="22"/>
        </w:rPr>
        <w:t xml:space="preserve">; </w:t>
      </w:r>
      <w:r>
        <w:rPr>
          <w:rFonts w:ascii="Times New Roman" w:hAnsi="Times New Roman"/>
          <w:color w:val="000000"/>
          <w:sz w:val="22"/>
        </w:rPr>
        <w:t>and (ii) all non-cash items increasing Consolidated Net Income (in each case of or by the Domestic Borrower and its Subsidiaries for such Measurement Period). For the purposes of calculating Consolidated EBITDA for any Measurement Period, pursuant to any determination of the Consolidated</w:t>
      </w:r>
      <w:r>
        <w:rPr>
          <w:rFonts w:ascii="Times New Roman" w:hAnsi="Times New Roman"/>
          <w:color w:val="0000FF"/>
          <w:sz w:val="20"/>
          <w:u w:val="single"/>
        </w:rPr>
        <w:t xml:space="preserve"> </w:t>
      </w:r>
      <w:r>
        <w:rPr>
          <w:rFonts w:ascii="Times New Roman" w:hAnsi="Times New Roman"/>
          <w:color w:val="0000FF"/>
          <w:sz w:val="22"/>
          <w:u w:val="single"/>
        </w:rPr>
        <w:t>Secured Net</w:t>
      </w:r>
      <w:r>
        <w:rPr>
          <w:rFonts w:ascii="Times New Roman" w:hAnsi="Times New Roman"/>
          <w:color w:val="0000FF"/>
          <w:sz w:val="20"/>
        </w:rPr>
        <w:t xml:space="preserve"> </w:t>
      </w:r>
      <w:r>
        <w:rPr>
          <w:rFonts w:ascii="Times New Roman" w:hAnsi="Times New Roman"/>
          <w:color w:val="000000"/>
          <w:sz w:val="22"/>
        </w:rPr>
        <w:t>Leverage Ratio or the Consolidated Interest Coverage Ratio, (x) the Consolidated EBITDA attributable to any Equity Interests of, or any assets comprising a division or business unit or a substantial part of all of the business of, a Subsidiary of the Domestic Borrower Disposed of during such Measurement Period shall be excluded from the calculation of Consolidated EBITDA as if such Disposition and the repayment of any Indebtedness in connection therewith occurred on the first day of such Measurement Period, and (y) the Consolidated EBITDA attributable to any Person, division or business unit acquired by the Domestic Borrower or any Subsidiary pursuant to an acquisition permitted hereunder during such Measurement Period shall be included in the calculation of Consolidated EBITDA as if such permitted acquisition occurred on the first day of such Measurement Period, giving effect only to such pro forma adjustments as are permitted by SEC Regulation S-X.</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the foregoing, the aggregate amount added back pursuant to clauses (iv), (viii) and (ix) for</w:t>
      </w:r>
      <w:r>
        <w:rPr>
          <w:rFonts w:ascii="Times New Roman" w:hAnsi="Times New Roman"/>
          <w:color w:val="0000FF"/>
          <w:sz w:val="20"/>
        </w:rPr>
        <w:t xml:space="preserve"> </w:t>
      </w:r>
      <w:r>
        <w:rPr>
          <w:rFonts w:ascii="Times New Roman" w:hAnsi="Times New Roman"/>
          <w:color w:val="0000FF"/>
          <w:sz w:val="22"/>
          <w:u w:val="single"/>
        </w:rPr>
        <w:t>any period shall not exceed an amount equal to twenty-five percent (25%) of Consolidated EBITDA for</w:t>
      </w:r>
      <w:r>
        <w:rPr>
          <w:rFonts w:ascii="Times New Roman" w:hAnsi="Times New Roman"/>
          <w:color w:val="0000FF"/>
          <w:sz w:val="20"/>
        </w:rPr>
        <w:t xml:space="preserve"> </w:t>
      </w:r>
      <w:r>
        <w:rPr>
          <w:rFonts w:ascii="Times New Roman" w:hAnsi="Times New Roman"/>
          <w:color w:val="0000FF"/>
          <w:sz w:val="22"/>
          <w:u w:val="single"/>
        </w:rPr>
        <w:t>such period (determined after giving effect to all such add-backs).</w:t>
      </w:r>
    </w:p>
    <w:p>
      <w:pPr>
        <w:pStyle w:val="TextBody"/>
        <w:bidi w:val="0"/>
        <w:spacing w:before="240" w:after="283"/>
        <w:jc w:val="both"/>
        <w:rPr/>
      </w:pPr>
      <w:r>
        <w:rPr>
          <w:color w:val="000000"/>
        </w:rPr>
        <w:t>“</w:t>
      </w:r>
      <w:r>
        <w:rPr>
          <w:rFonts w:ascii="Times New Roman" w:hAnsi="Times New Roman"/>
          <w:i/>
          <w:color w:val="000000"/>
          <w:sz w:val="22"/>
        </w:rPr>
        <w:t xml:space="preserve">Consolidated Funded Indebtedness” </w:t>
      </w:r>
      <w:r>
        <w:rPr>
          <w:rFonts w:ascii="Times New Roman" w:hAnsi="Times New Roman"/>
          <w:color w:val="000000"/>
          <w:sz w:val="22"/>
        </w:rPr>
        <w:t>means, as of any date of determination, for the Domestic Borrower and its Subsidiaries on a consolidated basis,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(other than trade accounts payable in the ordinary course of business, including Indebtedness incurred under Section 7.02(h)), (e) all Attributable Indebtedness in respect of Capitalized Leases and Synthetic Lease Obligations, (f) all obligations under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so-called “asset securitization” transaction (including, without limitation, any Securitization Transaction) or any factoring or accounts receivables financing facilities, (g) without duplication, all Guarantees with respect to outstanding Indebtedness of the types specified in clauses (a) through (f) above of Persons other than the Domestic Borrower or any Subsidiary, and (h) all Indebtedness of the types referred to in clauses (a) through (g) above of any partnership or joint venture (other than a joint venture that is itself a corporation or limited liability company) in which the Domestic Borrower or a Subsidiary is a general partner or joint venturer, unless such Indebtedness is expressly made non-recourse to the Domestic Borrower or such Subsidiary.</w:t>
      </w:r>
    </w:p>
    <w:p>
      <w:pPr>
        <w:pStyle w:val="TextBody"/>
        <w:bidi w:val="0"/>
        <w:spacing w:before="240" w:after="283"/>
        <w:jc w:val="both"/>
        <w:rPr/>
      </w:pPr>
      <w:r>
        <w:rPr>
          <w:color w:val="0000FF"/>
          <w:u w:val="single"/>
        </w:rPr>
        <w:t>“</w:t>
      </w:r>
      <w:r>
        <w:rPr>
          <w:rFonts w:ascii="Times New Roman" w:hAnsi="Times New Roman"/>
          <w:i/>
          <w:color w:val="0000FF"/>
          <w:sz w:val="22"/>
          <w:u w:val="single"/>
        </w:rPr>
        <w:t>Consolidated Funded Secured Indebtedness</w:t>
      </w:r>
      <w:r>
        <w:rPr>
          <w:rFonts w:ascii="Times New Roman" w:hAnsi="Times New Roman"/>
          <w:color w:val="0000FF"/>
          <w:sz w:val="20"/>
          <w:u w:val="single"/>
        </w:rPr>
        <w:t xml:space="preserve">” </w:t>
      </w:r>
      <w:r>
        <w:rPr>
          <w:rFonts w:ascii="Times New Roman" w:hAnsi="Times New Roman"/>
          <w:color w:val="0000FF"/>
          <w:sz w:val="22"/>
          <w:u w:val="single"/>
        </w:rPr>
        <w:t>means Consolidated Funded Indebtedness that is</w:t>
      </w:r>
      <w:r>
        <w:rPr>
          <w:rFonts w:ascii="Times New Roman" w:hAnsi="Times New Roman"/>
          <w:color w:val="0000FF"/>
          <w:sz w:val="20"/>
        </w:rPr>
        <w:t xml:space="preserve"> </w:t>
      </w:r>
      <w:r>
        <w:rPr>
          <w:rFonts w:ascii="Times New Roman" w:hAnsi="Times New Roman"/>
          <w:color w:val="0000FF"/>
          <w:sz w:val="22"/>
          <w:u w:val="single"/>
        </w:rPr>
        <w:t>secured by a Lien on the Collateral or any other asset of a Loan Party, including Capitalized Lease</w:t>
      </w:r>
    </w:p>
    <w:p>
      <w:pPr>
        <w:pStyle w:val="TextBody"/>
        <w:bidi w:val="0"/>
        <w:spacing w:before="240" w:after="283"/>
        <w:jc w:val="left"/>
        <w:rPr>
          <w:rFonts w:ascii="Times New Roman" w:hAnsi="Times New Roman"/>
          <w:color w:val="0000FF"/>
          <w:sz w:val="22"/>
          <w:u w:val="single"/>
        </w:rPr>
      </w:pPr>
      <w:r>
        <w:rPr>
          <w:rFonts w:ascii="Times New Roman" w:hAnsi="Times New Roman"/>
          <w:color w:val="0000FF"/>
          <w:sz w:val="22"/>
          <w:u w:val="single"/>
        </w:rPr>
        <w:t>Obligations.</w:t>
      </w:r>
    </w:p>
    <w:p>
      <w:pPr>
        <w:pStyle w:val="TextBody"/>
        <w:bidi w:val="0"/>
        <w:spacing w:before="240" w:after="283"/>
        <w:jc w:val="both"/>
        <w:rPr/>
      </w:pPr>
      <w:r>
        <w:rPr>
          <w:color w:val="000000"/>
        </w:rPr>
        <w:t>“</w:t>
      </w:r>
      <w:r>
        <w:rPr>
          <w:rFonts w:ascii="Times New Roman" w:hAnsi="Times New Roman"/>
          <w:i/>
          <w:color w:val="000000"/>
          <w:sz w:val="22"/>
        </w:rPr>
        <w:t xml:space="preserve">Consolidated Interest Charges” </w:t>
      </w:r>
      <w:r>
        <w:rPr>
          <w:rFonts w:ascii="Times New Roman" w:hAnsi="Times New Roman"/>
          <w:color w:val="000000"/>
          <w:sz w:val="22"/>
        </w:rPr>
        <w:t>means, for any Measurement Period, the sum of (a) all interest, premium payments, debt discount, fees, charges and related expenses in connection with borrowed money (including capitalized interest), including, without limitation, any Securitization Transaction, or in connection with the deferred purchase price of assets, in each case to the extent treated as interest in accordance with GAAP and (b) the portion of rent expense under Capitalized Leases that is treated as interest in accordance with GAAP, in each case, of or by the Domestic Borrower and its Subsidiaries on a consolidated basis for the most recently completed Measurement Period.</w:t>
      </w:r>
    </w:p>
    <w:p>
      <w:pPr>
        <w:pStyle w:val="TextBody"/>
        <w:bidi w:val="0"/>
        <w:spacing w:before="240" w:after="283"/>
        <w:jc w:val="both"/>
        <w:rPr/>
      </w:pPr>
      <w:r>
        <w:rPr>
          <w:color w:val="000000"/>
        </w:rPr>
        <w:t>“</w:t>
      </w:r>
      <w:r>
        <w:rPr>
          <w:rFonts w:ascii="Times New Roman" w:hAnsi="Times New Roman"/>
          <w:i/>
          <w:color w:val="000000"/>
          <w:sz w:val="22"/>
        </w:rPr>
        <w:t>Consolidated Interest Coverage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Consolidated EBITDA for the most recently completed Measurement Period, to (b) Consolidated Interest Charges paid in cash for the same Measurement Period.</w:t>
      </w:r>
    </w:p>
    <w:p>
      <w:pPr>
        <w:pStyle w:val="TextBody"/>
        <w:bidi w:val="0"/>
        <w:spacing w:before="240" w:after="283"/>
        <w:jc w:val="both"/>
        <w:rPr/>
      </w:pPr>
      <w:r>
        <w:rPr>
          <w:color w:val="000000"/>
        </w:rPr>
        <w:t>“</w:t>
      </w:r>
      <w:r>
        <w:rPr>
          <w:rFonts w:ascii="Times New Roman" w:hAnsi="Times New Roman"/>
          <w:i/>
          <w:color w:val="000000"/>
          <w:sz w:val="22"/>
        </w:rPr>
        <w:t>Consolidated</w:t>
      </w:r>
      <w:r>
        <w:rPr>
          <w:rFonts w:ascii="Times New Roman" w:hAnsi="Times New Roman"/>
          <w:color w:val="0000FF"/>
          <w:sz w:val="20"/>
          <w:u w:val="single"/>
        </w:rPr>
        <w:t xml:space="preserve"> </w:t>
      </w:r>
      <w:r>
        <w:rPr>
          <w:rFonts w:ascii="Times New Roman" w:hAnsi="Times New Roman"/>
          <w:i/>
          <w:color w:val="0000FF"/>
          <w:sz w:val="22"/>
          <w:u w:val="single"/>
        </w:rPr>
        <w:t>Net</w:t>
      </w:r>
      <w:r>
        <w:rPr>
          <w:rFonts w:ascii="Times New Roman" w:hAnsi="Times New Roman"/>
          <w:color w:val="0000FF"/>
          <w:sz w:val="20"/>
        </w:rPr>
        <w:t xml:space="preserve"> </w:t>
      </w:r>
      <w:r>
        <w:rPr>
          <w:rFonts w:ascii="Times New Roman" w:hAnsi="Times New Roman"/>
          <w:i/>
          <w:color w:val="000000"/>
          <w:sz w:val="22"/>
        </w:rPr>
        <w:t>Leverage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Consolidated Funded Indebtedness as of such date</w:t>
      </w:r>
      <w:r>
        <w:rPr>
          <w:rFonts w:ascii="Times New Roman" w:hAnsi="Times New Roman"/>
          <w:color w:val="0000FF"/>
          <w:sz w:val="20"/>
          <w:u w:val="single"/>
        </w:rPr>
        <w:t xml:space="preserve"> </w:t>
      </w:r>
      <w:r>
        <w:rPr>
          <w:rFonts w:ascii="Times New Roman" w:hAnsi="Times New Roman"/>
          <w:i/>
          <w:color w:val="0000FF"/>
          <w:sz w:val="22"/>
          <w:u w:val="single"/>
        </w:rPr>
        <w:t xml:space="preserve">less </w:t>
      </w:r>
      <w:r>
        <w:rPr>
          <w:rFonts w:ascii="Times New Roman" w:hAnsi="Times New Roman"/>
          <w:color w:val="0000FF"/>
          <w:sz w:val="22"/>
          <w:u w:val="single"/>
        </w:rPr>
        <w:t>unrestricted cash of the Loan Parties as of such date</w:t>
      </w:r>
      <w:r>
        <w:rPr>
          <w:rFonts w:ascii="Times New Roman" w:hAnsi="Times New Roman"/>
          <w:color w:val="0000FF"/>
          <w:sz w:val="20"/>
        </w:rPr>
        <w:t xml:space="preserve"> </w:t>
      </w:r>
      <w:r>
        <w:rPr>
          <w:rFonts w:ascii="Times New Roman" w:hAnsi="Times New Roman"/>
          <w:color w:val="0000FF"/>
          <w:sz w:val="22"/>
          <w:u w:val="single"/>
        </w:rPr>
        <w:t>not to exceed the greater of (x) $200,000,000 and (y) 100% of Consolidated EBITDA for the most recently</w:t>
      </w:r>
      <w:r>
        <w:rPr>
          <w:rFonts w:ascii="Times New Roman" w:hAnsi="Times New Roman"/>
          <w:color w:val="0000FF"/>
          <w:sz w:val="20"/>
        </w:rPr>
        <w:t xml:space="preserve"> </w:t>
      </w:r>
      <w:r>
        <w:rPr>
          <w:rFonts w:ascii="Times New Roman" w:hAnsi="Times New Roman"/>
          <w:color w:val="0000FF"/>
          <w:sz w:val="22"/>
          <w:u w:val="single"/>
        </w:rPr>
        <w:t>ended Measurement Period for which financial statements have been delivered pursuant to Section 6.01(a)</w:t>
      </w:r>
      <w:r>
        <w:rPr>
          <w:rFonts w:ascii="Times New Roman" w:hAnsi="Times New Roman"/>
          <w:color w:val="0000FF"/>
          <w:sz w:val="20"/>
        </w:rPr>
        <w:t xml:space="preserve"> </w:t>
      </w:r>
      <w:r>
        <w:rPr>
          <w:rFonts w:ascii="Times New Roman" w:hAnsi="Times New Roman"/>
          <w:color w:val="0000FF"/>
          <w:sz w:val="22"/>
          <w:u w:val="single"/>
        </w:rPr>
        <w:t>or (b)</w:t>
      </w:r>
      <w:r>
        <w:rPr>
          <w:rFonts w:ascii="Times New Roman" w:hAnsi="Times New Roman"/>
          <w:color w:val="0000FF"/>
          <w:sz w:val="20"/>
        </w:rPr>
        <w:t xml:space="preserve"> </w:t>
      </w:r>
      <w:r>
        <w:rPr>
          <w:rFonts w:ascii="Times New Roman" w:hAnsi="Times New Roman"/>
          <w:color w:val="000000"/>
          <w:sz w:val="22"/>
        </w:rPr>
        <w:t>to (b) Consolidated EBITDA for the most recently completed Measurement Period.</w:t>
      </w:r>
    </w:p>
    <w:p>
      <w:pPr>
        <w:pStyle w:val="TextBody"/>
        <w:bidi w:val="0"/>
        <w:spacing w:before="240" w:after="283"/>
        <w:jc w:val="both"/>
        <w:rPr/>
      </w:pPr>
      <w:r>
        <w:rPr>
          <w:color w:val="000000"/>
        </w:rPr>
        <w:t>“</w:t>
      </w:r>
      <w:r>
        <w:rPr>
          <w:rFonts w:ascii="Times New Roman" w:hAnsi="Times New Roman"/>
          <w:i/>
          <w:color w:val="000000"/>
          <w:sz w:val="22"/>
        </w:rPr>
        <w:t xml:space="preserve">Consolidated Net Income” </w:t>
      </w:r>
      <w:r>
        <w:rPr>
          <w:rFonts w:ascii="Times New Roman" w:hAnsi="Times New Roman"/>
          <w:color w:val="000000"/>
          <w:sz w:val="22"/>
        </w:rPr>
        <w:t xml:space="preserve">means, at any date of determination, the net income (or loss) of the Domestic Borrower and its Subsidiaries on a consolidated basis for the most recently completed Measurement Period; </w:t>
      </w:r>
      <w:r>
        <w:rPr>
          <w:rFonts w:ascii="Times New Roman" w:hAnsi="Times New Roman"/>
          <w:i/>
          <w:color w:val="000000"/>
          <w:sz w:val="22"/>
        </w:rPr>
        <w:t xml:space="preserve">provided </w:t>
      </w:r>
      <w:r>
        <w:rPr>
          <w:rFonts w:ascii="Times New Roman" w:hAnsi="Times New Roman"/>
          <w:color w:val="000000"/>
          <w:sz w:val="22"/>
        </w:rPr>
        <w:t>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Domestic Borrower’s equity in any net loss of any such Subsidiary for such Measurement Period shall be included in determining Consolidated Net Income, and (c) any income (or loss) for such Measurement Period of any Person if such Person is not a Subsidiary, except that the Domestic Borrower’s equity in the net income of any such Person for such Measurement Period shall be included in Consolidated Net Income up to the aggregate amount of cash actually distributed by such Person during such Measurement Period to the Domestic Borrower or a Subsidiary as a dividend or other distribution (and in the case of a dividend or other distribution to a Subsidiary, such Subsidiary is not precluded from further distributing such amount to the Domestic Borrower as described in clause (b) of this proviso).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FF"/>
          <w:u w:val="single"/>
        </w:rPr>
        <w:t>“</w:t>
      </w:r>
      <w:r>
        <w:rPr>
          <w:rFonts w:ascii="Times New Roman" w:hAnsi="Times New Roman"/>
          <w:i/>
          <w:color w:val="0000FF"/>
          <w:sz w:val="22"/>
          <w:u w:val="single"/>
        </w:rPr>
        <w:t xml:space="preserve">Consolidated Secured Net Leverage Ratio” </w:t>
      </w:r>
      <w:r>
        <w:rPr>
          <w:rFonts w:ascii="Times New Roman" w:hAnsi="Times New Roman"/>
          <w:color w:val="0000FF"/>
          <w:sz w:val="22"/>
          <w:u w:val="single"/>
        </w:rPr>
        <w:t>means, as of any date of determination, the ratio of (a)</w:t>
      </w:r>
      <w:r>
        <w:rPr>
          <w:rFonts w:ascii="Times New Roman" w:hAnsi="Times New Roman"/>
          <w:color w:val="0000FF"/>
          <w:sz w:val="20"/>
        </w:rPr>
        <w:t xml:space="preserve"> </w:t>
      </w:r>
      <w:r>
        <w:rPr>
          <w:rFonts w:ascii="Times New Roman" w:hAnsi="Times New Roman"/>
          <w:color w:val="0000FF"/>
          <w:sz w:val="22"/>
          <w:u w:val="single"/>
        </w:rPr>
        <w:t xml:space="preserve">Consolidated Funded Secured Indebtedness as of such date </w:t>
      </w:r>
      <w:r>
        <w:rPr>
          <w:rFonts w:ascii="Times New Roman" w:hAnsi="Times New Roman"/>
          <w:i/>
          <w:color w:val="0000FF"/>
          <w:sz w:val="22"/>
          <w:u w:val="single"/>
        </w:rPr>
        <w:t xml:space="preserve">less </w:t>
      </w:r>
      <w:r>
        <w:rPr>
          <w:rFonts w:ascii="Times New Roman" w:hAnsi="Times New Roman"/>
          <w:color w:val="0000FF"/>
          <w:sz w:val="22"/>
          <w:u w:val="single"/>
        </w:rPr>
        <w:t>unrestricted cash of the Loan Parties as of</w:t>
      </w:r>
      <w:r>
        <w:rPr>
          <w:rFonts w:ascii="Times New Roman" w:hAnsi="Times New Roman"/>
          <w:color w:val="0000FF"/>
          <w:sz w:val="20"/>
        </w:rPr>
        <w:t xml:space="preserve"> </w:t>
      </w:r>
      <w:r>
        <w:rPr>
          <w:rFonts w:ascii="Times New Roman" w:hAnsi="Times New Roman"/>
          <w:color w:val="0000FF"/>
          <w:sz w:val="22"/>
          <w:u w:val="single"/>
        </w:rPr>
        <w:t>such date not to exceed the greater of (x) $200,000,000 and (y) 100% of Consolidated EBITDA for the most</w:t>
      </w:r>
      <w:r>
        <w:rPr>
          <w:rFonts w:ascii="Times New Roman" w:hAnsi="Times New Roman"/>
          <w:color w:val="0000FF"/>
          <w:sz w:val="20"/>
        </w:rPr>
        <w:t xml:space="preserve"> </w:t>
      </w:r>
      <w:r>
        <w:rPr>
          <w:rFonts w:ascii="Times New Roman" w:hAnsi="Times New Roman"/>
          <w:color w:val="0000FF"/>
          <w:sz w:val="22"/>
          <w:u w:val="single"/>
        </w:rPr>
        <w:t>recently ended Measurement Period for which financial statements have been delivered pursuant to Section</w:t>
      </w:r>
      <w:r>
        <w:rPr>
          <w:rFonts w:ascii="Times New Roman" w:hAnsi="Times New Roman"/>
          <w:color w:val="0000FF"/>
          <w:sz w:val="20"/>
        </w:rPr>
        <w:t xml:space="preserve"> </w:t>
      </w:r>
      <w:r>
        <w:rPr>
          <w:rFonts w:ascii="Times New Roman" w:hAnsi="Times New Roman"/>
          <w:color w:val="0000FF"/>
          <w:sz w:val="22"/>
          <w:u w:val="single"/>
        </w:rPr>
        <w:t>6.01(a) or (b) to (b) Consolidated EBITDA for the most recently completed Measurement Period.</w:t>
      </w:r>
    </w:p>
    <w:p>
      <w:pPr>
        <w:pStyle w:val="TextBody"/>
        <w:bidi w:val="0"/>
        <w:spacing w:before="240" w:after="283"/>
        <w:jc w:val="both"/>
        <w:rPr/>
      </w:pPr>
      <w:r>
        <w:rPr>
          <w:color w:val="000000"/>
        </w:rPr>
        <w:t>“</w:t>
      </w:r>
      <w:r>
        <w:rPr>
          <w:rFonts w:ascii="Times New Roman" w:hAnsi="Times New Roman"/>
          <w:i/>
          <w:color w:val="000000"/>
          <w:sz w:val="22"/>
        </w:rPr>
        <w:t xml:space="preserve">Contractual Obligation” </w:t>
      </w:r>
      <w:r>
        <w:rPr>
          <w:rFonts w:ascii="Times New Roman" w:hAnsi="Times New Roman"/>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240" w:after="283"/>
        <w:jc w:val="both"/>
        <w:rPr/>
      </w:pPr>
      <w:r>
        <w:rPr>
          <w:color w:val="000000"/>
        </w:rPr>
        <w:t>“</w:t>
      </w:r>
      <w:r>
        <w:rPr>
          <w:rFonts w:ascii="Times New Roman" w:hAnsi="Times New Roman"/>
          <w:i/>
          <w:color w:val="000000"/>
          <w:sz w:val="22"/>
        </w:rPr>
        <w:t xml:space="preserve">Control” </w:t>
      </w:r>
      <w:r>
        <w:rPr>
          <w:rFonts w:ascii="Times New Roman" w:hAnsi="Times New Roman"/>
          <w:color w:val="000000"/>
          <w:sz w:val="22"/>
        </w:rPr>
        <w:t xml:space="preserve">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0"/>
        </w:rPr>
        <w:t>“</w:t>
      </w:r>
      <w:r>
        <w:rPr>
          <w:rFonts w:ascii="Times New Roman" w:hAnsi="Times New Roman"/>
          <w:i/>
          <w:color w:val="000000"/>
          <w:sz w:val="22"/>
        </w:rPr>
        <w:t xml:space="preserve">Controlling”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i/>
          <w:color w:val="000000"/>
          <w:sz w:val="22"/>
        </w:rPr>
        <w:t xml:space="preserve">Controlled” </w:t>
      </w:r>
      <w:r>
        <w:rPr>
          <w:rFonts w:ascii="Times New Roman" w:hAnsi="Times New Roman"/>
          <w:color w:val="000000"/>
          <w:sz w:val="22"/>
        </w:rPr>
        <w:t>have meanings correlative thereto.</w:t>
      </w:r>
    </w:p>
    <w:p>
      <w:pPr>
        <w:pStyle w:val="TextBody"/>
        <w:bidi w:val="0"/>
        <w:spacing w:before="240" w:after="283"/>
        <w:jc w:val="both"/>
        <w:rPr/>
      </w:pPr>
      <w:r>
        <w:rPr>
          <w:color w:val="000000"/>
        </w:rPr>
        <w:t>“</w:t>
      </w:r>
      <w:r>
        <w:rPr>
          <w:rFonts w:ascii="Times New Roman" w:hAnsi="Times New Roman"/>
          <w:i/>
          <w:color w:val="000000"/>
          <w:sz w:val="22"/>
        </w:rPr>
        <w:t>Controlled Account</w:t>
      </w:r>
      <w:r>
        <w:rPr>
          <w:rFonts w:ascii="Times New Roman" w:hAnsi="Times New Roman"/>
          <w:color w:val="000000"/>
          <w:sz w:val="20"/>
        </w:rPr>
        <w:t xml:space="preserve">” </w:t>
      </w:r>
      <w:r>
        <w:rPr>
          <w:rFonts w:ascii="Times New Roman" w:hAnsi="Times New Roman"/>
          <w:color w:val="000000"/>
          <w:sz w:val="22"/>
        </w:rPr>
        <w:t>means each deposit account and securities account that is subject to an account control agreement in form and substance satisfactory to the Administrative Agent and the L/C Issuers.</w:t>
      </w:r>
    </w:p>
    <w:p>
      <w:pPr>
        <w:pStyle w:val="TextBody"/>
        <w:bidi w:val="0"/>
        <w:spacing w:before="240" w:after="283"/>
        <w:jc w:val="both"/>
        <w:rPr/>
      </w:pPr>
      <w:r>
        <w:rPr>
          <w:color w:val="0000FF"/>
          <w:u w:val="single"/>
        </w:rPr>
        <w:t>“</w:t>
      </w:r>
      <w:r>
        <w:rPr>
          <w:rFonts w:ascii="Times New Roman" w:hAnsi="Times New Roman"/>
          <w:i/>
          <w:color w:val="0000FF"/>
          <w:sz w:val="22"/>
          <w:u w:val="single"/>
        </w:rPr>
        <w:t>Cost of Acquisition</w:t>
      </w:r>
      <w:r>
        <w:rPr>
          <w:rFonts w:ascii="Times New Roman" w:hAnsi="Times New Roman"/>
          <w:color w:val="0000FF"/>
          <w:sz w:val="20"/>
          <w:u w:val="single"/>
        </w:rPr>
        <w:t xml:space="preserve">” </w:t>
      </w:r>
      <w:r>
        <w:rPr>
          <w:rFonts w:ascii="Times New Roman" w:hAnsi="Times New Roman"/>
          <w:color w:val="0000FF"/>
          <w:sz w:val="22"/>
          <w:u w:val="single"/>
        </w:rPr>
        <w:t>means, with respect to any Permitted Acquisition, as at the date of entering</w:t>
      </w:r>
      <w:r>
        <w:rPr>
          <w:rFonts w:ascii="Times New Roman" w:hAnsi="Times New Roman"/>
          <w:color w:val="0000FF"/>
          <w:sz w:val="20"/>
        </w:rPr>
        <w:t xml:space="preserve"> </w:t>
      </w:r>
      <w:r>
        <w:rPr>
          <w:rFonts w:ascii="Times New Roman" w:hAnsi="Times New Roman"/>
          <w:color w:val="0000FF"/>
          <w:sz w:val="22"/>
          <w:u w:val="single"/>
        </w:rPr>
        <w:t>into any agreement therefor, the sum of the following (without duplication): (a) the value of the Equity</w:t>
      </w:r>
      <w:r>
        <w:rPr>
          <w:rFonts w:ascii="Times New Roman" w:hAnsi="Times New Roman"/>
          <w:color w:val="0000FF"/>
          <w:sz w:val="20"/>
        </w:rPr>
        <w:t xml:space="preserve"> </w:t>
      </w:r>
      <w:r>
        <w:rPr>
          <w:rFonts w:ascii="Times New Roman" w:hAnsi="Times New Roman"/>
          <w:color w:val="0000FF"/>
          <w:sz w:val="22"/>
          <w:u w:val="single"/>
        </w:rPr>
        <w:t>Interests of the Domestic Borrower or any Subsidiary to be transferred in connection with such Permitted</w:t>
      </w:r>
      <w:r>
        <w:rPr>
          <w:rFonts w:ascii="Times New Roman" w:hAnsi="Times New Roman"/>
          <w:color w:val="0000FF"/>
          <w:sz w:val="20"/>
        </w:rPr>
        <w:t xml:space="preserve"> </w:t>
      </w:r>
      <w:r>
        <w:rPr>
          <w:rFonts w:ascii="Times New Roman" w:hAnsi="Times New Roman"/>
          <w:color w:val="0000FF"/>
          <w:sz w:val="22"/>
          <w:u w:val="single"/>
        </w:rPr>
        <w:t>Acquisition, (b) the amount of any cash and fair market value of other property (excluding property</w:t>
      </w:r>
      <w:r>
        <w:rPr>
          <w:rFonts w:ascii="Times New Roman" w:hAnsi="Times New Roman"/>
          <w:color w:val="0000FF"/>
          <w:sz w:val="20"/>
        </w:rPr>
        <w:t xml:space="preserve"> </w:t>
      </w:r>
      <w:r>
        <w:rPr>
          <w:rFonts w:ascii="Times New Roman" w:hAnsi="Times New Roman"/>
          <w:color w:val="0000FF"/>
          <w:sz w:val="22"/>
          <w:u w:val="single"/>
        </w:rPr>
        <w:t>described in clause (a) and the unpaid principal amount of any debt instrument) given as consideration in</w:t>
      </w:r>
      <w:r>
        <w:rPr>
          <w:rFonts w:ascii="Times New Roman" w:hAnsi="Times New Roman"/>
          <w:color w:val="0000FF"/>
          <w:sz w:val="20"/>
        </w:rPr>
        <w:t xml:space="preserve"> </w:t>
      </w:r>
      <w:r>
        <w:rPr>
          <w:rFonts w:ascii="Times New Roman" w:hAnsi="Times New Roman"/>
          <w:color w:val="0000FF"/>
          <w:sz w:val="22"/>
          <w:u w:val="single"/>
        </w:rPr>
        <w:t>connection with such Permitted Acquisition, (c) the amount (determined by using the face amount or the</w:t>
      </w:r>
      <w:r>
        <w:rPr>
          <w:rFonts w:ascii="Times New Roman" w:hAnsi="Times New Roman"/>
          <w:color w:val="0000FF"/>
          <w:sz w:val="20"/>
        </w:rPr>
        <w:t xml:space="preserve"> </w:t>
      </w:r>
      <w:r>
        <w:rPr>
          <w:rFonts w:ascii="Times New Roman" w:hAnsi="Times New Roman"/>
          <w:color w:val="0000FF"/>
          <w:sz w:val="22"/>
          <w:u w:val="single"/>
        </w:rPr>
        <w:t>amount payable at maturity, whichever is greater) of any Indebtedness incurred, assumed or acquired by the</w:t>
      </w:r>
      <w:r>
        <w:rPr>
          <w:rFonts w:ascii="Times New Roman" w:hAnsi="Times New Roman"/>
          <w:color w:val="0000FF"/>
          <w:sz w:val="20"/>
        </w:rPr>
        <w:t xml:space="preserve"> </w:t>
      </w:r>
      <w:r>
        <w:rPr>
          <w:rFonts w:ascii="Times New Roman" w:hAnsi="Times New Roman"/>
          <w:color w:val="0000FF"/>
          <w:sz w:val="22"/>
          <w:u w:val="single"/>
        </w:rPr>
        <w:t>Domestic Borrower or any Subsidiary in connection with such Permitted Acquisition, (d) all additional</w:t>
      </w:r>
      <w:r>
        <w:rPr>
          <w:rFonts w:ascii="Times New Roman" w:hAnsi="Times New Roman"/>
          <w:color w:val="0000FF"/>
          <w:sz w:val="20"/>
        </w:rPr>
        <w:t xml:space="preserve"> </w:t>
      </w:r>
      <w:r>
        <w:rPr>
          <w:rFonts w:ascii="Times New Roman" w:hAnsi="Times New Roman"/>
          <w:color w:val="0000FF"/>
          <w:sz w:val="22"/>
          <w:u w:val="single"/>
        </w:rPr>
        <w:t>purchase price amounts in the form of earnouts and other contingent obligations that should be recorded on</w:t>
      </w:r>
      <w:r>
        <w:rPr>
          <w:rFonts w:ascii="Times New Roman" w:hAnsi="Times New Roman"/>
          <w:color w:val="0000FF"/>
          <w:sz w:val="20"/>
        </w:rPr>
        <w:t xml:space="preserve"> </w:t>
      </w:r>
      <w:r>
        <w:rPr>
          <w:rFonts w:ascii="Times New Roman" w:hAnsi="Times New Roman"/>
          <w:color w:val="0000FF"/>
          <w:sz w:val="22"/>
          <w:u w:val="single"/>
        </w:rPr>
        <w:t>the financial statements of the Domestic Borrower and its Subsidiaries in accordance with GAAP in</w:t>
      </w:r>
      <w:r>
        <w:rPr>
          <w:rFonts w:ascii="Times New Roman" w:hAnsi="Times New Roman"/>
          <w:color w:val="0000FF"/>
          <w:sz w:val="20"/>
        </w:rPr>
        <w:t xml:space="preserve"> </w:t>
      </w:r>
      <w:r>
        <w:rPr>
          <w:rFonts w:ascii="Times New Roman" w:hAnsi="Times New Roman"/>
          <w:color w:val="0000FF"/>
          <w:sz w:val="22"/>
          <w:u w:val="single"/>
        </w:rPr>
        <w:t>connection with such Permitted Acquisition, (e) all amounts paid in respect of covenants not to compete</w:t>
      </w:r>
      <w:r>
        <w:rPr>
          <w:rFonts w:ascii="Times New Roman" w:hAnsi="Times New Roman"/>
          <w:color w:val="0000FF"/>
          <w:sz w:val="20"/>
        </w:rPr>
        <w:t xml:space="preserve"> </w:t>
      </w:r>
      <w:r>
        <w:rPr>
          <w:rFonts w:ascii="Times New Roman" w:hAnsi="Times New Roman"/>
          <w:color w:val="0000FF"/>
          <w:sz w:val="22"/>
          <w:u w:val="single"/>
        </w:rPr>
        <w:t>and consulting agreements that should be recorded on the financial statements of the Domestic Borrower</w:t>
      </w:r>
      <w:r>
        <w:rPr>
          <w:rFonts w:ascii="Times New Roman" w:hAnsi="Times New Roman"/>
          <w:color w:val="0000FF"/>
          <w:sz w:val="20"/>
        </w:rPr>
        <w:t xml:space="preserve"> </w:t>
      </w:r>
      <w:r>
        <w:rPr>
          <w:rFonts w:ascii="Times New Roman" w:hAnsi="Times New Roman"/>
          <w:color w:val="0000FF"/>
          <w:sz w:val="22"/>
          <w:u w:val="single"/>
        </w:rPr>
        <w:t>and its Subsidiaries in accordance with GAAP, and other affiliated contracts in connection with such</w:t>
      </w:r>
      <w:r>
        <w:rPr>
          <w:rFonts w:ascii="Times New Roman" w:hAnsi="Times New Roman"/>
          <w:color w:val="0000FF"/>
          <w:sz w:val="20"/>
        </w:rPr>
        <w:t xml:space="preserve"> </w:t>
      </w:r>
      <w:r>
        <w:rPr>
          <w:rFonts w:ascii="Times New Roman" w:hAnsi="Times New Roman"/>
          <w:color w:val="0000FF"/>
          <w:sz w:val="22"/>
          <w:u w:val="single"/>
        </w:rPr>
        <w:t>Permitted Acquisition, and (f) the aggregate fair market value of all other consideration given by the</w:t>
      </w:r>
      <w:r>
        <w:rPr>
          <w:rFonts w:ascii="Times New Roman" w:hAnsi="Times New Roman"/>
          <w:color w:val="0000FF"/>
          <w:sz w:val="20"/>
        </w:rPr>
        <w:t xml:space="preserve"> </w:t>
      </w:r>
      <w:r>
        <w:rPr>
          <w:rFonts w:ascii="Times New Roman" w:hAnsi="Times New Roman"/>
          <w:color w:val="0000FF"/>
          <w:sz w:val="22"/>
          <w:u w:val="single"/>
        </w:rPr>
        <w:t>Domestic Borrower or any Subsidiary in connection with such Permitted Acquisition. For purposes of</w:t>
      </w:r>
      <w:r>
        <w:rPr>
          <w:rFonts w:ascii="Times New Roman" w:hAnsi="Times New Roman"/>
          <w:color w:val="0000FF"/>
          <w:sz w:val="20"/>
        </w:rPr>
        <w:t xml:space="preserve"> </w:t>
      </w:r>
      <w:r>
        <w:rPr>
          <w:rFonts w:ascii="Times New Roman" w:hAnsi="Times New Roman"/>
          <w:color w:val="0000FF"/>
          <w:sz w:val="22"/>
          <w:u w:val="single"/>
        </w:rPr>
        <w:t>determining the Cost of Acquisition for any transaction, the Equity Interests of the Domestic Borrower shall</w:t>
      </w:r>
      <w:r>
        <w:rPr>
          <w:rFonts w:ascii="Times New Roman" w:hAnsi="Times New Roman"/>
          <w:color w:val="0000FF"/>
          <w:sz w:val="20"/>
        </w:rPr>
        <w:t xml:space="preserve"> </w:t>
      </w:r>
      <w:r>
        <w:rPr>
          <w:rFonts w:ascii="Times New Roman" w:hAnsi="Times New Roman"/>
          <w:color w:val="0000FF"/>
          <w:sz w:val="22"/>
          <w:u w:val="single"/>
        </w:rPr>
        <w:t>be valued in accordance with GAAP.</w:t>
      </w:r>
    </w:p>
    <w:p>
      <w:pPr>
        <w:pStyle w:val="TextBody"/>
        <w:bidi w:val="0"/>
        <w:spacing w:before="240" w:after="283"/>
        <w:jc w:val="both"/>
        <w:rPr/>
      </w:pPr>
      <w:r>
        <w:rPr>
          <w:color w:val="000000"/>
        </w:rPr>
        <w:t>“</w:t>
      </w:r>
      <w:r>
        <w:rPr>
          <w:rFonts w:ascii="Times New Roman" w:hAnsi="Times New Roman"/>
          <w:i/>
          <w:color w:val="000000"/>
          <w:sz w:val="22"/>
        </w:rPr>
        <w:t>Covered Entity</w:t>
      </w:r>
      <w:r>
        <w:rPr>
          <w:rFonts w:ascii="Times New Roman" w:hAnsi="Times New Roman"/>
          <w:color w:val="000000"/>
          <w:sz w:val="20"/>
        </w:rPr>
        <w:t xml:space="preserve">” </w:t>
      </w:r>
      <w:r>
        <w:rPr>
          <w:rFonts w:ascii="Times New Roman" w:hAnsi="Times New Roman"/>
          <w:color w:val="000000"/>
          <w:sz w:val="22"/>
        </w:rPr>
        <w:t>means any of the following: (</w:t>
      </w:r>
      <w:r>
        <w:rPr>
          <w:rFonts w:ascii="Times New Roman" w:hAnsi="Times New Roman"/>
          <w:color w:val="FF0000"/>
          <w:sz w:val="22"/>
        </w:rPr>
        <w:t>i</w:t>
      </w:r>
      <w:r>
        <w:rPr>
          <w:rFonts w:ascii="Times New Roman" w:hAnsi="Times New Roman"/>
          <w:color w:val="0000FF"/>
          <w:sz w:val="22"/>
          <w:u w:val="single"/>
        </w:rPr>
        <w:t>a</w:t>
      </w:r>
      <w:r>
        <w:rPr>
          <w:rFonts w:ascii="Times New Roman" w:hAnsi="Times New Roman"/>
          <w:color w:val="000000"/>
          <w:sz w:val="22"/>
        </w:rPr>
        <w:t>) a “covered entity” as that term is defined in, and interpreted in accordance with, 12 C.F.R. § 252.82(b); (</w:t>
      </w:r>
      <w:r>
        <w:rPr>
          <w:rFonts w:ascii="Times New Roman" w:hAnsi="Times New Roman"/>
          <w:strike/>
          <w:color w:val="FF0000"/>
          <w:sz w:val="22"/>
        </w:rPr>
        <w:t>ii</w:t>
      </w:r>
      <w:r>
        <w:rPr>
          <w:rFonts w:ascii="Times New Roman" w:hAnsi="Times New Roman"/>
          <w:color w:val="0000FF"/>
          <w:sz w:val="22"/>
          <w:u w:val="single"/>
        </w:rPr>
        <w:t>b</w:t>
      </w:r>
      <w:r>
        <w:rPr>
          <w:rFonts w:ascii="Times New Roman" w:hAnsi="Times New Roman"/>
          <w:color w:val="000000"/>
          <w:sz w:val="22"/>
        </w:rPr>
        <w:t>) a “covered bank” as that term is defined in, and interpreted in accordance with, 12 C.F.R. § 47.3(b); or (</w:t>
      </w:r>
      <w:r>
        <w:rPr>
          <w:rFonts w:ascii="Times New Roman" w:hAnsi="Times New Roman"/>
          <w:strike/>
          <w:color w:val="FF0000"/>
          <w:sz w:val="22"/>
        </w:rPr>
        <w:t>iii</w:t>
      </w:r>
      <w:r>
        <w:rPr>
          <w:rFonts w:ascii="Times New Roman" w:hAnsi="Times New Roman"/>
          <w:color w:val="0000FF"/>
          <w:sz w:val="22"/>
          <w:u w:val="single"/>
        </w:rPr>
        <w:t>c</w:t>
      </w:r>
      <w:r>
        <w:rPr>
          <w:rFonts w:ascii="Times New Roman" w:hAnsi="Times New Roman"/>
          <w:color w:val="000000"/>
          <w:sz w:val="22"/>
        </w:rPr>
        <w:t>) a “covered FSI” as that term is defined in, and interpreted in accordance with, 12 C.F.R. § 382.2(b).</w:t>
      </w:r>
    </w:p>
    <w:p>
      <w:pPr>
        <w:pStyle w:val="TextBody"/>
        <w:bidi w:val="0"/>
        <w:spacing w:before="240" w:after="283"/>
        <w:jc w:val="both"/>
        <w:rPr/>
      </w:pPr>
      <w:r>
        <w:rPr>
          <w:color w:val="000000"/>
        </w:rPr>
        <w:t>“</w:t>
      </w:r>
      <w:r>
        <w:rPr>
          <w:rFonts w:ascii="Times New Roman" w:hAnsi="Times New Roman"/>
          <w:i/>
          <w:color w:val="000000"/>
          <w:sz w:val="22"/>
        </w:rPr>
        <w:t xml:space="preserve">Credit Extension” </w:t>
      </w:r>
      <w:r>
        <w:rPr>
          <w:rFonts w:ascii="Times New Roman" w:hAnsi="Times New Roman"/>
          <w:color w:val="000000"/>
          <w:sz w:val="22"/>
        </w:rPr>
        <w:t>means each of the following: (a) a Borrowing and (b) an L/C Credit Extension.</w:t>
      </w:r>
    </w:p>
    <w:p>
      <w:pPr>
        <w:pStyle w:val="TextBody"/>
        <w:bidi w:val="0"/>
        <w:spacing w:before="240" w:after="283"/>
        <w:jc w:val="both"/>
        <w:rPr/>
      </w:pPr>
      <w:r>
        <w:rPr>
          <w:color w:val="000000"/>
        </w:rPr>
        <w:t>“</w:t>
      </w:r>
      <w:r>
        <w:rPr>
          <w:rFonts w:ascii="Times New Roman" w:hAnsi="Times New Roman"/>
          <w:i/>
          <w:color w:val="000000"/>
          <w:sz w:val="22"/>
        </w:rPr>
        <w:t>Daily Simple SOFR</w:t>
      </w:r>
      <w:r>
        <w:rPr>
          <w:rFonts w:ascii="Times New Roman" w:hAnsi="Times New Roman"/>
          <w:color w:val="000000"/>
          <w:sz w:val="20"/>
        </w:rPr>
        <w:t xml:space="preserve">” </w:t>
      </w:r>
      <w:r>
        <w:rPr>
          <w:rFonts w:ascii="Times New Roman" w:hAnsi="Times New Roman"/>
          <w:color w:val="000000"/>
          <w:sz w:val="22"/>
        </w:rPr>
        <w:t>with respect to any applicable determination date means the SOFR rate published on such date on the Federal Reserve Bank of New York’s website (or any successor source).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Debtor Relief Laws” </w:t>
      </w:r>
      <w:r>
        <w:rPr>
          <w:rFonts w:ascii="Times New Roman" w:hAnsi="Times New Roman"/>
          <w:color w:val="000000"/>
          <w:sz w:val="22"/>
        </w:rPr>
        <w:t>means the Bankruptcy Code of the United States, and all other liquidation, conservatorship, bankruptcy, assignment for the benefit of creditors, moratorium, rearrangement, receivership, insolvency, reorganization, administration or similar debtor relief Laws of the United States or other applicable jurisdictions from time to time in effect.</w:t>
      </w:r>
    </w:p>
    <w:p>
      <w:pPr>
        <w:pStyle w:val="TextBody"/>
        <w:bidi w:val="0"/>
        <w:spacing w:before="240" w:after="283"/>
        <w:jc w:val="both"/>
        <w:rPr/>
      </w:pPr>
      <w:r>
        <w:rPr>
          <w:color w:val="000000"/>
        </w:rPr>
        <w:t>“</w:t>
      </w:r>
      <w:r>
        <w:rPr>
          <w:rFonts w:ascii="Times New Roman" w:hAnsi="Times New Roman"/>
          <w:i/>
          <w:color w:val="000000"/>
          <w:sz w:val="22"/>
        </w:rPr>
        <w:t xml:space="preserve">Default” </w:t>
      </w:r>
      <w:r>
        <w:rPr>
          <w:rFonts w:ascii="Times New Roman" w:hAnsi="Times New Roman"/>
          <w:color w:val="000000"/>
          <w:sz w:val="22"/>
        </w:rPr>
        <w:t>means any event or condition that constitutes an Event of Default or that, with the giving of any notice, the passage of time, or both, would be an Event of Default.</w:t>
      </w:r>
    </w:p>
    <w:p>
      <w:pPr>
        <w:pStyle w:val="TextBody"/>
        <w:bidi w:val="0"/>
        <w:spacing w:before="240" w:after="283"/>
        <w:jc w:val="both"/>
        <w:rPr/>
      </w:pPr>
      <w:r>
        <w:rPr>
          <w:color w:val="000000"/>
        </w:rPr>
        <w:t>“</w:t>
      </w:r>
      <w:r>
        <w:rPr>
          <w:rFonts w:ascii="Times New Roman" w:hAnsi="Times New Roman"/>
          <w:i/>
          <w:color w:val="000000"/>
          <w:sz w:val="22"/>
        </w:rPr>
        <w:t xml:space="preserve">Default Rate” </w:t>
      </w:r>
      <w:r>
        <w:rPr>
          <w:rFonts w:ascii="Times New Roman" w:hAnsi="Times New Roman"/>
          <w:color w:val="000000"/>
          <w:sz w:val="22"/>
        </w:rPr>
        <w:t>means (a) with respect to any Obligation for which a rate is specified, a rate per annum equal to two percent (2%) in excess of the rate otherwise applicable thereto and (b) with respect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Obligation for which a rate is not specified or available, a rate per annum equal to the Base Rate plus the Applicable Rate for Revolving Credit Loans that are Base Rate Loans plus two percent (2%), in each case, to the fullest extent permitted by Applicable Law.</w:t>
      </w:r>
    </w:p>
    <w:p>
      <w:pPr>
        <w:pStyle w:val="TextBody"/>
        <w:bidi w:val="0"/>
        <w:spacing w:before="240" w:after="283"/>
        <w:jc w:val="both"/>
        <w:rPr/>
      </w:pPr>
      <w:r>
        <w:rPr>
          <w:color w:val="000000"/>
        </w:rPr>
        <w:t>“</w:t>
      </w:r>
      <w:r>
        <w:rPr>
          <w:rFonts w:ascii="Times New Roman" w:hAnsi="Times New Roman"/>
          <w:i/>
          <w:color w:val="000000"/>
          <w:sz w:val="22"/>
        </w:rPr>
        <w:t xml:space="preserve">Defaulting Lender” </w:t>
      </w:r>
      <w:r>
        <w:rPr>
          <w:rFonts w:ascii="Times New Roman" w:hAnsi="Times New Roman"/>
          <w:color w:val="000000"/>
          <w:sz w:val="22"/>
        </w:rPr>
        <w:t>means, subject to Section 2.16(b), any Lender that (a) has failed to (i) fund all or any portion of its Loans within two Business Days of the date such Loans were required to be funded hereunder unless such Lender notifies the Administrative Agent and the Domestic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Business Days of the date when due, (b) has notified the Domestic Borrower,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Domestic Borrower, to confirm in writing to the Administrative Agent and the Domestic Borrower that it will comply with its prospective funding obligations hereunder (</w:t>
      </w:r>
      <w:r>
        <w:rPr>
          <w:rFonts w:ascii="Times New Roman" w:hAnsi="Times New Roman"/>
          <w:i/>
          <w:color w:val="000000"/>
          <w:sz w:val="22"/>
        </w:rPr>
        <w:t xml:space="preserve">provided </w:t>
      </w:r>
      <w:r>
        <w:rPr>
          <w:rFonts w:ascii="Times New Roman" w:hAnsi="Times New Roman"/>
          <w:color w:val="000000"/>
          <w:sz w:val="22"/>
        </w:rPr>
        <w:t>that such Lender shall cease to be a Defaulting Lender pursuant to this clause (c) upon receipt of such written confirmation by the Administrative Agent and the Domestic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w:t>
      </w:r>
      <w:r>
        <w:rPr>
          <w:rFonts w:ascii="Times New Roman" w:hAnsi="Times New Roman"/>
          <w:strike/>
          <w:color w:val="FF0000"/>
          <w:sz w:val="22"/>
        </w:rPr>
        <w:t>in</w:t>
      </w:r>
      <w:r>
        <w:rPr>
          <w:rFonts w:ascii="Times New Roman" w:hAnsi="Times New Roman"/>
          <w:color w:val="0000FF"/>
          <w:sz w:val="22"/>
          <w:u w:val="single"/>
        </w:rPr>
        <w:t>In</w:t>
      </w:r>
      <w:r>
        <w:rPr>
          <w:rFonts w:ascii="Times New Roman" w:hAnsi="Times New Roman"/>
          <w:color w:val="0000FF"/>
          <w:sz w:val="20"/>
        </w:rPr>
        <w:t xml:space="preserve"> </w:t>
      </w:r>
      <w:r>
        <w:rPr>
          <w:rFonts w:ascii="Times New Roman" w:hAnsi="Times New Roman"/>
          <w:color w:val="000000"/>
          <w:sz w:val="22"/>
        </w:rPr>
        <w:t xml:space="preserve">Action; </w:t>
      </w:r>
      <w:r>
        <w:rPr>
          <w:rFonts w:ascii="Times New Roman" w:hAnsi="Times New Roman"/>
          <w:i/>
          <w:color w:val="000000"/>
          <w:sz w:val="22"/>
        </w:rPr>
        <w:t xml:space="preserve">provided </w:t>
      </w:r>
      <w:r>
        <w:rPr>
          <w:rFonts w:ascii="Times New Roman" w:hAnsi="Times New Roman"/>
          <w:color w:val="000000"/>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Section 2.16(b)) as of the date established therefor by the Administrative Agent in a written notice of such determination, which shall be delivered by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Administrative Agent to the Domestic Borrower, each L/C Issuer, the Swingline Lender and each other Lender promptly following such determination.</w:t>
      </w:r>
    </w:p>
    <w:p>
      <w:pPr>
        <w:pStyle w:val="TextBody"/>
        <w:bidi w:val="0"/>
        <w:spacing w:before="240" w:after="283"/>
        <w:jc w:val="both"/>
        <w:rPr/>
      </w:pPr>
      <w:r>
        <w:rPr>
          <w:color w:val="000000"/>
        </w:rPr>
        <w:t>“</w:t>
      </w:r>
      <w:r>
        <w:rPr>
          <w:rFonts w:ascii="Times New Roman" w:hAnsi="Times New Roman"/>
          <w:i/>
          <w:color w:val="000000"/>
          <w:sz w:val="22"/>
        </w:rPr>
        <w:t xml:space="preserve">Designated Jurisdiction” </w:t>
      </w:r>
      <w:r>
        <w:rPr>
          <w:rFonts w:ascii="Times New Roman" w:hAnsi="Times New Roman"/>
          <w:color w:val="000000"/>
          <w:sz w:val="22"/>
        </w:rPr>
        <w:t>means any country, region or territory to the extent that such country, region or territory itself is the subject of any Sanction.</w:t>
      </w:r>
    </w:p>
    <w:p>
      <w:pPr>
        <w:pStyle w:val="TextBody"/>
        <w:bidi w:val="0"/>
        <w:spacing w:before="240" w:after="283"/>
        <w:jc w:val="both"/>
        <w:rPr/>
      </w:pPr>
      <w:r>
        <w:rPr>
          <w:color w:val="000000"/>
        </w:rPr>
        <w:t>“</w:t>
      </w:r>
      <w:r>
        <w:rPr>
          <w:rFonts w:ascii="Times New Roman" w:hAnsi="Times New Roman"/>
          <w:i/>
          <w:color w:val="000000"/>
          <w:sz w:val="22"/>
        </w:rPr>
        <w:t xml:space="preserve">Designated Lender” </w:t>
      </w:r>
      <w:r>
        <w:rPr>
          <w:rFonts w:ascii="Times New Roman" w:hAnsi="Times New Roman"/>
          <w:color w:val="000000"/>
          <w:sz w:val="22"/>
        </w:rPr>
        <w:t>has the meaning specified in Section 2.19.</w:t>
      </w:r>
    </w:p>
    <w:p>
      <w:pPr>
        <w:pStyle w:val="TextBody"/>
        <w:bidi w:val="0"/>
        <w:spacing w:before="240" w:after="283"/>
        <w:jc w:val="both"/>
        <w:rPr/>
      </w:pPr>
      <w:r>
        <w:rPr>
          <w:color w:val="000000"/>
        </w:rPr>
        <w:t>“</w:t>
      </w:r>
      <w:r>
        <w:rPr>
          <w:rFonts w:ascii="Times New Roman" w:hAnsi="Times New Roman"/>
          <w:i/>
          <w:color w:val="000000"/>
          <w:sz w:val="22"/>
        </w:rPr>
        <w:t xml:space="preserve">Determining Party” </w:t>
      </w:r>
      <w:r>
        <w:rPr>
          <w:rFonts w:ascii="Times New Roman" w:hAnsi="Times New Roman"/>
          <w:color w:val="000000"/>
          <w:sz w:val="22"/>
        </w:rPr>
        <w:t>has the meaning specified in Section 3.02(b).</w:t>
      </w:r>
    </w:p>
    <w:p>
      <w:pPr>
        <w:pStyle w:val="TextBody"/>
        <w:bidi w:val="0"/>
        <w:spacing w:before="240" w:after="283"/>
        <w:jc w:val="both"/>
        <w:rPr/>
      </w:pPr>
      <w:r>
        <w:rPr>
          <w:color w:val="000000"/>
        </w:rPr>
        <w:t>“</w:t>
      </w:r>
      <w:r>
        <w:rPr>
          <w:rFonts w:ascii="Times New Roman" w:hAnsi="Times New Roman"/>
          <w:i/>
          <w:color w:val="000000"/>
          <w:sz w:val="22"/>
        </w:rPr>
        <w:t>Diodes Hong Kong</w:t>
      </w:r>
      <w:r>
        <w:rPr>
          <w:rFonts w:ascii="Times New Roman" w:hAnsi="Times New Roman"/>
          <w:color w:val="000000"/>
          <w:sz w:val="20"/>
        </w:rPr>
        <w:t xml:space="preserve">” </w:t>
      </w:r>
      <w:r>
        <w:rPr>
          <w:rFonts w:ascii="Times New Roman" w:hAnsi="Times New Roman"/>
          <w:color w:val="000000"/>
          <w:sz w:val="22"/>
        </w:rPr>
        <w:t>means Diodes Hong Kong Limited (formerly known as Diodes Hong Kong Holding Company Limited and Wise Mode Holdings Limited (</w:t>
      </w:r>
      <w:r>
        <w:rPr>
          <w:rFonts w:eastAsia="MS Gothic;sans-serif"/>
          <w:color w:val="000000"/>
          <w:sz w:val="22"/>
        </w:rPr>
        <w:t>智謀集團有限公司</w:t>
      </w:r>
      <w:r>
        <w:rPr>
          <w:rFonts w:ascii="Times New Roman" w:hAnsi="Times New Roman"/>
          <w:color w:val="000000"/>
          <w:sz w:val="22"/>
        </w:rPr>
        <w:t>)) (company number: 1168572), a company incorporated in Hong Kong with limited liability, with its registered office at Unit 1405- 1406, Dominion Centre, 43-59 Queen’s Road East, Wanchai, Hong Kong.</w:t>
      </w:r>
    </w:p>
    <w:p>
      <w:pPr>
        <w:pStyle w:val="TextBody"/>
        <w:bidi w:val="0"/>
        <w:spacing w:before="240" w:after="283"/>
        <w:jc w:val="both"/>
        <w:rPr/>
      </w:pPr>
      <w:r>
        <w:rPr>
          <w:color w:val="000000"/>
        </w:rPr>
        <w:t>“</w:t>
      </w:r>
      <w:r>
        <w:rPr>
          <w:rFonts w:ascii="Times New Roman" w:hAnsi="Times New Roman"/>
          <w:i/>
          <w:color w:val="000000"/>
          <w:sz w:val="22"/>
        </w:rPr>
        <w:t>Diodes Taiwan SARL</w:t>
      </w:r>
      <w:r>
        <w:rPr>
          <w:rFonts w:ascii="Times New Roman" w:hAnsi="Times New Roman"/>
          <w:color w:val="000000"/>
          <w:sz w:val="20"/>
        </w:rPr>
        <w:t xml:space="preserve">” </w:t>
      </w:r>
      <w:r>
        <w:rPr>
          <w:rFonts w:ascii="Times New Roman" w:hAnsi="Times New Roman"/>
          <w:color w:val="000000"/>
          <w:sz w:val="22"/>
        </w:rPr>
        <w:t>means Diodes Taiwan SARL, an entity organized under the laws of Luxembourg.</w:t>
      </w:r>
    </w:p>
    <w:p>
      <w:pPr>
        <w:pStyle w:val="TextBody"/>
        <w:bidi w:val="0"/>
        <w:spacing w:before="240" w:after="283"/>
        <w:jc w:val="both"/>
        <w:rPr/>
      </w:pPr>
      <w:r>
        <w:rPr>
          <w:color w:val="000000"/>
        </w:rPr>
        <w:t>“</w:t>
      </w:r>
      <w:r>
        <w:rPr>
          <w:rFonts w:ascii="Times New Roman" w:hAnsi="Times New Roman"/>
          <w:i/>
          <w:color w:val="000000"/>
          <w:sz w:val="22"/>
        </w:rPr>
        <w:t>Diodes Technologies Taiwan</w:t>
      </w:r>
      <w:r>
        <w:rPr>
          <w:rFonts w:ascii="Times New Roman" w:hAnsi="Times New Roman"/>
          <w:color w:val="000000"/>
          <w:sz w:val="20"/>
        </w:rPr>
        <w:t xml:space="preserve">” </w:t>
      </w:r>
      <w:r>
        <w:rPr>
          <w:rFonts w:ascii="Times New Roman" w:hAnsi="Times New Roman"/>
          <w:color w:val="000000"/>
          <w:sz w:val="22"/>
        </w:rPr>
        <w:t xml:space="preserve">means Diodes Technologies Taiwan Co., Ltd., a company limited by shares organized under the laws of Taiwan and wholly-owned indirect Subsidiary of the Domestic Borrower; </w:t>
      </w:r>
      <w:r>
        <w:rPr>
          <w:rFonts w:ascii="Times New Roman" w:hAnsi="Times New Roman"/>
          <w:i/>
          <w:color w:val="000000"/>
          <w:sz w:val="22"/>
        </w:rPr>
        <w:t xml:space="preserve">provided </w:t>
      </w:r>
      <w:r>
        <w:rPr>
          <w:rFonts w:ascii="Times New Roman" w:hAnsi="Times New Roman"/>
          <w:color w:val="000000"/>
          <w:sz w:val="22"/>
        </w:rPr>
        <w:t>that, on May 1, 2023, Diodes Technologies Taiwan merged with and into Diodes Taiwan SARL.</w:t>
      </w:r>
    </w:p>
    <w:p>
      <w:pPr>
        <w:pStyle w:val="TextBody"/>
        <w:bidi w:val="0"/>
        <w:spacing w:before="240" w:after="283"/>
        <w:jc w:val="both"/>
        <w:rPr/>
      </w:pPr>
      <w:r>
        <w:rPr>
          <w:color w:val="000000"/>
        </w:rPr>
        <w:t>“</w:t>
      </w:r>
      <w:r>
        <w:rPr>
          <w:rFonts w:ascii="Times New Roman" w:hAnsi="Times New Roman"/>
          <w:i/>
          <w:color w:val="000000"/>
          <w:sz w:val="22"/>
        </w:rPr>
        <w:t xml:space="preserve">Diodes Zetex Pension Scheme” </w:t>
      </w:r>
      <w:r>
        <w:rPr>
          <w:rFonts w:ascii="Times New Roman" w:hAnsi="Times New Roman"/>
          <w:color w:val="000000"/>
          <w:sz w:val="22"/>
        </w:rPr>
        <w:t>means the Diodes Zetex Pension Scheme established under an interim deed dated March 15, 1984 and governed by a third definitive deed and rules dated January 7, 2009, as amended.</w:t>
      </w:r>
    </w:p>
    <w:p>
      <w:pPr>
        <w:pStyle w:val="TextBody"/>
        <w:bidi w:val="0"/>
        <w:spacing w:before="240" w:after="283"/>
        <w:jc w:val="both"/>
        <w:rPr/>
      </w:pPr>
      <w:r>
        <w:rPr>
          <w:color w:val="000000"/>
        </w:rPr>
        <w:t>“</w:t>
      </w:r>
      <w:r>
        <w:rPr>
          <w:rFonts w:ascii="Times New Roman" w:hAnsi="Times New Roman"/>
          <w:i/>
          <w:color w:val="000000"/>
          <w:sz w:val="22"/>
        </w:rPr>
        <w:t xml:space="preserve">Diodes Zetex Pension Scheme Guarantee” </w:t>
      </w:r>
      <w:r>
        <w:rPr>
          <w:rFonts w:ascii="Times New Roman" w:hAnsi="Times New Roman"/>
          <w:color w:val="000000"/>
          <w:sz w:val="22"/>
        </w:rPr>
        <w:t>means that certain pension protection fund compliant guarantee by Diodes Zetex Semiconductors Limited, a company incorporated and registered in England and Wales, for the benefit of HR Trustees Limited and others as trustees of the Diodes Zetex Pension Scheme.</w:t>
      </w:r>
    </w:p>
    <w:p>
      <w:pPr>
        <w:pStyle w:val="TextBody"/>
        <w:bidi w:val="0"/>
        <w:spacing w:before="240" w:after="283"/>
        <w:jc w:val="both"/>
        <w:rPr/>
      </w:pPr>
      <w:r>
        <w:rPr>
          <w:color w:val="000000"/>
        </w:rPr>
        <w:t>“</w:t>
      </w:r>
      <w:r>
        <w:rPr>
          <w:rFonts w:ascii="Times New Roman" w:hAnsi="Times New Roman"/>
          <w:i/>
          <w:color w:val="000000"/>
          <w:sz w:val="22"/>
        </w:rPr>
        <w:t xml:space="preserve">Diodes Zetex Pension Scheme Legal Charge” </w:t>
      </w:r>
      <w:r>
        <w:rPr>
          <w:rFonts w:ascii="Times New Roman" w:hAnsi="Times New Roman"/>
          <w:color w:val="000000"/>
          <w:sz w:val="22"/>
        </w:rPr>
        <w:t>means that legal charge dated March 26, 2012 by and between Diodes Zetex Semiconductors Limited, a company incorporated and registered in England and Wales, HR Trustees Limited and others as trustees of the Diodes Zetex Pension Scheme, pursuant to which Diodes Zetex Semiconductors Limited grants a lien on certain real property located in the United Kingdom to secure obligations under the Diodes Zetex Pension Scheme.</w:t>
      </w:r>
    </w:p>
    <w:p>
      <w:pPr>
        <w:pStyle w:val="TextBody"/>
        <w:bidi w:val="0"/>
        <w:spacing w:before="240" w:after="283"/>
        <w:jc w:val="both"/>
        <w:rPr/>
      </w:pPr>
      <w:r>
        <w:rPr>
          <w:color w:val="000000"/>
        </w:rPr>
        <w:t>“</w:t>
      </w:r>
      <w:r>
        <w:rPr>
          <w:rFonts w:ascii="Times New Roman" w:hAnsi="Times New Roman"/>
          <w:i/>
          <w:color w:val="000000"/>
          <w:sz w:val="22"/>
        </w:rPr>
        <w:t xml:space="preserve">Disposition”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i/>
          <w:color w:val="000000"/>
          <w:sz w:val="22"/>
        </w:rPr>
        <w:t xml:space="preserve">Dispose” </w:t>
      </w:r>
      <w:r>
        <w:rPr>
          <w:rFonts w:ascii="Times New Roman" w:hAnsi="Times New Roman"/>
          <w:color w:val="000000"/>
          <w:sz w:val="22"/>
        </w:rPr>
        <w:t>means the sale, transfer, license, lease or other disposition (including any sale and leaseback transaction) of any property by any Loan Party or Subsidiary (or the granting of any option or other right to do any of the foregoing), including any sale, assignment, transfer or other disposal, with or without recourse, of any notes or accounts receivable or any rights and claims associated therewith and including any disposition of property to a Divided LLC pursuant to a Division, but excluding any Involuntary</w:t>
      </w:r>
      <w:r>
        <w:rPr>
          <w:rFonts w:ascii="Times New Roman" w:hAnsi="Times New Roman"/>
          <w:color w:val="0000FF"/>
          <w:sz w:val="20"/>
          <w:u w:val="single"/>
        </w:rPr>
        <w:t xml:space="preserve"> </w:t>
      </w:r>
      <w:r>
        <w:rPr>
          <w:rFonts w:ascii="Times New Roman" w:hAnsi="Times New Roman"/>
          <w:color w:val="0000FF"/>
          <w:sz w:val="22"/>
          <w:u w:val="single"/>
        </w:rPr>
        <w:t>Disposition. Notwithstanding the foregoing, the performance by the Domestic Borrower of its</w:t>
      </w:r>
      <w:r>
        <w:rPr>
          <w:rFonts w:ascii="Times New Roman" w:hAnsi="Times New Roman"/>
          <w:color w:val="0000FF"/>
          <w:sz w:val="20"/>
        </w:rPr>
        <w:t xml:space="preserve"> </w:t>
      </w:r>
      <w:r>
        <w:rPr>
          <w:rFonts w:ascii="Times New Roman" w:hAnsi="Times New Roman"/>
          <w:color w:val="0000FF"/>
          <w:sz w:val="22"/>
          <w:u w:val="single"/>
        </w:rPr>
        <w:t>obligations under any Permitted Convertible Indebtedness or any Permitted Warrant Transaction, shall not</w:t>
      </w:r>
      <w:r>
        <w:rPr>
          <w:rFonts w:ascii="Times New Roman" w:hAnsi="Times New Roman"/>
          <w:color w:val="0000FF"/>
          <w:sz w:val="20"/>
        </w:rPr>
        <w:t xml:space="preserve"> </w:t>
      </w:r>
      <w:r>
        <w:rPr>
          <w:rFonts w:ascii="Times New Roman" w:hAnsi="Times New Roman"/>
          <w:color w:val="0000FF"/>
          <w:sz w:val="22"/>
          <w:u w:val="single"/>
        </w:rPr>
        <w:t>constitute a</w:t>
      </w:r>
      <w:r>
        <w:rPr>
          <w:rFonts w:ascii="Times New Roman" w:hAnsi="Times New Roman"/>
          <w:color w:val="0000FF"/>
          <w:sz w:val="20"/>
        </w:rPr>
        <w:t xml:space="preserve"> </w:t>
      </w:r>
      <w:r>
        <w:rPr>
          <w:rFonts w:ascii="Times New Roman" w:hAnsi="Times New Roman"/>
          <w:color w:val="000000"/>
          <w:sz w:val="22"/>
        </w:rPr>
        <w:t>Disposition.</w:t>
      </w:r>
    </w:p>
    <w:p>
      <w:pPr>
        <w:pStyle w:val="TextBody"/>
        <w:bidi w:val="0"/>
        <w:spacing w:before="240" w:after="283"/>
        <w:jc w:val="both"/>
        <w:rPr/>
      </w:pPr>
      <w:r>
        <w:rPr>
          <w:color w:val="000000"/>
        </w:rPr>
        <w:t>“</w:t>
      </w:r>
      <w:r>
        <w:rPr>
          <w:rFonts w:ascii="Times New Roman" w:hAnsi="Times New Roman"/>
          <w:i/>
          <w:color w:val="000000"/>
          <w:sz w:val="22"/>
        </w:rPr>
        <w:t>Divided LLC</w:t>
      </w:r>
      <w:r>
        <w:rPr>
          <w:rFonts w:ascii="Times New Roman" w:hAnsi="Times New Roman"/>
          <w:color w:val="000000"/>
          <w:sz w:val="20"/>
        </w:rPr>
        <w:t xml:space="preserve">” </w:t>
      </w:r>
      <w:r>
        <w:rPr>
          <w:rFonts w:ascii="Times New Roman" w:hAnsi="Times New Roman"/>
          <w:color w:val="000000"/>
          <w:sz w:val="22"/>
        </w:rPr>
        <w:t>means any limited liability company which has been formed upon consummation of a Division.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Division</w:t>
      </w:r>
      <w:r>
        <w:rPr>
          <w:rFonts w:ascii="Times New Roman" w:hAnsi="Times New Roman"/>
          <w:color w:val="000000"/>
          <w:sz w:val="20"/>
        </w:rPr>
        <w:t xml:space="preserve">” </w:t>
      </w:r>
      <w:r>
        <w:rPr>
          <w:rFonts w:ascii="Times New Roman" w:hAnsi="Times New Roman"/>
          <w:color w:val="000000"/>
          <w:sz w:val="22"/>
        </w:rPr>
        <w:t>means the statutory division of any limited liability company into two or more limited liability companies pursuant to Section 18-217 of the Delaware Limited Liability Company Act or any comparable provision under the Applicable Law of a different jurisdiction.</w:t>
      </w:r>
    </w:p>
    <w:p>
      <w:pPr>
        <w:pStyle w:val="TextBody"/>
        <w:bidi w:val="0"/>
        <w:spacing w:before="240" w:after="283"/>
        <w:jc w:val="both"/>
        <w:rPr/>
      </w:pPr>
      <w:r>
        <w:rPr>
          <w:color w:val="000000"/>
        </w:rPr>
        <w:t>“</w:t>
      </w:r>
      <w:r>
        <w:rPr>
          <w:rFonts w:ascii="Times New Roman" w:hAnsi="Times New Roman"/>
          <w:i/>
          <w:color w:val="000000"/>
          <w:sz w:val="22"/>
        </w:rPr>
        <w:t xml:space="preserve">Dollar”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i/>
          <w:color w:val="000000"/>
          <w:sz w:val="22"/>
        </w:rPr>
        <w:t xml:space="preserve">$” </w:t>
      </w:r>
      <w:r>
        <w:rPr>
          <w:rFonts w:ascii="Times New Roman" w:hAnsi="Times New Roman"/>
          <w:color w:val="000000"/>
          <w:sz w:val="22"/>
        </w:rPr>
        <w:t>mean lawful money of the United States.</w:t>
      </w:r>
    </w:p>
    <w:p>
      <w:pPr>
        <w:pStyle w:val="TextBody"/>
        <w:bidi w:val="0"/>
        <w:spacing w:before="240" w:after="283"/>
        <w:jc w:val="both"/>
        <w:rPr/>
      </w:pPr>
      <w:r>
        <w:rPr>
          <w:color w:val="000000"/>
        </w:rPr>
        <w:t>“</w:t>
      </w:r>
      <w:r>
        <w:rPr>
          <w:rFonts w:ascii="Times New Roman" w:hAnsi="Times New Roman"/>
          <w:i/>
          <w:color w:val="000000"/>
          <w:sz w:val="22"/>
        </w:rPr>
        <w:t xml:space="preserve">Dollar Equivalent” </w:t>
      </w:r>
      <w:r>
        <w:rPr>
          <w:rFonts w:ascii="Times New Roman" w:hAnsi="Times New Roman"/>
          <w:color w:val="000000"/>
          <w:sz w:val="22"/>
        </w:rPr>
        <w:t>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Alternative Currency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Alternative Currency L/C Issuer, as applicable using any method of determination it deems appropriate in its sole discretion) and (c) if such amount is denominated in any other currency, the equivalent of such amount in Dollars as determined by the Administrative Agent or the Alternative Currency L/C Issuer, as applicable, using any method of determination it deems appropriate in its sole discretion. Any determination by the Administrative Agent or the Alternative Currency L/C Issuer pursuant to clauses (b) or (c) above shall be conclusive absent manifest error.</w:t>
      </w:r>
    </w:p>
    <w:p>
      <w:pPr>
        <w:pStyle w:val="TextBody"/>
        <w:bidi w:val="0"/>
        <w:spacing w:before="240" w:after="283"/>
        <w:jc w:val="both"/>
        <w:rPr/>
      </w:pPr>
      <w:r>
        <w:rPr>
          <w:color w:val="000000"/>
        </w:rPr>
        <w:t>“</w:t>
      </w:r>
      <w:r>
        <w:rPr>
          <w:rFonts w:ascii="Times New Roman" w:hAnsi="Times New Roman"/>
          <w:i/>
          <w:color w:val="000000"/>
          <w:sz w:val="22"/>
        </w:rPr>
        <w:t xml:space="preserve">Domestic Borrower” </w:t>
      </w:r>
      <w:r>
        <w:rPr>
          <w:rFonts w:ascii="Times New Roman" w:hAnsi="Times New Roman"/>
          <w:color w:val="000000"/>
          <w:sz w:val="22"/>
        </w:rPr>
        <w:t>has the meaning specified in the introductory paragraph hereto.</w:t>
      </w:r>
    </w:p>
    <w:p>
      <w:pPr>
        <w:pStyle w:val="TextBody"/>
        <w:bidi w:val="0"/>
        <w:spacing w:before="240" w:after="283"/>
        <w:jc w:val="both"/>
        <w:rPr/>
      </w:pPr>
      <w:r>
        <w:rPr>
          <w:color w:val="000000"/>
        </w:rPr>
        <w:t>“</w:t>
      </w:r>
      <w:r>
        <w:rPr>
          <w:rFonts w:ascii="Times New Roman" w:hAnsi="Times New Roman"/>
          <w:i/>
          <w:color w:val="000000"/>
          <w:sz w:val="22"/>
        </w:rPr>
        <w:t xml:space="preserve">Domestic Loan Party” </w:t>
      </w:r>
      <w:r>
        <w:rPr>
          <w:rFonts w:ascii="Times New Roman" w:hAnsi="Times New Roman"/>
          <w:color w:val="000000"/>
          <w:sz w:val="22"/>
        </w:rPr>
        <w:t>means the Domestic Borrower or any of the Global Guarantors.</w:t>
      </w:r>
    </w:p>
    <w:p>
      <w:pPr>
        <w:pStyle w:val="TextBody"/>
        <w:bidi w:val="0"/>
        <w:spacing w:before="240" w:after="283"/>
        <w:jc w:val="left"/>
        <w:rPr/>
      </w:pPr>
      <w:r>
        <w:rPr>
          <w:color w:val="000000"/>
        </w:rPr>
        <w:t>“</w:t>
      </w:r>
      <w:r>
        <w:rPr>
          <w:rFonts w:ascii="Times New Roman" w:hAnsi="Times New Roman"/>
          <w:i/>
          <w:color w:val="000000"/>
          <w:sz w:val="22"/>
        </w:rPr>
        <w:t xml:space="preserve">Domestic Subsidiary” </w:t>
      </w:r>
      <w:r>
        <w:rPr>
          <w:rFonts w:ascii="Times New Roman" w:hAnsi="Times New Roman"/>
          <w:color w:val="000000"/>
          <w:sz w:val="22"/>
        </w:rPr>
        <w:t>means any Subsidiary that is organized under the laws of any political subdivision of the United States.</w:t>
      </w:r>
    </w:p>
    <w:p>
      <w:pPr>
        <w:pStyle w:val="TextBody"/>
        <w:bidi w:val="0"/>
        <w:spacing w:before="240" w:after="283"/>
        <w:jc w:val="both"/>
        <w:rPr/>
      </w:pPr>
      <w:r>
        <w:rPr>
          <w:color w:val="000000"/>
        </w:rPr>
        <w:t>“</w:t>
      </w:r>
      <w:r>
        <w:rPr>
          <w:rFonts w:ascii="Times New Roman" w:hAnsi="Times New Roman"/>
          <w:i/>
          <w:color w:val="000000"/>
          <w:sz w:val="22"/>
        </w:rPr>
        <w:t xml:space="preserve">EEA Financial Institution” </w:t>
      </w:r>
      <w:r>
        <w:rPr>
          <w:rFonts w:ascii="Times New Roman" w:hAnsi="Times New Roman"/>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240" w:after="283"/>
        <w:jc w:val="both"/>
        <w:rPr/>
      </w:pPr>
      <w:r>
        <w:rPr>
          <w:color w:val="000000"/>
        </w:rPr>
        <w:t>“</w:t>
      </w:r>
      <w:r>
        <w:rPr>
          <w:rFonts w:ascii="Times New Roman" w:hAnsi="Times New Roman"/>
          <w:i/>
          <w:color w:val="000000"/>
          <w:sz w:val="22"/>
        </w:rPr>
        <w:t xml:space="preserve">EEA Member Country” </w:t>
      </w:r>
      <w:r>
        <w:rPr>
          <w:rFonts w:ascii="Times New Roman" w:hAnsi="Times New Roman"/>
          <w:color w:val="000000"/>
          <w:sz w:val="22"/>
        </w:rPr>
        <w:t>means any of the member states of the European Union, Iceland, Liechtenstein, and Norway.</w:t>
      </w:r>
    </w:p>
    <w:p>
      <w:pPr>
        <w:pStyle w:val="TextBody"/>
        <w:bidi w:val="0"/>
        <w:spacing w:before="240" w:after="283"/>
        <w:jc w:val="both"/>
        <w:rPr/>
      </w:pPr>
      <w:r>
        <w:rPr>
          <w:color w:val="000000"/>
        </w:rPr>
        <w:t>“</w:t>
      </w:r>
      <w:r>
        <w:rPr>
          <w:rFonts w:ascii="Times New Roman" w:hAnsi="Times New Roman"/>
          <w:i/>
          <w:color w:val="000000"/>
          <w:sz w:val="22"/>
        </w:rPr>
        <w:t xml:space="preserve">EEA Resolution Authority” </w:t>
      </w:r>
      <w:r>
        <w:rPr>
          <w:rFonts w:ascii="Times New Roman" w:hAnsi="Times New Roman"/>
          <w:color w:val="000000"/>
          <w:sz w:val="22"/>
        </w:rPr>
        <w:t xml:space="preserve">means any public administrative authority or any </w:t>
      </w:r>
      <w:r>
        <w:rPr>
          <w:rFonts w:ascii="Times New Roman" w:hAnsi="Times New Roman"/>
          <w:strike/>
          <w:color w:val="FF0000"/>
          <w:sz w:val="22"/>
        </w:rPr>
        <w:t>person</w:t>
      </w:r>
      <w:r>
        <w:rPr>
          <w:rFonts w:ascii="Times New Roman" w:hAnsi="Times New Roman"/>
          <w:color w:val="0000FF"/>
          <w:sz w:val="22"/>
          <w:u w:val="single"/>
        </w:rPr>
        <w:t>Person</w:t>
      </w:r>
      <w:r>
        <w:rPr>
          <w:rFonts w:ascii="Times New Roman" w:hAnsi="Times New Roman"/>
          <w:color w:val="0000FF"/>
          <w:sz w:val="20"/>
        </w:rPr>
        <w:t xml:space="preserve"> </w:t>
      </w:r>
      <w:r>
        <w:rPr>
          <w:rFonts w:ascii="Times New Roman" w:hAnsi="Times New Roman"/>
          <w:color w:val="000000"/>
          <w:sz w:val="22"/>
        </w:rPr>
        <w:t>entrusted with public administrative authority of any EEA Member Country (including any delegee) having responsibility for the resolution of any EEA Financial Institution.</w:t>
      </w:r>
    </w:p>
    <w:p>
      <w:pPr>
        <w:pStyle w:val="TextBody"/>
        <w:bidi w:val="0"/>
        <w:spacing w:before="240" w:after="283"/>
        <w:jc w:val="left"/>
        <w:rPr/>
      </w:pPr>
      <w:r>
        <w:rPr>
          <w:color w:val="0000FF"/>
          <w:u w:val="single"/>
        </w:rPr>
        <w:t>“</w:t>
      </w:r>
      <w:r>
        <w:rPr>
          <w:rFonts w:ascii="Times New Roman" w:hAnsi="Times New Roman"/>
          <w:i/>
          <w:color w:val="0000FF"/>
          <w:sz w:val="22"/>
          <w:u w:val="single"/>
        </w:rPr>
        <w:t>Elevated Covenant Period</w:t>
      </w:r>
      <w:r>
        <w:rPr>
          <w:rFonts w:ascii="Times New Roman" w:hAnsi="Times New Roman"/>
          <w:color w:val="0000FF"/>
          <w:sz w:val="20"/>
          <w:u w:val="single"/>
        </w:rPr>
        <w:t xml:space="preserve">” </w:t>
      </w:r>
      <w:r>
        <w:rPr>
          <w:rFonts w:ascii="Times New Roman" w:hAnsi="Times New Roman"/>
          <w:color w:val="0000FF"/>
          <w:sz w:val="22"/>
          <w:u w:val="single"/>
        </w:rPr>
        <w:t>has the meaning specified in Section 7.11(a).</w:t>
      </w:r>
    </w:p>
    <w:p>
      <w:pPr>
        <w:pStyle w:val="TextBody"/>
        <w:bidi w:val="0"/>
        <w:spacing w:before="240" w:after="283"/>
        <w:jc w:val="both"/>
        <w:rPr/>
      </w:pPr>
      <w:r>
        <w:rPr>
          <w:color w:val="000000"/>
        </w:rPr>
        <w:t>“</w:t>
      </w:r>
      <w:r>
        <w:rPr>
          <w:rFonts w:ascii="Times New Roman" w:hAnsi="Times New Roman"/>
          <w:i/>
          <w:color w:val="000000"/>
          <w:sz w:val="22"/>
        </w:rPr>
        <w:t xml:space="preserve">Eligible Assignee” </w:t>
      </w:r>
      <w:r>
        <w:rPr>
          <w:rFonts w:ascii="Times New Roman" w:hAnsi="Times New Roman"/>
          <w:color w:val="000000"/>
          <w:sz w:val="22"/>
        </w:rPr>
        <w:t xml:space="preserve">means any Person that meets the requirements to be an assignee under Section 11.06(b)(iii) and (v) (subject to such consents, if any, as may be required under Section 11.06(b)(iii)); </w:t>
      </w:r>
      <w:r>
        <w:rPr>
          <w:rFonts w:ascii="Times New Roman" w:hAnsi="Times New Roman"/>
          <w:i/>
          <w:color w:val="000000"/>
          <w:sz w:val="22"/>
        </w:rPr>
        <w:t xml:space="preserve">provided </w:t>
      </w:r>
      <w:r>
        <w:rPr>
          <w:rFonts w:ascii="Times New Roman" w:hAnsi="Times New Roman"/>
          <w:color w:val="000000"/>
          <w:sz w:val="22"/>
        </w:rPr>
        <w:t>that notwithstanding the foregoing, “Eligible Assignee” shall not include (x) the Borrowers or any of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Affiliates or Subsidiaries or (y) any Person that cannot (either directly or through a Designated Lender) lend to the Foreign Borrower in Alternative Currencies or Dollars.</w:t>
      </w:r>
    </w:p>
    <w:p>
      <w:pPr>
        <w:pStyle w:val="TextBody"/>
        <w:bidi w:val="0"/>
        <w:spacing w:before="240" w:after="283"/>
        <w:jc w:val="both"/>
        <w:rPr/>
      </w:pPr>
      <w:r>
        <w:rPr>
          <w:color w:val="000000"/>
        </w:rPr>
        <w:t>“</w:t>
      </w:r>
      <w:r>
        <w:rPr>
          <w:rFonts w:ascii="Times New Roman" w:hAnsi="Times New Roman"/>
          <w:i/>
          <w:color w:val="000000"/>
          <w:sz w:val="22"/>
        </w:rPr>
        <w:t>Eligible Currency</w:t>
      </w:r>
      <w:r>
        <w:rPr>
          <w:rFonts w:ascii="Times New Roman" w:hAnsi="Times New Roman"/>
          <w:color w:val="000000"/>
          <w:sz w:val="20"/>
        </w:rPr>
        <w:t xml:space="preserve">” </w:t>
      </w:r>
      <w:r>
        <w:rPr>
          <w:rFonts w:ascii="Times New Roman" w:hAnsi="Times New Roman"/>
          <w:color w:val="000000"/>
          <w:sz w:val="22"/>
        </w:rPr>
        <w:t>means any lawful currency other than Dollars that is readily available, freely transferable and convertible into Dollars in the international interbank market available to the Lenders in</w:t>
      </w:r>
    </w:p>
    <w:p>
      <w:pPr>
        <w:pStyle w:val="TextBody"/>
        <w:bidi w:val="0"/>
        <w:spacing w:before="240" w:after="283"/>
        <w:jc w:val="both"/>
        <w:rPr>
          <w:rFonts w:ascii="Times New Roman" w:hAnsi="Times New Roman"/>
          <w:sz w:val="20"/>
        </w:rPr>
      </w:pPr>
      <w:r>
        <w:rPr>
          <w:rFonts w:ascii="Times New Roman" w:hAnsi="Times New Roman"/>
          <w:color w:val="000000"/>
          <w:sz w:val="22"/>
        </w:rPr>
        <w:t>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Alternative Currency) or the Alternative Currency L/C Issuer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(d) no longer a currency in which the Required Lenders are willing to make such Credit Extensions (each of clauses (a), (b), (c), and (d) a “</w:t>
      </w:r>
      <w:r>
        <w:rPr>
          <w:rFonts w:ascii="Times New Roman" w:hAnsi="Times New Roman"/>
          <w:i/>
          <w:color w:val="000000"/>
          <w:sz w:val="22"/>
        </w:rPr>
        <w:t>Disqualifying Event</w:t>
      </w:r>
      <w:r>
        <w:rPr>
          <w:rFonts w:ascii="Times New Roman" w:hAnsi="Times New Roman"/>
          <w:color w:val="000000"/>
          <w:sz w:val="20"/>
        </w:rPr>
        <w:t>”</w:t>
      </w:r>
      <w:r>
        <w:rPr>
          <w:rFonts w:ascii="Times New Roman" w:hAnsi="Times New Roman"/>
          <w:color w:val="000000"/>
          <w:sz w:val="22"/>
        </w:rPr>
        <w:t>), then the Administrative Agent shall promptly notify the Lenders and the Borrowers,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pStyle w:val="TextBody"/>
        <w:bidi w:val="0"/>
        <w:spacing w:before="240" w:after="283"/>
        <w:jc w:val="both"/>
        <w:rPr/>
      </w:pPr>
      <w:r>
        <w:rPr>
          <w:color w:val="000000"/>
        </w:rPr>
        <w:t>“</w:t>
      </w:r>
      <w:r>
        <w:rPr>
          <w:rFonts w:ascii="Times New Roman" w:hAnsi="Times New Roman"/>
          <w:i/>
          <w:color w:val="000000"/>
          <w:sz w:val="22"/>
        </w:rPr>
        <w:t xml:space="preserve">Environmental Laws” </w:t>
      </w:r>
      <w:r>
        <w:rPr>
          <w:rFonts w:ascii="Times New Roman" w:hAnsi="Times New Roman"/>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240" w:after="283"/>
        <w:jc w:val="both"/>
        <w:rPr/>
      </w:pPr>
      <w:r>
        <w:rPr>
          <w:color w:val="000000"/>
        </w:rPr>
        <w:t>“</w:t>
      </w:r>
      <w:r>
        <w:rPr>
          <w:rFonts w:ascii="Times New Roman" w:hAnsi="Times New Roman"/>
          <w:i/>
          <w:color w:val="000000"/>
          <w:sz w:val="22"/>
        </w:rPr>
        <w:t xml:space="preserve">Environmental Liability” </w:t>
      </w:r>
      <w:r>
        <w:rPr>
          <w:rFonts w:ascii="Times New Roman" w:hAnsi="Times New Roman"/>
          <w:color w:val="000000"/>
          <w:sz w:val="22"/>
        </w:rPr>
        <w:t>means any liability, contingent or otherwise (including any liability for damages, costs of environmental remediation, fines, penalties or indemnities), of the Borrowers,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240" w:after="283"/>
        <w:jc w:val="both"/>
        <w:rPr/>
      </w:pPr>
      <w:r>
        <w:rPr>
          <w:color w:val="000000"/>
        </w:rPr>
        <w:t>“</w:t>
      </w:r>
      <w:r>
        <w:rPr>
          <w:rFonts w:ascii="Times New Roman" w:hAnsi="Times New Roman"/>
          <w:i/>
          <w:color w:val="000000"/>
          <w:sz w:val="22"/>
        </w:rPr>
        <w:t xml:space="preserve">Environmental Permit” </w:t>
      </w:r>
      <w:r>
        <w:rPr>
          <w:rFonts w:ascii="Times New Roman" w:hAnsi="Times New Roman"/>
          <w:color w:val="000000"/>
          <w:sz w:val="22"/>
        </w:rPr>
        <w:t>means any permit, approval, identification number, license or other authorization required under any Environmental Law.</w:t>
      </w:r>
    </w:p>
    <w:p>
      <w:pPr>
        <w:pStyle w:val="TextBody"/>
        <w:bidi w:val="0"/>
        <w:spacing w:before="240" w:after="283"/>
        <w:jc w:val="both"/>
        <w:rPr/>
      </w:pPr>
      <w:r>
        <w:rPr>
          <w:color w:val="000000"/>
        </w:rPr>
        <w:t>“</w:t>
      </w:r>
      <w:r>
        <w:rPr>
          <w:rFonts w:ascii="Times New Roman" w:hAnsi="Times New Roman"/>
          <w:i/>
          <w:color w:val="000000"/>
          <w:sz w:val="22"/>
        </w:rPr>
        <w:t xml:space="preserve">Equity Interests” </w:t>
      </w:r>
      <w:r>
        <w:rPr>
          <w:rFonts w:ascii="Times New Roman" w:hAnsi="Times New Roman"/>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ERISA” </w:t>
      </w:r>
      <w:r>
        <w:rPr>
          <w:rFonts w:ascii="Times New Roman" w:hAnsi="Times New Roman"/>
          <w:color w:val="000000"/>
          <w:sz w:val="22"/>
        </w:rPr>
        <w:t>means the Employee Retirement Income Security Act of 1974, as amended, and the rules and regulations promulgated thereunder.</w:t>
      </w:r>
    </w:p>
    <w:p>
      <w:pPr>
        <w:pStyle w:val="TextBody"/>
        <w:bidi w:val="0"/>
        <w:spacing w:before="240" w:after="283"/>
        <w:jc w:val="both"/>
        <w:rPr/>
      </w:pPr>
      <w:r>
        <w:rPr>
          <w:color w:val="000000"/>
        </w:rPr>
        <w:t>“</w:t>
      </w:r>
      <w:r>
        <w:rPr>
          <w:rFonts w:ascii="Times New Roman" w:hAnsi="Times New Roman"/>
          <w:i/>
          <w:color w:val="000000"/>
          <w:sz w:val="22"/>
        </w:rPr>
        <w:t xml:space="preserve">ERISA Affiliate” </w:t>
      </w:r>
      <w:r>
        <w:rPr>
          <w:rFonts w:ascii="Times New Roman" w:hAnsi="Times New Roman"/>
          <w:color w:val="000000"/>
          <w:sz w:val="22"/>
        </w:rPr>
        <w:t>means any trade or business (whether or not incorporated) under common control with the Domestic Borrower within the meaning of Section 414(b) or (c) of the Code (and Sections 414(m) and (o) of the Code for purposes of provisions relating to Section 412 of the Code).</w:t>
      </w:r>
    </w:p>
    <w:p>
      <w:pPr>
        <w:pStyle w:val="TextBody"/>
        <w:bidi w:val="0"/>
        <w:spacing w:before="240" w:after="283"/>
        <w:jc w:val="both"/>
        <w:rPr/>
      </w:pPr>
      <w:r>
        <w:rPr>
          <w:color w:val="000000"/>
        </w:rPr>
        <w:t>“</w:t>
      </w:r>
      <w:r>
        <w:rPr>
          <w:rFonts w:ascii="Times New Roman" w:hAnsi="Times New Roman"/>
          <w:i/>
          <w:color w:val="000000"/>
          <w:sz w:val="22"/>
        </w:rPr>
        <w:t xml:space="preserve">ERISA Event” </w:t>
      </w:r>
      <w:r>
        <w:rPr>
          <w:rFonts w:ascii="Times New Roman" w:hAnsi="Times New Roman"/>
          <w:color w:val="000000"/>
          <w:sz w:val="22"/>
        </w:rPr>
        <w:t>means (a) a Reportable Event with respect to a Pension Plan; (b) the withdrawal of the Domestic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Domestic Borrower or any ERISA Affiliate from a Multiemployer Plan or notification that a Multiemployer Plan is in reorganization or insolvency;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or Multiemployer Plan; (g) the determination that any Pension Plan or Multiemployer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Domestic Borrower or any ERISA Affiliate or (i) a failure by the Domestic Borrower or any ERISA Affiliate to meet all applicable requirements under the Pension Funding Rules in respect of a Pension Plan, whether or not waived, or the failure by the Domestic Borrower or any ERISA Affiliate to make any required contribution to a Multiemployer Plan.</w:t>
      </w:r>
    </w:p>
    <w:p>
      <w:pPr>
        <w:pStyle w:val="TextBody"/>
        <w:bidi w:val="0"/>
        <w:spacing w:before="240" w:after="283"/>
        <w:jc w:val="both"/>
        <w:rPr/>
      </w:pPr>
      <w:r>
        <w:rPr>
          <w:color w:val="000000"/>
        </w:rPr>
        <w:t>“</w:t>
      </w:r>
      <w:r>
        <w:rPr>
          <w:rFonts w:ascii="Times New Roman" w:hAnsi="Times New Roman"/>
          <w:i/>
          <w:color w:val="000000"/>
          <w:sz w:val="22"/>
        </w:rPr>
        <w:t xml:space="preserve">ESG” </w:t>
      </w:r>
      <w:r>
        <w:rPr>
          <w:rFonts w:ascii="Times New Roman" w:hAnsi="Times New Roman"/>
          <w:color w:val="000000"/>
          <w:sz w:val="22"/>
        </w:rPr>
        <w:t>has the meaning set forth in Section 2.20(a).</w:t>
      </w:r>
    </w:p>
    <w:p>
      <w:pPr>
        <w:pStyle w:val="TextBody"/>
        <w:bidi w:val="0"/>
        <w:spacing w:before="240" w:after="283"/>
        <w:jc w:val="both"/>
        <w:rPr/>
      </w:pPr>
      <w:r>
        <w:rPr>
          <w:color w:val="000000"/>
        </w:rPr>
        <w:t>“</w:t>
      </w:r>
      <w:r>
        <w:rPr>
          <w:rFonts w:ascii="Times New Roman" w:hAnsi="Times New Roman"/>
          <w:i/>
          <w:color w:val="000000"/>
          <w:sz w:val="22"/>
        </w:rPr>
        <w:t>ESG Amendment</w:t>
      </w:r>
      <w:r>
        <w:rPr>
          <w:rFonts w:ascii="Times New Roman" w:hAnsi="Times New Roman"/>
          <w:color w:val="000000"/>
          <w:sz w:val="20"/>
        </w:rPr>
        <w:t xml:space="preserve">” </w:t>
      </w:r>
      <w:r>
        <w:rPr>
          <w:rFonts w:ascii="Times New Roman" w:hAnsi="Times New Roman"/>
          <w:color w:val="000000"/>
          <w:sz w:val="22"/>
        </w:rPr>
        <w:t>has the meaning set forth in Section 2.20(a).</w:t>
      </w:r>
    </w:p>
    <w:p>
      <w:pPr>
        <w:pStyle w:val="TextBody"/>
        <w:bidi w:val="0"/>
        <w:spacing w:before="240" w:after="283"/>
        <w:jc w:val="both"/>
        <w:rPr/>
      </w:pPr>
      <w:r>
        <w:rPr>
          <w:color w:val="000000"/>
        </w:rPr>
        <w:t>“</w:t>
      </w:r>
      <w:r>
        <w:rPr>
          <w:rFonts w:ascii="Times New Roman" w:hAnsi="Times New Roman"/>
          <w:i/>
          <w:color w:val="000000"/>
          <w:sz w:val="22"/>
        </w:rPr>
        <w:t xml:space="preserve">ESG Pricing Provisions” </w:t>
      </w:r>
      <w:r>
        <w:rPr>
          <w:rFonts w:ascii="Times New Roman" w:hAnsi="Times New Roman"/>
          <w:color w:val="000000"/>
          <w:sz w:val="22"/>
        </w:rPr>
        <w:t>has the meaning set forth in Section 2.20(a).</w:t>
      </w:r>
    </w:p>
    <w:p>
      <w:pPr>
        <w:pStyle w:val="TextBody"/>
        <w:bidi w:val="0"/>
        <w:spacing w:before="240" w:after="283"/>
        <w:jc w:val="both"/>
        <w:rPr/>
      </w:pPr>
      <w:r>
        <w:rPr>
          <w:color w:val="000000"/>
        </w:rPr>
        <w:t>“</w:t>
      </w:r>
      <w:r>
        <w:rPr>
          <w:rFonts w:ascii="Times New Roman" w:hAnsi="Times New Roman"/>
          <w:i/>
          <w:color w:val="000000"/>
          <w:sz w:val="22"/>
        </w:rPr>
        <w:t xml:space="preserve">EU Bail-In Legislation Schedule”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240" w:after="283"/>
        <w:jc w:val="both"/>
        <w:rPr/>
      </w:pPr>
      <w:r>
        <w:rPr>
          <w:color w:val="000000"/>
        </w:rPr>
        <w:t>“</w:t>
      </w:r>
      <w:r>
        <w:rPr>
          <w:rFonts w:ascii="Times New Roman" w:hAnsi="Times New Roman"/>
          <w:i/>
          <w:color w:val="000000"/>
          <w:sz w:val="22"/>
        </w:rPr>
        <w:t xml:space="preserve">Euro” </w:t>
      </w:r>
      <w:r>
        <w:rPr>
          <w:rFonts w:ascii="Times New Roman" w:hAnsi="Times New Roman"/>
          <w:color w:val="000000"/>
          <w:sz w:val="22"/>
        </w:rPr>
        <w:t xml:space="preserve">and </w:t>
      </w:r>
      <w:r>
        <w:rPr>
          <w:rFonts w:ascii="Times New Roman" w:hAnsi="Times New Roman"/>
          <w:color w:val="000000"/>
          <w:sz w:val="20"/>
        </w:rPr>
        <w:t xml:space="preserve">“€” </w:t>
      </w:r>
      <w:r>
        <w:rPr>
          <w:rFonts w:ascii="Times New Roman" w:hAnsi="Times New Roman"/>
          <w:color w:val="000000"/>
          <w:sz w:val="22"/>
        </w:rPr>
        <w:t>mean the single currency of the Participating Member States.</w:t>
      </w:r>
    </w:p>
    <w:p>
      <w:pPr>
        <w:pStyle w:val="TextBody"/>
        <w:bidi w:val="0"/>
        <w:spacing w:before="240" w:after="283"/>
        <w:jc w:val="both"/>
        <w:rPr/>
      </w:pPr>
      <w:r>
        <w:rPr>
          <w:color w:val="000000"/>
        </w:rPr>
        <w:t>“</w:t>
      </w:r>
      <w:r>
        <w:rPr>
          <w:rFonts w:ascii="Times New Roman" w:hAnsi="Times New Roman"/>
          <w:i/>
          <w:color w:val="000000"/>
          <w:sz w:val="22"/>
        </w:rPr>
        <w:t xml:space="preserve">Event of Default” </w:t>
      </w:r>
      <w:r>
        <w:rPr>
          <w:rFonts w:ascii="Times New Roman" w:hAnsi="Times New Roman"/>
          <w:color w:val="000000"/>
          <w:sz w:val="22"/>
        </w:rPr>
        <w:t>has the meaning specified in Section 8.01.</w:t>
      </w:r>
    </w:p>
    <w:p>
      <w:pPr>
        <w:pStyle w:val="TextBody"/>
        <w:bidi w:val="0"/>
        <w:spacing w:before="240" w:after="283"/>
        <w:jc w:val="both"/>
        <w:rPr/>
      </w:pPr>
      <w:r>
        <w:rPr>
          <w:color w:val="000000"/>
        </w:rPr>
        <w:t>“</w:t>
      </w:r>
      <w:r>
        <w:rPr>
          <w:rFonts w:ascii="Times New Roman" w:hAnsi="Times New Roman"/>
          <w:i/>
          <w:color w:val="000000"/>
          <w:sz w:val="22"/>
        </w:rPr>
        <w:t>Excluded Securitization Subsidiary</w:t>
      </w:r>
      <w:r>
        <w:rPr>
          <w:rFonts w:ascii="Times New Roman" w:hAnsi="Times New Roman"/>
          <w:color w:val="000000"/>
          <w:sz w:val="20"/>
        </w:rPr>
        <w:t xml:space="preserve">” </w:t>
      </w:r>
      <w:r>
        <w:rPr>
          <w:rFonts w:ascii="Times New Roman" w:hAnsi="Times New Roman"/>
          <w:color w:val="000000"/>
          <w:sz w:val="22"/>
        </w:rPr>
        <w:t xml:space="preserve">means any special purpose directly or indirectly wholly-owned Subsidiary of the Domestic Borrower created and operated for the sole purpose of engaging only in one or more Qualified Securitization Transactions; </w:t>
      </w:r>
      <w:r>
        <w:rPr>
          <w:rFonts w:ascii="Times New Roman" w:hAnsi="Times New Roman"/>
          <w:i/>
          <w:color w:val="000000"/>
          <w:sz w:val="22"/>
        </w:rPr>
        <w:t xml:space="preserve">provided </w:t>
      </w:r>
      <w:r>
        <w:rPr>
          <w:rFonts w:ascii="Times New Roman" w:hAnsi="Times New Roman"/>
          <w:color w:val="000000"/>
          <w:sz w:val="22"/>
        </w:rPr>
        <w:t>that (a) neither any Borrower nor any of its Subsidiaries shall have any contract, agreement, arrangement or understanding (other than pursuant to a Qualified Securitization Transaction (including with respect to fees payable in the ordinary course of business in connection with the servicing of accounts receivable and related assets)) with such Subsidiary on terms less favorable to the Borrowers or such Subsidiary than those that might be obtained at the time from Persons that are not Affiliates of the Borrowers and (b) neither any Borrower nor any other Subsidiary of a Borrower shall have any obligation to maintain or preserve such entity’s financial condition or cause such entity to achieve certain levels of operating results; provided further that such Excluded Securitization Subsidiary may engage in necessary corporate governance, accounting and other similar incidental transactions required in connection with maintaining its existence.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Excluded Subsidiary” </w:t>
      </w:r>
      <w:r>
        <w:rPr>
          <w:rFonts w:ascii="Times New Roman" w:hAnsi="Times New Roman"/>
          <w:color w:val="000000"/>
          <w:sz w:val="22"/>
        </w:rPr>
        <w:t>means (a) any Domestic Subsidiary that is a Subsidiary of a Foreign Subsidiary, (b) any CFC or (c) any other Domestic Subsidiary with respect to which, (x) the Administrative Agent and the Domestic Borrower reasonably agree that the cost or other consequences of providing a Guarantee of or granting Liens to secure the Obligations are excessive in relation to the value to be afforded thereby or (y) providing such a Guarantee or granting such Liens could reasonably be expected to result in material adverse tax consequences as determined in good faith by the Domestic Borrower in consultation with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Excluded Swap Obligation” </w:t>
      </w:r>
      <w:r>
        <w:rPr>
          <w:rFonts w:ascii="Times New Roman" w:hAnsi="Times New Roman"/>
          <w:color w:val="000000"/>
          <w:sz w:val="22"/>
        </w:rPr>
        <w:t>means, with respect to any Loan Party, any Swap Obligation if, and to the extent that, all or a portion of the Guaranty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thereof) by virtue of such Loan Party’s failure for any reason to constitute an “eligible contract participant” as defined in the Commodity Exchange Act (determined after giving effect to Section 10.10 and any other “keepwell, support or other agreement” for the benefit of such Loan Party and any and all guarantees of such Loan Party’s Swap Obligations by other Loan Parties) at the time the Guaranty of such Loan Party, or grant by such Loan Party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pStyle w:val="TextBody"/>
        <w:bidi w:val="0"/>
        <w:spacing w:before="240" w:after="283"/>
        <w:jc w:val="both"/>
        <w:rPr/>
      </w:pPr>
      <w:r>
        <w:rPr>
          <w:color w:val="000000"/>
        </w:rPr>
        <w:t>“</w:t>
      </w:r>
      <w:r>
        <w:rPr>
          <w:rFonts w:ascii="Times New Roman" w:hAnsi="Times New Roman"/>
          <w:i/>
          <w:color w:val="000000"/>
          <w:sz w:val="22"/>
        </w:rPr>
        <w:t xml:space="preserve">Excluded Taxes” </w:t>
      </w:r>
      <w:r>
        <w:rPr>
          <w:rFonts w:ascii="Times New Roman" w:hAnsi="Times New Roman"/>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Domestic Borrower under Section 11.13) or (ii) such Lender changes its Lending Office, except in each case to the extent that, pursuant to Section 3.01(a) or (c), amounts with respect to such Taxes were payable either to such Lender’s assignor immediately before such Lender became a party hereto or to such Lender immediately before it changed its Lending Office, (c) Taxes attributable to such Recipient’s failure to comply with Section 3.01(f), and (d) any U.S. federal withholding Taxes imposed pursuant to FATCA. Notwithstanding anything to the contrary contained in this definition, “Excluded Taxes” shall not include any withholding tax imposed at any time on payments made by or on account of a Foreign Loan Party hereunder or under any other Loan Document; </w:t>
      </w:r>
      <w:r>
        <w:rPr>
          <w:rFonts w:ascii="Times New Roman" w:hAnsi="Times New Roman"/>
          <w:i/>
          <w:color w:val="000000"/>
          <w:sz w:val="22"/>
        </w:rPr>
        <w:t xml:space="preserve">provided </w:t>
      </w:r>
      <w:r>
        <w:rPr>
          <w:rFonts w:ascii="Times New Roman" w:hAnsi="Times New Roman"/>
          <w:color w:val="000000"/>
          <w:sz w:val="22"/>
        </w:rPr>
        <w:t>that such Recipient shall have complied (to the extent applicable) with Section 3.01(e)(i).</w:t>
      </w:r>
    </w:p>
    <w:p>
      <w:pPr>
        <w:pStyle w:val="TextBody"/>
        <w:bidi w:val="0"/>
        <w:spacing w:before="240" w:after="283"/>
        <w:jc w:val="both"/>
        <w:rPr/>
      </w:pPr>
      <w:r>
        <w:rPr>
          <w:color w:val="000000"/>
        </w:rPr>
        <w:t>“</w:t>
      </w:r>
      <w:r>
        <w:rPr>
          <w:rFonts w:ascii="Times New Roman" w:hAnsi="Times New Roman"/>
          <w:i/>
          <w:color w:val="000000"/>
          <w:sz w:val="22"/>
        </w:rPr>
        <w:t xml:space="preserve">Existing Credit Agreement” </w:t>
      </w:r>
      <w:r>
        <w:rPr>
          <w:rFonts w:ascii="Times New Roman" w:hAnsi="Times New Roman"/>
          <w:color w:val="000000"/>
          <w:sz w:val="22"/>
        </w:rPr>
        <w:t xml:space="preserve">has the meaning specified in the preliminary statements hereto. </w:t>
      </w:r>
      <w:r>
        <w:rPr>
          <w:rFonts w:ascii="Times New Roman" w:hAnsi="Times New Roman"/>
          <w:color w:val="0000FF"/>
          <w:sz w:val="20"/>
          <w:u w:val="single"/>
        </w:rPr>
        <w:t>“</w:t>
      </w:r>
      <w:r>
        <w:rPr>
          <w:rFonts w:ascii="Times New Roman" w:hAnsi="Times New Roman"/>
          <w:i/>
          <w:color w:val="0000FF"/>
          <w:sz w:val="22"/>
          <w:u w:val="single"/>
        </w:rPr>
        <w:t>Exiting Lender</w:t>
      </w:r>
      <w:r>
        <w:rPr>
          <w:rFonts w:ascii="Times New Roman" w:hAnsi="Times New Roman"/>
          <w:color w:val="0000FF"/>
          <w:sz w:val="20"/>
          <w:u w:val="single"/>
        </w:rPr>
        <w:t xml:space="preserve">” </w:t>
      </w:r>
      <w:r>
        <w:rPr>
          <w:rFonts w:ascii="Times New Roman" w:hAnsi="Times New Roman"/>
          <w:color w:val="0000FF"/>
          <w:sz w:val="22"/>
          <w:u w:val="single"/>
        </w:rPr>
        <w:t>has the meaning specified in Section 11.25(b).</w:t>
      </w:r>
    </w:p>
    <w:p>
      <w:pPr>
        <w:pStyle w:val="TextBody"/>
        <w:bidi w:val="0"/>
        <w:spacing w:before="240" w:after="283"/>
        <w:jc w:val="both"/>
        <w:rPr/>
      </w:pPr>
      <w:r>
        <w:rPr>
          <w:color w:val="000000"/>
        </w:rPr>
        <w:t>“</w:t>
      </w:r>
      <w:r>
        <w:rPr>
          <w:rFonts w:ascii="Times New Roman" w:hAnsi="Times New Roman"/>
          <w:i/>
          <w:color w:val="000000"/>
          <w:sz w:val="22"/>
        </w:rPr>
        <w:t xml:space="preserve">Extraordinary Receipt” </w:t>
      </w:r>
      <w:r>
        <w:rPr>
          <w:rFonts w:ascii="Times New Roman" w:hAnsi="Times New Roman"/>
          <w:color w:val="000000"/>
          <w:sz w:val="22"/>
        </w:rPr>
        <w:t>means any cash received by or paid to or for the account of any Person not in the ordinary course of business, including tax refunds, pension plan reversions, condemnation awards (and payments in lieu thereof), indemnity payments and any purchase price adjustments, but excluding proceeds of insurance, and excluding proceeds of Dispositions and Involuntary Dispositions.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Facility” </w:t>
      </w:r>
      <w:r>
        <w:rPr>
          <w:rFonts w:ascii="Times New Roman" w:hAnsi="Times New Roman"/>
          <w:color w:val="000000"/>
          <w:sz w:val="22"/>
        </w:rPr>
        <w:t>means an Incremental Term Facility or the Revolving Credit Facility, as the context may require.</w:t>
      </w:r>
    </w:p>
    <w:p>
      <w:pPr>
        <w:pStyle w:val="TextBody"/>
        <w:bidi w:val="0"/>
        <w:spacing w:before="240" w:after="283"/>
        <w:jc w:val="both"/>
        <w:rPr/>
      </w:pPr>
      <w:r>
        <w:rPr>
          <w:color w:val="000000"/>
        </w:rPr>
        <w:t>“</w:t>
      </w:r>
      <w:r>
        <w:rPr>
          <w:rFonts w:ascii="Times New Roman" w:hAnsi="Times New Roman"/>
          <w:i/>
          <w:color w:val="000000"/>
          <w:sz w:val="22"/>
        </w:rPr>
        <w:t xml:space="preserve">Facility Office” </w:t>
      </w:r>
      <w:r>
        <w:rPr>
          <w:rFonts w:ascii="Times New Roman" w:hAnsi="Times New Roman"/>
          <w:color w:val="000000"/>
          <w:sz w:val="22"/>
        </w:rPr>
        <w:t>means the office designated by the applicable Lender through which such Lender will perform its obligations under this Agreement.</w:t>
      </w:r>
    </w:p>
    <w:p>
      <w:pPr>
        <w:pStyle w:val="TextBody"/>
        <w:bidi w:val="0"/>
        <w:spacing w:before="240" w:after="283"/>
        <w:jc w:val="both"/>
        <w:rPr/>
      </w:pPr>
      <w:r>
        <w:rPr>
          <w:color w:val="000000"/>
        </w:rPr>
        <w:t>“</w:t>
      </w:r>
      <w:r>
        <w:rPr>
          <w:rFonts w:ascii="Times New Roman" w:hAnsi="Times New Roman"/>
          <w:i/>
          <w:color w:val="000000"/>
          <w:sz w:val="22"/>
        </w:rPr>
        <w:t>Facility Termination Date</w:t>
      </w:r>
      <w:r>
        <w:rPr>
          <w:rFonts w:ascii="Times New Roman" w:hAnsi="Times New Roman"/>
          <w:color w:val="000000"/>
          <w:sz w:val="20"/>
        </w:rPr>
        <w:t xml:space="preserve">” </w:t>
      </w:r>
      <w:r>
        <w:rPr>
          <w:rFonts w:ascii="Times New Roman" w:hAnsi="Times New Roman"/>
          <w:color w:val="000000"/>
          <w:sz w:val="22"/>
        </w:rPr>
        <w:t>means the date as of which all of the following shall have occurred: (a) the Aggregate Commitments have terminated, (b) all Obligations have been paid in full (other than contingent indemnification obligations), and (c) all Letters of Credit have terminated or expired (other than Letters of Credit as to which other arrangements with respect thereto satisfactory to the Administrative Agent and the applicable L/C Issuers shall have been made).</w:t>
      </w:r>
    </w:p>
    <w:p>
      <w:pPr>
        <w:pStyle w:val="TextBody"/>
        <w:bidi w:val="0"/>
        <w:spacing w:before="240" w:after="283"/>
        <w:jc w:val="both"/>
        <w:rPr/>
      </w:pPr>
      <w:r>
        <w:rPr>
          <w:color w:val="000000"/>
        </w:rPr>
        <w:t>“</w:t>
      </w:r>
      <w:r>
        <w:rPr>
          <w:rFonts w:ascii="Times New Roman" w:hAnsi="Times New Roman"/>
          <w:i/>
          <w:color w:val="000000"/>
          <w:sz w:val="22"/>
        </w:rPr>
        <w:t xml:space="preserve">FASB ASC” </w:t>
      </w:r>
      <w:r>
        <w:rPr>
          <w:rFonts w:ascii="Times New Roman" w:hAnsi="Times New Roman"/>
          <w:color w:val="000000"/>
          <w:sz w:val="22"/>
        </w:rPr>
        <w:t>means the Accounting Standards Codification of the Financial Accounting Standards Board.</w:t>
      </w:r>
    </w:p>
    <w:p>
      <w:pPr>
        <w:pStyle w:val="TextBody"/>
        <w:bidi w:val="0"/>
        <w:spacing w:before="240" w:after="283"/>
        <w:jc w:val="both"/>
        <w:rPr/>
      </w:pPr>
      <w:r>
        <w:rPr>
          <w:color w:val="000000"/>
        </w:rPr>
        <w:t>“</w:t>
      </w:r>
      <w:r>
        <w:rPr>
          <w:rFonts w:ascii="Times New Roman" w:hAnsi="Times New Roman"/>
          <w:i/>
          <w:color w:val="000000"/>
          <w:sz w:val="22"/>
        </w:rPr>
        <w:t xml:space="preserve">FATCA” </w:t>
      </w:r>
      <w:r>
        <w:rPr>
          <w:rFonts w:ascii="Times New Roman" w:hAnsi="Times New Roman"/>
          <w:color w:val="000000"/>
          <w:sz w:val="22"/>
        </w:rPr>
        <w:t xml:space="preserve">means Sections 1471 through 1474 of the Code, as of the date of this Agreement (or any amended or successor version that is substantively comparable and not materially more onerous to comply with), </w:t>
      </w:r>
      <w:r>
        <w:rPr>
          <w:rFonts w:ascii="Times New Roman" w:hAnsi="Times New Roman"/>
          <w:color w:val="0000FF"/>
          <w:sz w:val="22"/>
          <w:u w:val="single"/>
        </w:rPr>
        <w:t xml:space="preserve">and </w:t>
      </w:r>
      <w:r>
        <w:rPr>
          <w:rFonts w:ascii="Times New Roman" w:hAnsi="Times New Roman"/>
          <w:color w:val="000000"/>
          <w:sz w:val="22"/>
        </w:rPr>
        <w:t>any current or future regulations or official interpretations thereof and any agreements entered into pursuant to Section 1471(b)(1) of the Code</w:t>
      </w:r>
      <w:r>
        <w:rPr>
          <w:rFonts w:ascii="Times New Roman" w:hAnsi="Times New Roman"/>
          <w:color w:val="0000FF"/>
          <w:sz w:val="22"/>
          <w:u w:val="single"/>
        </w:rPr>
        <w:t>, as of the date of this Agreement (or any amended or</w:t>
      </w:r>
      <w:r>
        <w:rPr>
          <w:rFonts w:ascii="Times New Roman" w:hAnsi="Times New Roman"/>
          <w:color w:val="0000FF"/>
          <w:sz w:val="20"/>
        </w:rPr>
        <w:t xml:space="preserve"> </w:t>
      </w:r>
      <w:r>
        <w:rPr>
          <w:rFonts w:ascii="Times New Roman" w:hAnsi="Times New Roman"/>
          <w:color w:val="0000FF"/>
          <w:sz w:val="22"/>
          <w:u w:val="single"/>
        </w:rPr>
        <w:t>successor version described above) and any intergovernmental agreement (and related fiscal or regulatory</w:t>
      </w:r>
      <w:r>
        <w:rPr>
          <w:rFonts w:ascii="Times New Roman" w:hAnsi="Times New Roman"/>
          <w:color w:val="0000FF"/>
          <w:sz w:val="20"/>
        </w:rPr>
        <w:t xml:space="preserve"> </w:t>
      </w:r>
      <w:r>
        <w:rPr>
          <w:rFonts w:ascii="Times New Roman" w:hAnsi="Times New Roman"/>
          <w:color w:val="0000FF"/>
          <w:sz w:val="22"/>
          <w:u w:val="single"/>
        </w:rPr>
        <w:t>legislation, or related official rules or practices) implementing the foregoing</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Federal Funds Rate” </w:t>
      </w:r>
      <w:r>
        <w:rPr>
          <w:rFonts w:ascii="Times New Roman" w:hAnsi="Times New Roman"/>
          <w:color w:val="000000"/>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color w:val="000000"/>
          <w:sz w:val="22"/>
        </w:rPr>
        <w:t xml:space="preserve">provided </w:t>
      </w:r>
      <w:r>
        <w:rPr>
          <w:rFonts w:ascii="Times New Roman" w:hAnsi="Times New Roman"/>
          <w:color w:val="000000"/>
          <w:sz w:val="22"/>
        </w:rPr>
        <w:t>that if the Federal Funds Rate as so determined would be less than zero, such rate shall be deemed to be zero for the purposes of this Agreement.</w:t>
      </w:r>
    </w:p>
    <w:p>
      <w:pPr>
        <w:pStyle w:val="TextBody"/>
        <w:bidi w:val="0"/>
        <w:spacing w:before="240" w:after="283"/>
        <w:jc w:val="both"/>
        <w:rPr/>
      </w:pPr>
      <w:r>
        <w:rPr>
          <w:color w:val="000000"/>
        </w:rPr>
        <w:t>“</w:t>
      </w:r>
      <w:r>
        <w:rPr>
          <w:rFonts w:ascii="Times New Roman" w:hAnsi="Times New Roman"/>
          <w:i/>
          <w:color w:val="000000"/>
          <w:sz w:val="22"/>
        </w:rPr>
        <w:t xml:space="preserve">Fee Letters” </w:t>
      </w:r>
      <w:r>
        <w:rPr>
          <w:rFonts w:ascii="Times New Roman" w:hAnsi="Times New Roman"/>
          <w:color w:val="000000"/>
          <w:sz w:val="22"/>
        </w:rPr>
        <w:t xml:space="preserve">means, collectively, </w:t>
      </w:r>
      <w:r>
        <w:rPr>
          <w:rFonts w:ascii="Times New Roman" w:hAnsi="Times New Roman"/>
          <w:color w:val="0000FF"/>
          <w:sz w:val="22"/>
          <w:u w:val="single"/>
        </w:rPr>
        <w:t xml:space="preserve">(a) </w:t>
      </w:r>
      <w:r>
        <w:rPr>
          <w:rFonts w:ascii="Times New Roman" w:hAnsi="Times New Roman"/>
          <w:color w:val="000000"/>
          <w:sz w:val="22"/>
        </w:rPr>
        <w:t>the letter agreement dated April 28, 2023</w:t>
      </w:r>
      <w:r>
        <w:rPr>
          <w:rFonts w:ascii="Times New Roman" w:hAnsi="Times New Roman"/>
          <w:color w:val="0000FF"/>
          <w:sz w:val="22"/>
          <w:u w:val="single"/>
        </w:rPr>
        <w:t>, among the</w:t>
      </w:r>
      <w:r>
        <w:rPr>
          <w:rFonts w:ascii="Times New Roman" w:hAnsi="Times New Roman"/>
          <w:color w:val="0000FF"/>
          <w:sz w:val="20"/>
        </w:rPr>
        <w:t xml:space="preserve"> </w:t>
      </w:r>
      <w:r>
        <w:rPr>
          <w:rFonts w:ascii="Times New Roman" w:hAnsi="Times New Roman"/>
          <w:color w:val="0000FF"/>
          <w:sz w:val="22"/>
          <w:u w:val="single"/>
        </w:rPr>
        <w:t>Domestic Borrower, the Administrative Agent and BofA Securities, Inc., (b) the letter agreement dated</w:t>
      </w:r>
      <w:r>
        <w:rPr>
          <w:rFonts w:ascii="Times New Roman" w:hAnsi="Times New Roman"/>
          <w:color w:val="0000FF"/>
          <w:sz w:val="20"/>
        </w:rPr>
        <w:t xml:space="preserve"> </w:t>
      </w:r>
      <w:r>
        <w:rPr>
          <w:rFonts w:ascii="Times New Roman" w:hAnsi="Times New Roman"/>
          <w:color w:val="0000FF"/>
          <w:sz w:val="22"/>
          <w:u w:val="single"/>
        </w:rPr>
        <w:t>May 12, 2023, among the Domestic Borrower, PNC Bank, National Association and PNC Capital Markets,</w:t>
      </w:r>
      <w:r>
        <w:rPr>
          <w:rFonts w:ascii="Times New Roman" w:hAnsi="Times New Roman"/>
          <w:color w:val="0000FF"/>
          <w:sz w:val="20"/>
        </w:rPr>
        <w:t xml:space="preserve"> </w:t>
      </w:r>
      <w:r>
        <w:rPr>
          <w:rFonts w:ascii="Times New Roman" w:hAnsi="Times New Roman"/>
          <w:color w:val="0000FF"/>
          <w:sz w:val="22"/>
          <w:u w:val="single"/>
        </w:rPr>
        <w:t>LLC, (c) the letter agreement, dated as of July 29, 2026,</w:t>
      </w:r>
      <w:r>
        <w:rPr>
          <w:rFonts w:ascii="Times New Roman" w:hAnsi="Times New Roman"/>
          <w:color w:val="0000FF"/>
          <w:sz w:val="20"/>
        </w:rPr>
        <w:t xml:space="preserve"> </w:t>
      </w:r>
      <w:r>
        <w:rPr>
          <w:rFonts w:ascii="Times New Roman" w:hAnsi="Times New Roman"/>
          <w:color w:val="000000"/>
          <w:sz w:val="22"/>
        </w:rPr>
        <w:t xml:space="preserve">among the Domestic Borrower, the Administrative Agent and BofA Securities, Inc. and </w:t>
      </w:r>
      <w:r>
        <w:rPr>
          <w:rFonts w:ascii="Times New Roman" w:hAnsi="Times New Roman"/>
          <w:color w:val="0000FF"/>
          <w:sz w:val="22"/>
          <w:u w:val="single"/>
        </w:rPr>
        <w:t>(d)</w:t>
      </w:r>
      <w:r>
        <w:rPr>
          <w:rFonts w:ascii="Times New Roman" w:hAnsi="Times New Roman"/>
          <w:color w:val="0000FF"/>
          <w:sz w:val="20"/>
        </w:rPr>
        <w:t xml:space="preserve"> </w:t>
      </w:r>
      <w:r>
        <w:rPr>
          <w:rFonts w:ascii="Times New Roman" w:hAnsi="Times New Roman"/>
          <w:color w:val="000000"/>
          <w:sz w:val="22"/>
        </w:rPr>
        <w:t>the letter agreement</w:t>
      </w:r>
      <w:r>
        <w:rPr>
          <w:rFonts w:ascii="Times New Roman" w:hAnsi="Times New Roman"/>
          <w:color w:val="0000FF"/>
          <w:sz w:val="22"/>
        </w:rPr>
        <w:t xml:space="preserve">, </w:t>
      </w:r>
      <w:r>
        <w:rPr>
          <w:rFonts w:ascii="Times New Roman" w:hAnsi="Times New Roman"/>
          <w:color w:val="000000"/>
          <w:sz w:val="22"/>
        </w:rPr>
        <w:t xml:space="preserve">dated </w:t>
      </w:r>
      <w:r>
        <w:rPr>
          <w:rFonts w:ascii="Times New Roman" w:hAnsi="Times New Roman"/>
          <w:strike/>
          <w:color w:val="FF0000"/>
          <w:sz w:val="22"/>
        </w:rPr>
        <w:t>May 12</w:t>
      </w:r>
      <w:r>
        <w:rPr>
          <w:rFonts w:ascii="Times New Roman" w:hAnsi="Times New Roman"/>
          <w:color w:val="0000FF"/>
          <w:sz w:val="22"/>
          <w:u w:val="single"/>
        </w:rPr>
        <w:t>as of July 29</w:t>
      </w:r>
      <w:r>
        <w:rPr>
          <w:rFonts w:ascii="Times New Roman" w:hAnsi="Times New Roman"/>
          <w:color w:val="000000"/>
          <w:sz w:val="22"/>
        </w:rPr>
        <w:t xml:space="preserve">, </w:t>
      </w:r>
      <w:r>
        <w:rPr>
          <w:rFonts w:ascii="Times New Roman" w:hAnsi="Times New Roman"/>
          <w:strike/>
          <w:color w:val="FF0000"/>
          <w:sz w:val="22"/>
        </w:rPr>
        <w:t>2023</w:t>
      </w:r>
      <w:r>
        <w:rPr>
          <w:rFonts w:ascii="Times New Roman" w:hAnsi="Times New Roman"/>
          <w:color w:val="0000FF"/>
          <w:sz w:val="22"/>
          <w:u w:val="single"/>
        </w:rPr>
        <w:t>2026,</w:t>
      </w:r>
      <w:r>
        <w:rPr>
          <w:rFonts w:ascii="Times New Roman" w:hAnsi="Times New Roman"/>
          <w:color w:val="0000FF"/>
          <w:sz w:val="20"/>
        </w:rPr>
        <w:t xml:space="preserve"> </w:t>
      </w:r>
      <w:r>
        <w:rPr>
          <w:rFonts w:ascii="Times New Roman" w:hAnsi="Times New Roman"/>
          <w:color w:val="000000"/>
          <w:sz w:val="22"/>
        </w:rPr>
        <w:t>among the Domestic Borrower</w:t>
      </w:r>
      <w:r>
        <w:rPr>
          <w:rFonts w:ascii="Times New Roman" w:hAnsi="Times New Roman"/>
          <w:color w:val="0000FF"/>
          <w:sz w:val="22"/>
          <w:u w:val="single"/>
        </w:rPr>
        <w:t>, the Administrative Agent, BofA Securities, Inc.</w:t>
      </w:r>
      <w:r>
        <w:rPr>
          <w:rFonts w:ascii="Times New Roman" w:hAnsi="Times New Roman"/>
          <w:color w:val="000000"/>
          <w:sz w:val="22"/>
        </w:rPr>
        <w:t>, PNC Bank, National Association and PNC Capital Markets, LLC.</w:t>
      </w:r>
    </w:p>
    <w:p>
      <w:pPr>
        <w:pStyle w:val="TextBody"/>
        <w:bidi w:val="0"/>
        <w:spacing w:before="240" w:after="283"/>
        <w:jc w:val="both"/>
        <w:rPr/>
      </w:pPr>
      <w:r>
        <w:rPr>
          <w:color w:val="000000"/>
        </w:rPr>
        <w:t>“</w:t>
      </w:r>
      <w:r>
        <w:rPr>
          <w:rFonts w:ascii="Times New Roman" w:hAnsi="Times New Roman"/>
          <w:i/>
          <w:color w:val="000000"/>
          <w:sz w:val="22"/>
        </w:rPr>
        <w:t xml:space="preserve">First Tier Foreign Subsidiary” </w:t>
      </w:r>
      <w:r>
        <w:rPr>
          <w:rFonts w:ascii="Times New Roman" w:hAnsi="Times New Roman"/>
          <w:color w:val="000000"/>
          <w:sz w:val="22"/>
        </w:rPr>
        <w:t>mean a Foreign Subsidiary all or any portion of whose Equity Interests are owned directly by the Domestic Borrower or a Global Guarantor.</w:t>
      </w:r>
    </w:p>
    <w:p>
      <w:pPr>
        <w:pStyle w:val="TextBody"/>
        <w:bidi w:val="0"/>
        <w:spacing w:before="240" w:after="283"/>
        <w:jc w:val="both"/>
        <w:rPr/>
      </w:pPr>
      <w:r>
        <w:rPr>
          <w:color w:val="000000"/>
        </w:rPr>
        <w:t>“</w:t>
      </w:r>
      <w:r>
        <w:rPr>
          <w:rFonts w:ascii="Times New Roman" w:hAnsi="Times New Roman"/>
          <w:i/>
          <w:color w:val="000000"/>
          <w:sz w:val="22"/>
        </w:rPr>
        <w:t xml:space="preserve">Foreign Borrower” </w:t>
      </w:r>
      <w:r>
        <w:rPr>
          <w:rFonts w:ascii="Times New Roman" w:hAnsi="Times New Roman"/>
          <w:color w:val="000000"/>
          <w:sz w:val="22"/>
        </w:rPr>
        <w:t>has the meaning specified in the introductory paragraph hereto.</w:t>
      </w:r>
    </w:p>
    <w:p>
      <w:pPr>
        <w:pStyle w:val="TextBody"/>
        <w:bidi w:val="0"/>
        <w:spacing w:before="240" w:after="283"/>
        <w:jc w:val="both"/>
        <w:rPr/>
      </w:pPr>
      <w:r>
        <w:rPr>
          <w:color w:val="000000"/>
        </w:rPr>
        <w:t>“</w:t>
      </w:r>
      <w:r>
        <w:rPr>
          <w:rFonts w:ascii="Times New Roman" w:hAnsi="Times New Roman"/>
          <w:i/>
          <w:color w:val="000000"/>
          <w:sz w:val="22"/>
        </w:rPr>
        <w:t xml:space="preserve">Foreign Guarantors” </w:t>
      </w:r>
      <w:r>
        <w:rPr>
          <w:rFonts w:ascii="Times New Roman" w:hAnsi="Times New Roman"/>
          <w:color w:val="000000"/>
          <w:sz w:val="22"/>
        </w:rPr>
        <w:t>means (a) Diodes Zetex Limited, a company incorporated and registered under the laws of England and Wales, (b) each other Foreign Subsidiary that becomes a guarantor and (c) solely with respect to Foreign Obligations consisting of Secured Cash Management Agreements or Secured Hedge Agreements with any other Foreign Loan Party, the Foreign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Foreign Lender” </w:t>
      </w:r>
      <w:r>
        <w:rPr>
          <w:rFonts w:ascii="Times New Roman" w:hAnsi="Times New Roman"/>
          <w:color w:val="000000"/>
          <w:sz w:val="22"/>
        </w:rPr>
        <w:t>means (a) with respect to the Domestic Borrower, a Lender that is not a U.S. Person, and (b) with respect to the Foreign Borrower,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pStyle w:val="TextBody"/>
        <w:bidi w:val="0"/>
        <w:spacing w:before="240" w:after="283"/>
        <w:jc w:val="both"/>
        <w:rPr/>
      </w:pPr>
      <w:r>
        <w:rPr>
          <w:color w:val="000000"/>
        </w:rPr>
        <w:t>“</w:t>
      </w:r>
      <w:r>
        <w:rPr>
          <w:rFonts w:ascii="Times New Roman" w:hAnsi="Times New Roman"/>
          <w:i/>
          <w:color w:val="000000"/>
          <w:sz w:val="22"/>
        </w:rPr>
        <w:t xml:space="preserve">Foreign Loan Parties” </w:t>
      </w:r>
      <w:r>
        <w:rPr>
          <w:rFonts w:ascii="Times New Roman" w:hAnsi="Times New Roman"/>
          <w:color w:val="000000"/>
          <w:sz w:val="22"/>
        </w:rPr>
        <w:t>means the Foreign Borrower and the Foreign Guarantors.</w:t>
      </w:r>
    </w:p>
    <w:p>
      <w:pPr>
        <w:pStyle w:val="TextBody"/>
        <w:bidi w:val="0"/>
        <w:spacing w:before="240" w:after="283"/>
        <w:jc w:val="both"/>
        <w:rPr/>
      </w:pPr>
      <w:r>
        <w:rPr>
          <w:color w:val="000000"/>
        </w:rPr>
        <w:t>“</w:t>
      </w:r>
      <w:r>
        <w:rPr>
          <w:rFonts w:ascii="Times New Roman" w:hAnsi="Times New Roman"/>
          <w:i/>
          <w:color w:val="000000"/>
          <w:sz w:val="22"/>
        </w:rPr>
        <w:t xml:space="preserve">Foreign Obligations” </w:t>
      </w:r>
      <w:r>
        <w:rPr>
          <w:rFonts w:ascii="Times New Roman" w:hAnsi="Times New Roman"/>
          <w:color w:val="000000"/>
          <w:sz w:val="22"/>
        </w:rPr>
        <w:t xml:space="preserve">means all advances to, and debts, liabilities, obligations, covenants and duties of, any Foreign Loan Party arising under any Loan Document or otherwise with respect to (a) any Loan made to the Foreign Borrower, (b) any Letter of Credit issued for the account of the Foreign Borrower, (c) any Secured Cash Management Agreement with any Foreign Loan Party or (d) any Secured Hedge Agreement with any Foreign Loan Party, in each case whether direct or indirect (including those acquired by assumption), absolute or contingent, due or to become due, now existing or hereafter arising and including interest and fees that accrue after the commencement by or against any Foreign Loan Party or any Affiliate thereof of any proceeding under any Debtor Relief Laws naming such Person as the debtor in such proceeding, regardless of whether such interest and fees are allowed claims in such proceeding; </w:t>
      </w:r>
      <w:r>
        <w:rPr>
          <w:rFonts w:ascii="Times New Roman" w:hAnsi="Times New Roman"/>
          <w:i/>
          <w:color w:val="000000"/>
          <w:sz w:val="22"/>
        </w:rPr>
        <w:t xml:space="preserve">provided </w:t>
      </w:r>
      <w:r>
        <w:rPr>
          <w:rFonts w:ascii="Times New Roman" w:hAnsi="Times New Roman"/>
          <w:color w:val="000000"/>
          <w:sz w:val="22"/>
        </w:rPr>
        <w:t>that Foreign Obligations of a Foreign Loan Party shall exclude any Excluded Swap Obligations with respect to such Foreign Loan Party.</w:t>
      </w:r>
    </w:p>
    <w:p>
      <w:pPr>
        <w:pStyle w:val="TextBody"/>
        <w:bidi w:val="0"/>
        <w:spacing w:before="240" w:after="283"/>
        <w:jc w:val="both"/>
        <w:rPr/>
      </w:pPr>
      <w:r>
        <w:rPr>
          <w:color w:val="000000"/>
        </w:rPr>
        <w:t>“</w:t>
      </w:r>
      <w:r>
        <w:rPr>
          <w:rFonts w:ascii="Times New Roman" w:hAnsi="Times New Roman"/>
          <w:i/>
          <w:color w:val="000000"/>
          <w:sz w:val="22"/>
        </w:rPr>
        <w:t xml:space="preserve">Foreign Pension Plan” </w:t>
      </w:r>
      <w:r>
        <w:rPr>
          <w:rFonts w:ascii="Times New Roman" w:hAnsi="Times New Roman"/>
          <w:color w:val="000000"/>
          <w:sz w:val="22"/>
        </w:rPr>
        <w:t>means any plan, fund (including, without limitation, any super-annuation fund) or other similar program, arrangement or agreement established or maintained outside of the United States by any Loan Party or any of its Subsidiaries primarily for the benefit of employees of such Loan Party or such Subsidiaries residing outside the United States, which plan, fund, or similar program provides or results in, retirement income, a deferral of income in contemplation of retirement or payments to be made upon termination of employment, and which is not subject to ERISA or the Code.</w:t>
      </w:r>
    </w:p>
    <w:p>
      <w:pPr>
        <w:pStyle w:val="TextBody"/>
        <w:bidi w:val="0"/>
        <w:spacing w:before="240" w:after="283"/>
        <w:jc w:val="both"/>
        <w:rPr/>
      </w:pPr>
      <w:r>
        <w:rPr>
          <w:color w:val="000000"/>
        </w:rPr>
        <w:t>“</w:t>
      </w:r>
      <w:r>
        <w:rPr>
          <w:rFonts w:ascii="Times New Roman" w:hAnsi="Times New Roman"/>
          <w:i/>
          <w:color w:val="000000"/>
          <w:sz w:val="22"/>
        </w:rPr>
        <w:t xml:space="preserve">Foreign Plan Event” </w:t>
      </w:r>
      <w:r>
        <w:rPr>
          <w:rFonts w:ascii="Times New Roman" w:hAnsi="Times New Roman"/>
          <w:color w:val="000000"/>
          <w:sz w:val="22"/>
        </w:rPr>
        <w:t>means the occurrence of any of the following which, individually or in the aggregate, has resulted or could reasonably be expected to result in liability of any Loan Party or an Affiliate thereof in an aggregate amount in excess of the Threshold Amount: (i) the partial or complete withdrawal of any Loan Party or an Affiliate thereof from a Foreign Pension Plan if withdrawal liability is asserted by such plan, or (ii) the termination of a defined benefit Foreign Pension Plan, the institution of proceedings to terminate a defined benefit Foreign Pension Plan, or the imposition of liability on any Loan Party or an Affiliate thereof due to a violation of foreign law with respect to a defined benefit Foreign Pension Plan.</w:t>
      </w:r>
    </w:p>
    <w:p>
      <w:pPr>
        <w:pStyle w:val="TextBody"/>
        <w:bidi w:val="0"/>
        <w:spacing w:before="240" w:after="283"/>
        <w:jc w:val="both"/>
        <w:rPr/>
      </w:pPr>
      <w:r>
        <w:rPr>
          <w:color w:val="000000"/>
        </w:rPr>
        <w:t>“</w:t>
      </w:r>
      <w:r>
        <w:rPr>
          <w:rFonts w:ascii="Times New Roman" w:hAnsi="Times New Roman"/>
          <w:i/>
          <w:color w:val="000000"/>
          <w:sz w:val="22"/>
        </w:rPr>
        <w:t xml:space="preserve">Foreign Security Agreements” </w:t>
      </w:r>
      <w:r>
        <w:rPr>
          <w:rFonts w:ascii="Times New Roman" w:hAnsi="Times New Roman"/>
          <w:color w:val="000000"/>
          <w:sz w:val="22"/>
        </w:rPr>
        <w:t>means the collective reference to the security agreements, debentures, pledge agreements, charges, deeds, guaranty agreements, and other similar documents and agreements pursuant to which any Loan Party purports to pledge or grant a security interest in any property or assets located outside the United States securing all or any portion of the Obligations or provide credit support for the Obligations, in each case, that are governed by the laws of any jurisdiction outside of the United States, each as may be amended, restated, supplemented or otherwise modified from time to time.</w:t>
      </w:r>
    </w:p>
    <w:p>
      <w:pPr>
        <w:pStyle w:val="TextBody"/>
        <w:bidi w:val="0"/>
        <w:spacing w:before="240" w:after="283"/>
        <w:jc w:val="both"/>
        <w:rPr/>
      </w:pPr>
      <w:r>
        <w:rPr>
          <w:color w:val="000000"/>
        </w:rPr>
        <w:t>“</w:t>
      </w:r>
      <w:r>
        <w:rPr>
          <w:rFonts w:ascii="Times New Roman" w:hAnsi="Times New Roman"/>
          <w:i/>
          <w:color w:val="000000"/>
          <w:sz w:val="22"/>
        </w:rPr>
        <w:t xml:space="preserve">Foreign Subsidiary” </w:t>
      </w:r>
      <w:r>
        <w:rPr>
          <w:rFonts w:ascii="Times New Roman" w:hAnsi="Times New Roman"/>
          <w:color w:val="000000"/>
          <w:sz w:val="22"/>
        </w:rPr>
        <w:t>means any Subsidiary that is not a Domestic Subsidiary.</w:t>
      </w:r>
    </w:p>
    <w:p>
      <w:pPr>
        <w:pStyle w:val="TextBody"/>
        <w:bidi w:val="0"/>
        <w:spacing w:before="240" w:after="283"/>
        <w:jc w:val="both"/>
        <w:rPr/>
      </w:pPr>
      <w:r>
        <w:rPr>
          <w:color w:val="000000"/>
        </w:rPr>
        <w:t>“</w:t>
      </w:r>
      <w:r>
        <w:rPr>
          <w:rFonts w:ascii="Times New Roman" w:hAnsi="Times New Roman"/>
          <w:i/>
          <w:color w:val="000000"/>
          <w:sz w:val="22"/>
        </w:rPr>
        <w:t xml:space="preserve">FRB” </w:t>
      </w:r>
      <w:r>
        <w:rPr>
          <w:rFonts w:ascii="Times New Roman" w:hAnsi="Times New Roman"/>
          <w:color w:val="000000"/>
          <w:sz w:val="22"/>
        </w:rPr>
        <w:t>means the Board of Governors of the Federal Reserve System of the United States.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Fronting Exposure” </w:t>
      </w:r>
      <w:r>
        <w:rPr>
          <w:rFonts w:ascii="Times New Roman" w:hAnsi="Times New Roman"/>
          <w:color w:val="000000"/>
          <w:sz w:val="22"/>
        </w:rPr>
        <w:t>means, at any time there is a Defaulting Lender that is a Revolving Credit Lender, (a) with respect to any L/C Issuer,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Credit Lenders or Cash Collateralized in accordance with the terms hereof.</w:t>
      </w:r>
    </w:p>
    <w:p>
      <w:pPr>
        <w:pStyle w:val="TextBody"/>
        <w:bidi w:val="0"/>
        <w:spacing w:before="240" w:after="283"/>
        <w:jc w:val="both"/>
        <w:rPr/>
      </w:pPr>
      <w:r>
        <w:rPr>
          <w:color w:val="000000"/>
        </w:rPr>
        <w:t>“</w:t>
      </w:r>
      <w:r>
        <w:rPr>
          <w:rFonts w:ascii="Times New Roman" w:hAnsi="Times New Roman"/>
          <w:i/>
          <w:color w:val="000000"/>
          <w:sz w:val="22"/>
        </w:rPr>
        <w:t xml:space="preserve">Fund” </w:t>
      </w:r>
      <w:r>
        <w:rPr>
          <w:rFonts w:ascii="Times New Roman" w:hAnsi="Times New Roman"/>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240" w:after="283"/>
        <w:jc w:val="both"/>
        <w:rPr/>
      </w:pPr>
      <w:r>
        <w:rPr>
          <w:color w:val="000000"/>
        </w:rPr>
        <w:t>“</w:t>
      </w:r>
      <w:r>
        <w:rPr>
          <w:rFonts w:ascii="Times New Roman" w:hAnsi="Times New Roman"/>
          <w:i/>
          <w:color w:val="000000"/>
          <w:sz w:val="22"/>
        </w:rPr>
        <w:t xml:space="preserve">GAAP” </w:t>
      </w:r>
      <w:r>
        <w:rPr>
          <w:rFonts w:ascii="Times New Roman" w:hAnsi="Times New Roman"/>
          <w:color w:val="000000"/>
          <w:sz w:val="22"/>
        </w:rPr>
        <w:t>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Section 1.03.</w:t>
      </w:r>
    </w:p>
    <w:p>
      <w:pPr>
        <w:pStyle w:val="TextBody"/>
        <w:bidi w:val="0"/>
        <w:spacing w:before="240" w:after="283"/>
        <w:jc w:val="both"/>
        <w:rPr/>
      </w:pPr>
      <w:r>
        <w:rPr>
          <w:color w:val="000000"/>
        </w:rPr>
        <w:t>“</w:t>
      </w:r>
      <w:r>
        <w:rPr>
          <w:rFonts w:ascii="Times New Roman" w:hAnsi="Times New Roman"/>
          <w:i/>
          <w:color w:val="000000"/>
          <w:sz w:val="22"/>
        </w:rPr>
        <w:t xml:space="preserve">Global Guarantors” </w:t>
      </w:r>
      <w:r>
        <w:rPr>
          <w:rFonts w:ascii="Times New Roman" w:hAnsi="Times New Roman"/>
          <w:color w:val="000000"/>
          <w:sz w:val="22"/>
        </w:rPr>
        <w:t>means (a) each Domestic Subsidiary identified as a “Global Guarantor” on the signature pages to this Agreement, (b) each Domestic Subsidiary that becomes a guarantor of the Obligations, whether pursuant to Section 6.12 or otherwise and (c) solely with respect to Obligations consisting of Secured Cash Management Agreements or Secured Hedge Agreements with any other Loan Party, the Domestic Borrower.</w:t>
      </w:r>
    </w:p>
    <w:p>
      <w:pPr>
        <w:pStyle w:val="TextBody"/>
        <w:bidi w:val="0"/>
        <w:spacing w:before="240" w:after="283"/>
        <w:jc w:val="both"/>
        <w:rPr/>
      </w:pPr>
      <w:r>
        <w:rPr>
          <w:color w:val="000000"/>
        </w:rPr>
        <w:t>“</w:t>
      </w:r>
      <w:r>
        <w:rPr>
          <w:rFonts w:ascii="Times New Roman" w:hAnsi="Times New Roman"/>
          <w:i/>
          <w:color w:val="000000"/>
          <w:sz w:val="22"/>
        </w:rPr>
        <w:t xml:space="preserve">Governmental Authority” </w:t>
      </w:r>
      <w:r>
        <w:rPr>
          <w:rFonts w:ascii="Times New Roman" w:hAnsi="Times New Roman"/>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240" w:after="283"/>
        <w:jc w:val="both"/>
        <w:rPr/>
      </w:pPr>
      <w:r>
        <w:rPr>
          <w:color w:val="000000"/>
        </w:rPr>
        <w:t>“</w:t>
      </w:r>
      <w:r>
        <w:rPr>
          <w:rFonts w:ascii="Times New Roman" w:hAnsi="Times New Roman"/>
          <w:i/>
          <w:color w:val="000000"/>
          <w:sz w:val="22"/>
        </w:rPr>
        <w:t xml:space="preserve">Guarantee” </w:t>
      </w:r>
      <w:r>
        <w:rPr>
          <w:rFonts w:ascii="Times New Roman" w:hAnsi="Times New Roman"/>
          <w:color w:val="000000"/>
          <w:sz w:val="22"/>
        </w:rPr>
        <w:t>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reasonably anticipated liability in respect thereof as determined by the guaranteeing Person in good faith. The term “Guarantee” as a verb has a corresponding meaning.</w:t>
      </w:r>
    </w:p>
    <w:p>
      <w:pPr>
        <w:pStyle w:val="TextBody"/>
        <w:bidi w:val="0"/>
        <w:spacing w:before="240" w:after="283"/>
        <w:jc w:val="both"/>
        <w:rPr/>
      </w:pPr>
      <w:r>
        <w:rPr>
          <w:color w:val="000000"/>
        </w:rPr>
        <w:t>“</w:t>
      </w:r>
      <w:r>
        <w:rPr>
          <w:rFonts w:ascii="Times New Roman" w:hAnsi="Times New Roman"/>
          <w:i/>
          <w:color w:val="000000"/>
          <w:sz w:val="22"/>
        </w:rPr>
        <w:t xml:space="preserve">Guarantors” </w:t>
      </w:r>
      <w:r>
        <w:rPr>
          <w:rFonts w:ascii="Times New Roman" w:hAnsi="Times New Roman"/>
          <w:color w:val="000000"/>
          <w:sz w:val="22"/>
        </w:rPr>
        <w:t>means, collectively, (a) Global Guarantors and the Foreign Guarantors and (b) with respect to Additional Secured Obligations owing by any Loan Party or any of its Subsidiaries and any Swap Obligation of a Specified Loan Party (determined before giving effect to Sections 10.01 and 10.10) under the Guaranty, each Borrower.</w:t>
      </w:r>
    </w:p>
    <w:p>
      <w:pPr>
        <w:pStyle w:val="TextBody"/>
        <w:bidi w:val="0"/>
        <w:spacing w:before="240" w:after="283"/>
        <w:jc w:val="both"/>
        <w:rPr/>
      </w:pPr>
      <w:r>
        <w:rPr>
          <w:color w:val="000000"/>
        </w:rPr>
        <w:t>“</w:t>
      </w:r>
      <w:r>
        <w:rPr>
          <w:rFonts w:ascii="Times New Roman" w:hAnsi="Times New Roman"/>
          <w:i/>
          <w:color w:val="000000"/>
          <w:sz w:val="22"/>
        </w:rPr>
        <w:t xml:space="preserve">Guaranty” </w:t>
      </w:r>
      <w:r>
        <w:rPr>
          <w:rFonts w:ascii="Times New Roman" w:hAnsi="Times New Roman"/>
          <w:color w:val="000000"/>
          <w:sz w:val="22"/>
        </w:rPr>
        <w:t>means, collectively, the Guaranty made by the Guarantors under Article X in favor of the Secured Parties and each guaranty and/or deed of guarantee entered into by a Foreign Guarantor, together with each other guaranty and guaranty supplement delivered pursuant to Section 6.12, in each case, as amended, restated, supplemented or otherwise modified from time to time.</w:t>
      </w:r>
    </w:p>
    <w:p>
      <w:pPr>
        <w:pStyle w:val="TextBody"/>
        <w:bidi w:val="0"/>
        <w:spacing w:before="240" w:after="283"/>
        <w:jc w:val="both"/>
        <w:rPr/>
      </w:pPr>
      <w:r>
        <w:rPr>
          <w:color w:val="000000"/>
        </w:rPr>
        <w:t>“</w:t>
      </w:r>
      <w:r>
        <w:rPr>
          <w:rFonts w:ascii="Times New Roman" w:hAnsi="Times New Roman"/>
          <w:i/>
          <w:color w:val="000000"/>
          <w:sz w:val="22"/>
        </w:rPr>
        <w:t xml:space="preserve">Hazardous Materials” </w:t>
      </w:r>
      <w:r>
        <w:rPr>
          <w:rFonts w:ascii="Times New Roman" w:hAnsi="Times New Roman"/>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240" w:after="283"/>
        <w:jc w:val="both"/>
        <w:rPr/>
      </w:pPr>
      <w:r>
        <w:rPr>
          <w:color w:val="000000"/>
        </w:rPr>
        <w:t>“</w:t>
      </w:r>
      <w:r>
        <w:rPr>
          <w:rFonts w:ascii="Times New Roman" w:hAnsi="Times New Roman"/>
          <w:i/>
          <w:color w:val="000000"/>
          <w:sz w:val="22"/>
        </w:rPr>
        <w:t xml:space="preserve">Hedge Bank” </w:t>
      </w:r>
      <w:r>
        <w:rPr>
          <w:rFonts w:ascii="Times New Roman" w:hAnsi="Times New Roman"/>
          <w:color w:val="000000"/>
          <w:sz w:val="22"/>
        </w:rPr>
        <w:t xml:space="preserve">means any Person in its capacity as a party to a Swap Contract that, (a) at the time it enters into a Swap Contract not prohibited under Articles VI or VII, is a Lender or an Affiliate of a Lender, or (b) at the time it (or its Affiliate) becomes a Lender, is a party to a Swap Contract not prohibited under Articles VI or VII, in each case, in its capacity as a party to such Swap Contract (even if such Person ceases to be a Lender or such Person’s Affiliate ceased to be a Lender); </w:t>
      </w:r>
      <w:r>
        <w:rPr>
          <w:rFonts w:ascii="Times New Roman" w:hAnsi="Times New Roman"/>
          <w:i/>
          <w:color w:val="000000"/>
          <w:sz w:val="22"/>
        </w:rPr>
        <w:t xml:space="preserve">provided </w:t>
      </w:r>
      <w:r>
        <w:rPr>
          <w:rFonts w:ascii="Times New Roman" w:hAnsi="Times New Roman"/>
          <w:color w:val="000000"/>
          <w:sz w:val="22"/>
        </w:rPr>
        <w:t xml:space="preserve">that, in the case of a Secured Hedge Agreement with a Person who is no longer a Lender (or Affiliate of a Lender), such Person shall be considered a Hedge Bank only through the stated termination date (without extension or renewal) of such Secured Hedge Agreement; </w:t>
      </w:r>
      <w:r>
        <w:rPr>
          <w:rFonts w:ascii="Times New Roman" w:hAnsi="Times New Roman"/>
          <w:i/>
          <w:color w:val="000000"/>
          <w:sz w:val="22"/>
        </w:rPr>
        <w:t xml:space="preserve">provided further </w:t>
      </w:r>
      <w:r>
        <w:rPr>
          <w:rFonts w:ascii="Times New Roman" w:hAnsi="Times New Roman"/>
          <w:color w:val="000000"/>
          <w:sz w:val="22"/>
        </w:rPr>
        <w:t>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pStyle w:val="TextBody"/>
        <w:bidi w:val="0"/>
        <w:spacing w:before="240" w:after="283"/>
        <w:jc w:val="both"/>
        <w:rPr/>
      </w:pPr>
      <w:r>
        <w:rPr>
          <w:color w:val="000000"/>
        </w:rPr>
        <w:t>“</w:t>
      </w:r>
      <w:r>
        <w:rPr>
          <w:rFonts w:ascii="Times New Roman" w:hAnsi="Times New Roman"/>
          <w:i/>
          <w:color w:val="000000"/>
          <w:sz w:val="22"/>
        </w:rPr>
        <w:t xml:space="preserve">IFRS” </w:t>
      </w:r>
      <w:r>
        <w:rPr>
          <w:rFonts w:ascii="Times New Roman" w:hAnsi="Times New Roman"/>
          <w:color w:val="000000"/>
          <w:sz w:val="22"/>
        </w:rPr>
        <w:t>means international accounting standards within the meaning of IAS Regulation 1606/2002 to the extent applicable to the relevant financial statements delivered under or referred to herein.</w:t>
      </w:r>
    </w:p>
    <w:p>
      <w:pPr>
        <w:pStyle w:val="TextBody"/>
        <w:bidi w:val="0"/>
        <w:spacing w:before="240" w:after="283"/>
        <w:jc w:val="both"/>
        <w:rPr/>
      </w:pPr>
      <w:r>
        <w:rPr>
          <w:color w:val="000000"/>
        </w:rPr>
        <w:t>“</w:t>
      </w:r>
      <w:r>
        <w:rPr>
          <w:rFonts w:ascii="Times New Roman" w:hAnsi="Times New Roman"/>
          <w:i/>
          <w:color w:val="000000"/>
          <w:sz w:val="22"/>
        </w:rPr>
        <w:t>Impacted Loans</w:t>
      </w:r>
      <w:r>
        <w:rPr>
          <w:rFonts w:ascii="Times New Roman" w:hAnsi="Times New Roman"/>
          <w:color w:val="000000"/>
          <w:sz w:val="20"/>
        </w:rPr>
        <w:t xml:space="preserve">” </w:t>
      </w:r>
      <w:r>
        <w:rPr>
          <w:rFonts w:ascii="Times New Roman" w:hAnsi="Times New Roman"/>
          <w:color w:val="000000"/>
          <w:sz w:val="22"/>
        </w:rPr>
        <w:t>has the meaning assigned to such term in Section 3.03(a).</w:t>
      </w:r>
    </w:p>
    <w:p>
      <w:pPr>
        <w:pStyle w:val="TextBody"/>
        <w:bidi w:val="0"/>
        <w:spacing w:before="240" w:after="283"/>
        <w:jc w:val="both"/>
        <w:rPr/>
      </w:pPr>
      <w:r>
        <w:rPr>
          <w:color w:val="000000"/>
        </w:rPr>
        <w:t>“</w:t>
      </w:r>
      <w:r>
        <w:rPr>
          <w:rFonts w:ascii="Times New Roman" w:hAnsi="Times New Roman"/>
          <w:i/>
          <w:color w:val="000000"/>
          <w:sz w:val="22"/>
        </w:rPr>
        <w:t xml:space="preserve">Incremental Term Assumption Agreement” </w:t>
      </w:r>
      <w:r>
        <w:rPr>
          <w:rFonts w:ascii="Times New Roman" w:hAnsi="Times New Roman"/>
          <w:color w:val="000000"/>
          <w:sz w:val="22"/>
        </w:rPr>
        <w:t>means an Incremental Term Assumption Agreement in form reasonably satisfactory to the Administrative Agent, among the Borrowers, the Administrative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one or more Incremental Term Lenders.</w:t>
      </w:r>
    </w:p>
    <w:p>
      <w:pPr>
        <w:pStyle w:val="TextBody"/>
        <w:bidi w:val="0"/>
        <w:spacing w:before="240" w:after="283"/>
        <w:jc w:val="both"/>
        <w:rPr/>
      </w:pPr>
      <w:r>
        <w:rPr>
          <w:color w:val="000000"/>
        </w:rPr>
        <w:t>“</w:t>
      </w:r>
      <w:r>
        <w:rPr>
          <w:rFonts w:ascii="Times New Roman" w:hAnsi="Times New Roman"/>
          <w:i/>
          <w:color w:val="000000"/>
          <w:sz w:val="22"/>
        </w:rPr>
        <w:t xml:space="preserve">Incremental Term Borrowing” </w:t>
      </w:r>
      <w:r>
        <w:rPr>
          <w:rFonts w:ascii="Times New Roman" w:hAnsi="Times New Roman"/>
          <w:color w:val="000000"/>
          <w:sz w:val="22"/>
        </w:rPr>
        <w:t>means a borrowing consisting of simultaneous Incremental Term Loans of the same Type and, in the case of Term SOFR Loans, having the same Interest Period made by each of the Incremental Term Lenders pursuant to Section 2.18.</w:t>
      </w:r>
    </w:p>
    <w:p>
      <w:pPr>
        <w:pStyle w:val="TextBody"/>
        <w:bidi w:val="0"/>
        <w:spacing w:before="240" w:after="283"/>
        <w:jc w:val="both"/>
        <w:rPr/>
      </w:pPr>
      <w:r>
        <w:rPr>
          <w:color w:val="000000"/>
        </w:rPr>
        <w:t>“</w:t>
      </w:r>
      <w:r>
        <w:rPr>
          <w:rFonts w:ascii="Times New Roman" w:hAnsi="Times New Roman"/>
          <w:i/>
          <w:color w:val="000000"/>
          <w:sz w:val="22"/>
        </w:rPr>
        <w:t xml:space="preserve">Incremental Term Commitment” </w:t>
      </w:r>
      <w:r>
        <w:rPr>
          <w:rFonts w:ascii="Times New Roman" w:hAnsi="Times New Roman"/>
          <w:color w:val="000000"/>
          <w:sz w:val="22"/>
        </w:rPr>
        <w:t>means the commitment of any Lender or Eligible Assignee who is or subsequently becomes a Lender pursuant to an Incremental Term Assumption Agreement to make Incremental Term Loans to a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Incremental Term Facility” </w:t>
      </w:r>
      <w:r>
        <w:rPr>
          <w:rFonts w:ascii="Times New Roman" w:hAnsi="Times New Roman"/>
          <w:color w:val="000000"/>
          <w:sz w:val="22"/>
        </w:rPr>
        <w:t>means, at any time, (a) on or prior to an Incremental Term Loan Date, the aggregate amount of any Incremental Term Commitments at such time and (b) thereafter, the aggregate principal amount of the Incremental Term Loans of all Incremental Term Lenders outstanding at such time.</w:t>
      </w:r>
    </w:p>
    <w:p>
      <w:pPr>
        <w:pStyle w:val="TextBody"/>
        <w:bidi w:val="0"/>
        <w:spacing w:before="240" w:after="283"/>
        <w:jc w:val="both"/>
        <w:rPr/>
      </w:pPr>
      <w:r>
        <w:rPr>
          <w:color w:val="000000"/>
        </w:rPr>
        <w:t>“</w:t>
      </w:r>
      <w:r>
        <w:rPr>
          <w:rFonts w:ascii="Times New Roman" w:hAnsi="Times New Roman"/>
          <w:i/>
          <w:color w:val="000000"/>
          <w:sz w:val="22"/>
        </w:rPr>
        <w:t xml:space="preserve">Incremental Term Lender” </w:t>
      </w:r>
      <w:r>
        <w:rPr>
          <w:rFonts w:ascii="Times New Roman" w:hAnsi="Times New Roman"/>
          <w:color w:val="000000"/>
          <w:sz w:val="22"/>
        </w:rPr>
        <w:t>means a Lender with an Incremental Term Commitment or an outstanding Incremental Term Loan.</w:t>
      </w:r>
    </w:p>
    <w:p>
      <w:pPr>
        <w:pStyle w:val="TextBody"/>
        <w:bidi w:val="0"/>
        <w:spacing w:before="240" w:after="283"/>
        <w:jc w:val="both"/>
        <w:rPr/>
      </w:pPr>
      <w:r>
        <w:rPr>
          <w:color w:val="000000"/>
        </w:rPr>
        <w:t>“</w:t>
      </w:r>
      <w:r>
        <w:rPr>
          <w:rFonts w:ascii="Times New Roman" w:hAnsi="Times New Roman"/>
          <w:i/>
          <w:color w:val="000000"/>
          <w:sz w:val="22"/>
        </w:rPr>
        <w:t xml:space="preserve">Incremental Term Loan Date” </w:t>
      </w:r>
      <w:r>
        <w:rPr>
          <w:rFonts w:ascii="Times New Roman" w:hAnsi="Times New Roman"/>
          <w:color w:val="000000"/>
          <w:sz w:val="22"/>
        </w:rPr>
        <w:t>means, with respect to any Incremental Term Commitment requested by the Domestic Borrower pursuant to Section 2.18, the date on which such Incremental Term Commitment is requested to become effective.</w:t>
      </w:r>
    </w:p>
    <w:p>
      <w:pPr>
        <w:pStyle w:val="TextBody"/>
        <w:bidi w:val="0"/>
        <w:spacing w:before="240" w:after="283"/>
        <w:jc w:val="both"/>
        <w:rPr/>
      </w:pPr>
      <w:r>
        <w:rPr>
          <w:color w:val="000000"/>
        </w:rPr>
        <w:t>“</w:t>
      </w:r>
      <w:r>
        <w:rPr>
          <w:rFonts w:ascii="Times New Roman" w:hAnsi="Times New Roman"/>
          <w:i/>
          <w:color w:val="000000"/>
          <w:sz w:val="22"/>
        </w:rPr>
        <w:t xml:space="preserve">Incremental Term Loans” </w:t>
      </w:r>
      <w:r>
        <w:rPr>
          <w:rFonts w:ascii="Times New Roman" w:hAnsi="Times New Roman"/>
          <w:color w:val="000000"/>
          <w:sz w:val="22"/>
        </w:rPr>
        <w:t>means term loans made by one or more Lenders to the Borrowers pursuant to Section 2.18.</w:t>
      </w:r>
    </w:p>
    <w:p>
      <w:pPr>
        <w:pStyle w:val="TextBody"/>
        <w:bidi w:val="0"/>
        <w:spacing w:before="240" w:after="283"/>
        <w:jc w:val="both"/>
        <w:rPr/>
      </w:pPr>
      <w:r>
        <w:rPr>
          <w:color w:val="000000"/>
        </w:rPr>
        <w:t>“</w:t>
      </w:r>
      <w:r>
        <w:rPr>
          <w:rFonts w:ascii="Times New Roman" w:hAnsi="Times New Roman"/>
          <w:i/>
          <w:color w:val="000000"/>
          <w:sz w:val="22"/>
        </w:rPr>
        <w:t xml:space="preserve">Incremental Term Note” </w:t>
      </w:r>
      <w:r>
        <w:rPr>
          <w:rFonts w:ascii="Times New Roman" w:hAnsi="Times New Roman"/>
          <w:color w:val="000000"/>
          <w:sz w:val="22"/>
        </w:rPr>
        <w:t xml:space="preserve">means a promissory note made by a Borrower in favor of an Incremental Term Lender evidencing Incremental Term Loans made by such Incremental Term Lender, substantially in the form of </w:t>
      </w:r>
      <w:r>
        <w:rPr>
          <w:rFonts w:ascii="Times New Roman" w:hAnsi="Times New Roman"/>
          <w:i/>
          <w:color w:val="000000"/>
          <w:sz w:val="22"/>
        </w:rPr>
        <w:t>Exhibit C-3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Indebtedness” </w:t>
      </w:r>
      <w:r>
        <w:rPr>
          <w:rFonts w:ascii="Times New Roman" w:hAnsi="Times New Roman"/>
          <w:color w:val="000000"/>
          <w:sz w:val="22"/>
        </w:rPr>
        <w:t>means, as to any Person at a particular time, without duplication, all of the following, whether or not included as indebtedness or liabilities in accordance with GAAP: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obligations of such Person for borrowed money and all obligations of such Person evidenced by bonds, debentures, notes, loan agreements or other similar instruments;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maximum amount of all direct or contingent obligations of such Person arising under letters of credit (including standby and commercial), bankers’ acceptances, bank guaranties, surety bonds and similar instruments;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net obligations of such Person under any Swap Contract;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obligations of such Person to pay the deferred purchase price of property or services (other than trade accounts payable in the ordinary course of business and, in each case, not past due for more than 90 days after the date on which such trade account payable was created);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(excluding prepaid interest thereon) secured by a Lien on property owned or being purchased by such Person (including indebtedness arising under conditional sales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or other title retention agreements), whether or not such indebtedness shall have been assumed by such Person or is limited in recourse; </w:t>
      </w:r>
      <w:r>
        <w:rPr>
          <w:rFonts w:ascii="Times New Roman" w:hAnsi="Times New Roman"/>
          <w:i/>
          <w:color w:val="000000"/>
          <w:sz w:val="22"/>
        </w:rPr>
        <w:t xml:space="preserve">provided </w:t>
      </w:r>
      <w:r>
        <w:rPr>
          <w:rFonts w:ascii="Times New Roman" w:hAnsi="Times New Roman"/>
          <w:color w:val="000000"/>
          <w:sz w:val="22"/>
        </w:rPr>
        <w:t>that if such Person has not assumed or otherwise become liable for such indebtedness, the amount of such indebtedness deemed to be Indebtedness of such Person shall not exceed the fair market value of the property subject to such Lien at the time of determination;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Capitalized Leases and Synthetic Lease Obligations</w:t>
      </w:r>
      <w:r>
        <w:rPr>
          <w:color w:val="0000FF"/>
          <w:u w:val="single"/>
        </w:rPr>
        <w:t xml:space="preserve"> </w:t>
      </w:r>
      <w:r>
        <w:rPr>
          <w:rFonts w:ascii="Times New Roman" w:hAnsi="Times New Roman"/>
          <w:color w:val="0000FF"/>
          <w:sz w:val="22"/>
          <w:u w:val="single"/>
        </w:rPr>
        <w:t>of such Person and all</w:t>
      </w:r>
      <w:r>
        <w:rPr>
          <w:color w:val="0000FF"/>
        </w:rPr>
        <w:t xml:space="preserve"> </w:t>
      </w:r>
      <w:r>
        <w:rPr>
          <w:rFonts w:ascii="Times New Roman" w:hAnsi="Times New Roman"/>
          <w:color w:val="0000FF"/>
          <w:sz w:val="22"/>
          <w:u w:val="single"/>
        </w:rPr>
        <w:t>Synthetic Debt</w:t>
      </w:r>
      <w:r>
        <w:rPr>
          <w:color w:val="0000FF"/>
        </w:rPr>
        <w:t xml:space="preserve"> </w:t>
      </w:r>
      <w:r>
        <w:rPr>
          <w:rFonts w:ascii="Times New Roman" w:hAnsi="Times New Roman"/>
          <w:color w:val="000000"/>
          <w:sz w:val="22"/>
        </w:rPr>
        <w:t>of such Person;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hAnsi="Times New Roman"/>
          <w:i/>
          <w:color w:val="000000"/>
          <w:sz w:val="22"/>
        </w:rPr>
        <w:t xml:space="preserve">plus </w:t>
      </w:r>
      <w:r>
        <w:rPr>
          <w:rFonts w:ascii="Times New Roman" w:hAnsi="Times New Roman"/>
          <w:color w:val="000000"/>
          <w:sz w:val="22"/>
        </w:rPr>
        <w:t>accrued and unpaid dividends;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obligations under any so-called “asset securitization” transaction (including, without limitation, any Securitization Transaction) or any factoring or accounts receivables financing facilities entered into by such Person;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Guarantees of such Person in respect of any of the foregoing.</w:t>
      </w:r>
    </w:p>
    <w:p>
      <w:pPr>
        <w:pStyle w:val="TextBody"/>
        <w:bidi w:val="0"/>
        <w:spacing w:before="240" w:after="283"/>
        <w:jc w:val="both"/>
        <w:rPr>
          <w:rFonts w:ascii="Times New Roman" w:hAnsi="Times New Roman"/>
          <w:sz w:val="20"/>
        </w:rPr>
      </w:pPr>
      <w:r>
        <w:rPr>
          <w:rFonts w:ascii="Times New Roman" w:hAnsi="Times New Roman"/>
          <w:color w:val="000000"/>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r>
        <w:rPr>
          <w:rFonts w:ascii="Times New Roman" w:hAnsi="Times New Roman"/>
          <w:color w:val="0000FF"/>
          <w:sz w:val="20"/>
          <w:u w:val="single"/>
        </w:rPr>
        <w:t xml:space="preserve"> </w:t>
      </w:r>
      <w:r>
        <w:rPr>
          <w:rFonts w:ascii="Times New Roman" w:hAnsi="Times New Roman"/>
          <w:color w:val="0000FF"/>
          <w:sz w:val="22"/>
          <w:u w:val="single"/>
        </w:rPr>
        <w:t>Notwithstanding the foregoing, the obligations</w:t>
      </w:r>
      <w:r>
        <w:rPr>
          <w:rFonts w:ascii="Times New Roman" w:hAnsi="Times New Roman"/>
          <w:color w:val="0000FF"/>
          <w:sz w:val="20"/>
        </w:rPr>
        <w:t xml:space="preserve"> </w:t>
      </w:r>
      <w:r>
        <w:rPr>
          <w:rFonts w:ascii="Times New Roman" w:hAnsi="Times New Roman"/>
          <w:color w:val="0000FF"/>
          <w:sz w:val="22"/>
          <w:u w:val="single"/>
        </w:rPr>
        <w:t>of the Domestic Borrower under any Permitted Warrant Transaction shall not constitute Indebtedness so</w:t>
      </w:r>
      <w:r>
        <w:rPr>
          <w:rFonts w:ascii="Times New Roman" w:hAnsi="Times New Roman"/>
          <w:color w:val="0000FF"/>
          <w:sz w:val="20"/>
        </w:rPr>
        <w:t xml:space="preserve"> </w:t>
      </w:r>
      <w:r>
        <w:rPr>
          <w:rFonts w:ascii="Times New Roman" w:hAnsi="Times New Roman"/>
          <w:color w:val="0000FF"/>
          <w:sz w:val="22"/>
          <w:u w:val="single"/>
        </w:rPr>
        <w:t>long as the terms of such Permitted Warrant Transaction provide for “net share settlement” (or substantially</w:t>
      </w:r>
      <w:r>
        <w:rPr>
          <w:rFonts w:ascii="Times New Roman" w:hAnsi="Times New Roman"/>
          <w:color w:val="0000FF"/>
          <w:sz w:val="20"/>
        </w:rPr>
        <w:t xml:space="preserve"> </w:t>
      </w:r>
      <w:r>
        <w:rPr>
          <w:rFonts w:ascii="Times New Roman" w:hAnsi="Times New Roman"/>
          <w:color w:val="0000FF"/>
          <w:sz w:val="22"/>
          <w:u w:val="single"/>
        </w:rPr>
        <w:t>equivalent term) as the default “settlement method” (or substantially equivalent term) thereunder, except to</w:t>
      </w:r>
      <w:r>
        <w:rPr>
          <w:rFonts w:ascii="Times New Roman" w:hAnsi="Times New Roman"/>
          <w:color w:val="0000FF"/>
          <w:sz w:val="20"/>
        </w:rPr>
        <w:t xml:space="preserve"> </w:t>
      </w:r>
      <w:r>
        <w:rPr>
          <w:rFonts w:ascii="Times New Roman" w:hAnsi="Times New Roman"/>
          <w:color w:val="0000FF"/>
          <w:sz w:val="22"/>
          <w:u w:val="single"/>
        </w:rPr>
        <w:t>the extent it is accounted for as a liability under GAAP</w:t>
      </w:r>
    </w:p>
    <w:p>
      <w:pPr>
        <w:pStyle w:val="TextBody"/>
        <w:bidi w:val="0"/>
        <w:spacing w:before="240" w:after="283"/>
        <w:jc w:val="both"/>
        <w:rPr/>
      </w:pPr>
      <w:r>
        <w:rPr>
          <w:color w:val="000000"/>
        </w:rPr>
        <w:t>“</w:t>
      </w:r>
      <w:r>
        <w:rPr>
          <w:rFonts w:ascii="Times New Roman" w:hAnsi="Times New Roman"/>
          <w:i/>
          <w:color w:val="000000"/>
          <w:sz w:val="22"/>
        </w:rPr>
        <w:t xml:space="preserve">Indemnified Taxes” </w:t>
      </w:r>
      <w:r>
        <w:rPr>
          <w:rFonts w:ascii="Times New Roman" w:hAnsi="Times New Roman"/>
          <w:color w:val="000000"/>
          <w:sz w:val="22"/>
        </w:rPr>
        <w:t>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240" w:after="283"/>
        <w:jc w:val="both"/>
        <w:rPr/>
      </w:pPr>
      <w:r>
        <w:rPr>
          <w:color w:val="000000"/>
        </w:rPr>
        <w:t>“</w:t>
      </w:r>
      <w:r>
        <w:rPr>
          <w:rFonts w:ascii="Times New Roman" w:hAnsi="Times New Roman"/>
          <w:i/>
          <w:color w:val="000000"/>
          <w:sz w:val="22"/>
        </w:rPr>
        <w:t xml:space="preserve">Indemnitees” </w:t>
      </w:r>
      <w:r>
        <w:rPr>
          <w:rFonts w:ascii="Times New Roman" w:hAnsi="Times New Roman"/>
          <w:color w:val="000000"/>
          <w:sz w:val="22"/>
        </w:rPr>
        <w:t>has the meaning specified in Section 11.04(b).</w:t>
      </w:r>
    </w:p>
    <w:p>
      <w:pPr>
        <w:pStyle w:val="TextBody"/>
        <w:bidi w:val="0"/>
        <w:spacing w:before="240" w:after="283"/>
        <w:jc w:val="both"/>
        <w:rPr/>
      </w:pPr>
      <w:r>
        <w:rPr>
          <w:color w:val="000000"/>
        </w:rPr>
        <w:t>“</w:t>
      </w:r>
      <w:r>
        <w:rPr>
          <w:rFonts w:ascii="Times New Roman" w:hAnsi="Times New Roman"/>
          <w:i/>
          <w:color w:val="000000"/>
          <w:sz w:val="22"/>
        </w:rPr>
        <w:t xml:space="preserve">Information” </w:t>
      </w:r>
      <w:r>
        <w:rPr>
          <w:rFonts w:ascii="Times New Roman" w:hAnsi="Times New Roman"/>
          <w:color w:val="000000"/>
          <w:sz w:val="22"/>
        </w:rPr>
        <w:t>has the meaning specified in Section 11.07.</w:t>
      </w:r>
    </w:p>
    <w:p>
      <w:pPr>
        <w:pStyle w:val="TextBody"/>
        <w:bidi w:val="0"/>
        <w:spacing w:before="240" w:after="283"/>
        <w:jc w:val="both"/>
        <w:rPr/>
      </w:pPr>
      <w:r>
        <w:rPr>
          <w:color w:val="0000FF"/>
          <w:u w:val="single"/>
        </w:rPr>
        <w:t>“</w:t>
      </w:r>
      <w:r>
        <w:rPr>
          <w:rFonts w:ascii="Times New Roman" w:hAnsi="Times New Roman"/>
          <w:i/>
          <w:color w:val="0000FF"/>
          <w:sz w:val="22"/>
          <w:u w:val="single"/>
        </w:rPr>
        <w:t>Intellectual Property</w:t>
      </w:r>
      <w:r>
        <w:rPr>
          <w:rFonts w:ascii="Times New Roman" w:hAnsi="Times New Roman"/>
          <w:color w:val="0000FF"/>
          <w:sz w:val="20"/>
          <w:u w:val="single"/>
        </w:rPr>
        <w:t xml:space="preserve">” </w:t>
      </w:r>
      <w:r>
        <w:rPr>
          <w:rFonts w:ascii="Times New Roman" w:hAnsi="Times New Roman"/>
          <w:color w:val="0000FF"/>
          <w:sz w:val="22"/>
          <w:u w:val="single"/>
        </w:rPr>
        <w:t>means, collectively, all rights in intellectual property, whether arising</w:t>
      </w:r>
      <w:r>
        <w:rPr>
          <w:rFonts w:ascii="Times New Roman" w:hAnsi="Times New Roman"/>
          <w:color w:val="0000FF"/>
          <w:sz w:val="20"/>
        </w:rPr>
        <w:t xml:space="preserve"> </w:t>
      </w:r>
      <w:r>
        <w:rPr>
          <w:rFonts w:ascii="Times New Roman" w:hAnsi="Times New Roman"/>
          <w:color w:val="0000FF"/>
          <w:sz w:val="22"/>
          <w:u w:val="single"/>
        </w:rPr>
        <w:t>under United States, state, multinational or foreign laws or otherwise, including but not limited to such</w:t>
      </w:r>
      <w:r>
        <w:rPr>
          <w:rFonts w:ascii="Times New Roman" w:hAnsi="Times New Roman"/>
          <w:color w:val="0000FF"/>
          <w:sz w:val="20"/>
        </w:rPr>
        <w:t xml:space="preserve"> </w:t>
      </w:r>
      <w:r>
        <w:rPr>
          <w:rFonts w:ascii="Times New Roman" w:hAnsi="Times New Roman"/>
          <w:color w:val="0000FF"/>
          <w:sz w:val="22"/>
          <w:u w:val="single"/>
        </w:rPr>
        <w:t>rights in (i) copyrights, copyright licenses, patents, patent licenses, industrial designs, trademarks,</w:t>
      </w:r>
      <w:r>
        <w:rPr>
          <w:rFonts w:ascii="Times New Roman" w:hAnsi="Times New Roman"/>
          <w:color w:val="0000FF"/>
          <w:sz w:val="20"/>
        </w:rPr>
        <w:t xml:space="preserve"> </w:t>
      </w:r>
      <w:r>
        <w:rPr>
          <w:rFonts w:ascii="Times New Roman" w:hAnsi="Times New Roman"/>
          <w:color w:val="0000FF"/>
          <w:sz w:val="22"/>
          <w:u w:val="single"/>
        </w:rPr>
        <w:t>trademark licenses, service marks, technology, know-how and processes, recipes, formulas, and trade</w:t>
      </w:r>
      <w:r>
        <w:rPr>
          <w:rFonts w:ascii="Times New Roman" w:hAnsi="Times New Roman"/>
          <w:color w:val="0000FF"/>
          <w:sz w:val="20"/>
        </w:rPr>
        <w:t xml:space="preserve"> </w:t>
      </w:r>
      <w:r>
        <w:rPr>
          <w:rFonts w:ascii="Times New Roman" w:hAnsi="Times New Roman"/>
          <w:color w:val="0000FF"/>
          <w:sz w:val="22"/>
          <w:u w:val="single"/>
        </w:rPr>
        <w:t>secrets, (ii) registrations and applications for any of the foregoing, (iii) income, fees, royalties, damages,</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and payments now and hereafter due and/or payable with respect to any of the foregoing, and (iv) all rights</w:t>
      </w:r>
      <w:r>
        <w:rPr>
          <w:rFonts w:ascii="Times New Roman" w:hAnsi="Times New Roman"/>
          <w:color w:val="0000FF"/>
          <w:sz w:val="20"/>
        </w:rPr>
        <w:t xml:space="preserve"> </w:t>
      </w:r>
      <w:r>
        <w:rPr>
          <w:rFonts w:ascii="Times New Roman" w:hAnsi="Times New Roman"/>
          <w:color w:val="0000FF"/>
          <w:sz w:val="22"/>
          <w:u w:val="single"/>
        </w:rPr>
        <w:t>to sue at law or in equity for any infringement, misappropriation or other violation or impairment thereof,</w:t>
      </w:r>
      <w:r>
        <w:rPr>
          <w:rFonts w:ascii="Times New Roman" w:hAnsi="Times New Roman"/>
          <w:color w:val="0000FF"/>
          <w:sz w:val="20"/>
        </w:rPr>
        <w:t xml:space="preserve"> </w:t>
      </w:r>
      <w:r>
        <w:rPr>
          <w:rFonts w:ascii="Times New Roman" w:hAnsi="Times New Roman"/>
          <w:color w:val="0000FF"/>
          <w:sz w:val="22"/>
          <w:u w:val="single"/>
        </w:rPr>
        <w:t>including the right to receive all proceeds and damages therefrom.</w:t>
      </w:r>
    </w:p>
    <w:p>
      <w:pPr>
        <w:pStyle w:val="TextBody"/>
        <w:bidi w:val="0"/>
        <w:spacing w:before="240" w:after="283"/>
        <w:jc w:val="both"/>
        <w:rPr/>
      </w:pPr>
      <w:r>
        <w:rPr>
          <w:color w:val="000000"/>
        </w:rPr>
        <w:t>“</w:t>
      </w:r>
      <w:r>
        <w:rPr>
          <w:rFonts w:ascii="Times New Roman" w:hAnsi="Times New Roman"/>
          <w:i/>
          <w:color w:val="000000"/>
          <w:sz w:val="22"/>
        </w:rPr>
        <w:t>Intercompany Debt</w:t>
      </w:r>
      <w:r>
        <w:rPr>
          <w:rFonts w:ascii="Times New Roman" w:hAnsi="Times New Roman"/>
          <w:color w:val="000000"/>
          <w:sz w:val="20"/>
        </w:rPr>
        <w:t xml:space="preserve">” </w:t>
      </w:r>
      <w:r>
        <w:rPr>
          <w:rFonts w:ascii="Times New Roman" w:hAnsi="Times New Roman"/>
          <w:color w:val="000000"/>
          <w:sz w:val="22"/>
        </w:rPr>
        <w:t>has the meaning specified in Section 7.02(i).</w:t>
      </w:r>
    </w:p>
    <w:p>
      <w:pPr>
        <w:pStyle w:val="TextBody"/>
        <w:bidi w:val="0"/>
        <w:spacing w:before="240" w:after="283"/>
        <w:jc w:val="both"/>
        <w:rPr/>
      </w:pPr>
      <w:r>
        <w:rPr>
          <w:color w:val="000000"/>
        </w:rPr>
        <w:t>“</w:t>
      </w:r>
      <w:r>
        <w:rPr>
          <w:rFonts w:ascii="Times New Roman" w:hAnsi="Times New Roman"/>
          <w:i/>
          <w:color w:val="000000"/>
          <w:sz w:val="22"/>
        </w:rPr>
        <w:t xml:space="preserve">Interest Payment Date” </w:t>
      </w:r>
      <w:r>
        <w:rPr>
          <w:rFonts w:ascii="Times New Roman" w:hAnsi="Times New Roman"/>
          <w:color w:val="000000"/>
          <w:sz w:val="22"/>
        </w:rPr>
        <w:t xml:space="preserve">means, (a) as to any Loan other than a Base Rate Loan or an Alternative Currency Daily Rate Loan, the last day of each Interest Period applicable to such Loan and the Maturity Date of the Facility under which such Loan was made; </w:t>
      </w:r>
      <w:r>
        <w:rPr>
          <w:rFonts w:ascii="Times New Roman" w:hAnsi="Times New Roman"/>
          <w:i/>
          <w:color w:val="000000"/>
          <w:sz w:val="22"/>
        </w:rPr>
        <w:t xml:space="preserve">provided </w:t>
      </w:r>
      <w:r>
        <w:rPr>
          <w:rFonts w:ascii="Times New Roman" w:hAnsi="Times New Roman"/>
          <w:color w:val="000000"/>
          <w:sz w:val="22"/>
        </w:rPr>
        <w:t>that if any Interest Period for any such Loan exceeds three months, the respective dates that fall every three months after the beginning of such Interest Period shall also be Interest Payment Dates; and (b) as to any Base Rate Loan (including a Swingline Loan) or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Alternative Currency Daily Rate Loan, the last Business Day of each March, June, September and December and the Maturity Date of the Facility under which such Loan was made (with Swingline Loans being deemed made under the Revolving Credit Facility for purposes of this definition).</w:t>
      </w:r>
    </w:p>
    <w:p>
      <w:pPr>
        <w:pStyle w:val="TextBody"/>
        <w:bidi w:val="0"/>
        <w:spacing w:before="240" w:after="283"/>
        <w:jc w:val="both"/>
        <w:rPr/>
      </w:pPr>
      <w:r>
        <w:rPr>
          <w:color w:val="000000"/>
        </w:rPr>
        <w:t>“</w:t>
      </w:r>
      <w:r>
        <w:rPr>
          <w:rFonts w:ascii="Times New Roman" w:hAnsi="Times New Roman"/>
          <w:i/>
          <w:color w:val="000000"/>
          <w:sz w:val="22"/>
        </w:rPr>
        <w:t xml:space="preserve">Interest Period” </w:t>
      </w:r>
      <w:r>
        <w:rPr>
          <w:rFonts w:ascii="Times New Roman" w:hAnsi="Times New Roman"/>
          <w:color w:val="000000"/>
          <w:sz w:val="22"/>
        </w:rPr>
        <w:t xml:space="preserve">means as to each Term SOFR Loan and Alternative Currency Term Rate Loan, the period commencing on the date such Loan is disbursed or converted to or continued as a Term SOFR Loan or Alternative Currency Term Rate Loan, and ending on the date one, three or six months thereafter (in each case, subject to availability for the interest rate applicable to the relevant currency), as selected by the Domestic Borrower in its Committed Loan Notice;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Interest Period shall extend beyond the Maturity Date of the Facility under which such Loan was made.</w:t>
      </w:r>
    </w:p>
    <w:p>
      <w:pPr>
        <w:pStyle w:val="TextBody"/>
        <w:bidi w:val="0"/>
        <w:spacing w:before="240" w:after="283"/>
        <w:jc w:val="both"/>
        <w:rPr/>
      </w:pPr>
      <w:r>
        <w:rPr>
          <w:color w:val="000000"/>
        </w:rPr>
        <w:t>“</w:t>
      </w:r>
      <w:r>
        <w:rPr>
          <w:rFonts w:ascii="Times New Roman" w:hAnsi="Times New Roman"/>
          <w:i/>
          <w:color w:val="000000"/>
          <w:sz w:val="22"/>
        </w:rPr>
        <w:t xml:space="preserve">Investment” </w:t>
      </w:r>
      <w:r>
        <w:rPr>
          <w:rFonts w:ascii="Times New Roman" w:hAnsi="Times New Roman"/>
          <w:color w:val="000000"/>
          <w:sz w:val="22"/>
        </w:rPr>
        <w:t>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before="240" w:after="283"/>
        <w:jc w:val="both"/>
        <w:rPr/>
      </w:pPr>
      <w:r>
        <w:rPr>
          <w:color w:val="000000"/>
        </w:rPr>
        <w:t>“</w:t>
      </w:r>
      <w:r>
        <w:rPr>
          <w:rFonts w:ascii="Times New Roman" w:hAnsi="Times New Roman"/>
          <w:i/>
          <w:color w:val="000000"/>
          <w:sz w:val="22"/>
        </w:rPr>
        <w:t xml:space="preserve">Involuntary Disposition” </w:t>
      </w:r>
      <w:r>
        <w:rPr>
          <w:rFonts w:ascii="Times New Roman" w:hAnsi="Times New Roman"/>
          <w:color w:val="000000"/>
          <w:sz w:val="22"/>
        </w:rPr>
        <w:t>means any loss of, damage to or destruction of, or any condemnation or other taking for public use of, any property of any Loan Party or any Subsidiary.</w:t>
      </w:r>
    </w:p>
    <w:p>
      <w:pPr>
        <w:pStyle w:val="TextBody"/>
        <w:bidi w:val="0"/>
        <w:spacing w:before="240" w:after="283"/>
        <w:jc w:val="both"/>
        <w:rPr/>
      </w:pPr>
      <w:r>
        <w:rPr>
          <w:color w:val="000000"/>
        </w:rPr>
        <w:t>“</w:t>
      </w:r>
      <w:r>
        <w:rPr>
          <w:rFonts w:ascii="Times New Roman" w:hAnsi="Times New Roman"/>
          <w:i/>
          <w:color w:val="000000"/>
          <w:sz w:val="22"/>
        </w:rPr>
        <w:t xml:space="preserve">IP Rights” </w:t>
      </w:r>
      <w:r>
        <w:rPr>
          <w:rFonts w:ascii="Times New Roman" w:hAnsi="Times New Roman"/>
          <w:color w:val="000000"/>
          <w:sz w:val="22"/>
        </w:rPr>
        <w:t>has the meaning specified in Section 5.17.</w:t>
      </w:r>
    </w:p>
    <w:p>
      <w:pPr>
        <w:pStyle w:val="TextBody"/>
        <w:bidi w:val="0"/>
        <w:spacing w:before="240" w:after="283"/>
        <w:jc w:val="both"/>
        <w:rPr/>
      </w:pPr>
      <w:r>
        <w:rPr>
          <w:color w:val="000000"/>
        </w:rPr>
        <w:t>“</w:t>
      </w:r>
      <w:r>
        <w:rPr>
          <w:rFonts w:ascii="Times New Roman" w:hAnsi="Times New Roman"/>
          <w:i/>
          <w:color w:val="000000"/>
          <w:sz w:val="22"/>
        </w:rPr>
        <w:t xml:space="preserve">IRS” </w:t>
      </w:r>
      <w:r>
        <w:rPr>
          <w:rFonts w:ascii="Times New Roman" w:hAnsi="Times New Roman"/>
          <w:color w:val="000000"/>
          <w:sz w:val="22"/>
        </w:rPr>
        <w:t>means the United States Internal Revenue Service.</w:t>
      </w:r>
    </w:p>
    <w:p>
      <w:pPr>
        <w:pStyle w:val="TextBody"/>
        <w:bidi w:val="0"/>
        <w:spacing w:before="240" w:after="283"/>
        <w:jc w:val="both"/>
        <w:rPr/>
      </w:pPr>
      <w:r>
        <w:rPr>
          <w:color w:val="000000"/>
        </w:rPr>
        <w:t>“</w:t>
      </w:r>
      <w:r>
        <w:rPr>
          <w:rFonts w:ascii="Times New Roman" w:hAnsi="Times New Roman"/>
          <w:i/>
          <w:color w:val="000000"/>
          <w:sz w:val="22"/>
        </w:rPr>
        <w:t>ISDA Definitions</w:t>
      </w:r>
      <w:r>
        <w:rPr>
          <w:rFonts w:ascii="Times New Roman" w:hAnsi="Times New Roman"/>
          <w:color w:val="000000"/>
          <w:sz w:val="20"/>
        </w:rPr>
        <w:t xml:space="preserve">” </w:t>
      </w:r>
      <w:r>
        <w:rPr>
          <w:rFonts w:ascii="Times New Roman" w:hAnsi="Times New Roman"/>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240" w:after="283"/>
        <w:jc w:val="both"/>
        <w:rPr/>
      </w:pPr>
      <w:r>
        <w:rPr>
          <w:color w:val="000000"/>
        </w:rPr>
        <w:t>“</w:t>
      </w:r>
      <w:r>
        <w:rPr>
          <w:rFonts w:ascii="Times New Roman" w:hAnsi="Times New Roman"/>
          <w:i/>
          <w:color w:val="000000"/>
          <w:sz w:val="22"/>
        </w:rPr>
        <w:t xml:space="preserve">ISP” </w:t>
      </w:r>
      <w:r>
        <w:rPr>
          <w:rFonts w:ascii="Times New Roman" w:hAnsi="Times New Roman"/>
          <w:color w:val="000000"/>
          <w:sz w:val="22"/>
        </w:rPr>
        <w:t>means the International Standby Practices, International Chamber of Commerce Publication No. 590 (or such later version thereof as may be in effect at the applicable time).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Issuer Documents” </w:t>
      </w:r>
      <w:r>
        <w:rPr>
          <w:rFonts w:ascii="Times New Roman" w:hAnsi="Times New Roman"/>
          <w:color w:val="000000"/>
          <w:sz w:val="22"/>
        </w:rPr>
        <w:t>means with respect to any Letter of Credit, the Letter of Credit Application, and any other document, agreement and instrument entered into by any L/C Issuer and the Domestic Borrower (or any Subsidiary) or in favor of such L/C Issuer and relating to such Letter of Credit.</w:t>
      </w:r>
    </w:p>
    <w:p>
      <w:pPr>
        <w:pStyle w:val="TextBody"/>
        <w:bidi w:val="0"/>
        <w:spacing w:before="240" w:after="283"/>
        <w:jc w:val="both"/>
        <w:rPr/>
      </w:pPr>
      <w:r>
        <w:rPr>
          <w:color w:val="000000"/>
        </w:rPr>
        <w:t>“</w:t>
      </w:r>
      <w:r>
        <w:rPr>
          <w:rFonts w:ascii="Times New Roman" w:hAnsi="Times New Roman"/>
          <w:i/>
          <w:color w:val="000000"/>
          <w:sz w:val="22"/>
        </w:rPr>
        <w:t xml:space="preserve">Judgment Currency” </w:t>
      </w:r>
      <w:r>
        <w:rPr>
          <w:rFonts w:ascii="Times New Roman" w:hAnsi="Times New Roman"/>
          <w:color w:val="000000"/>
          <w:sz w:val="22"/>
        </w:rPr>
        <w:t>has the meaning specified in Section 11.21.</w:t>
      </w:r>
    </w:p>
    <w:p>
      <w:pPr>
        <w:pStyle w:val="TextBody"/>
        <w:bidi w:val="0"/>
        <w:spacing w:before="240" w:after="283"/>
        <w:jc w:val="both"/>
        <w:rPr/>
      </w:pPr>
      <w:r>
        <w:rPr>
          <w:color w:val="000000"/>
        </w:rPr>
        <w:t>“</w:t>
      </w:r>
      <w:r>
        <w:rPr>
          <w:rFonts w:ascii="Times New Roman" w:hAnsi="Times New Roman"/>
          <w:i/>
          <w:color w:val="000000"/>
          <w:sz w:val="22"/>
        </w:rPr>
        <w:t xml:space="preserve">Laws” </w:t>
      </w:r>
      <w:r>
        <w:rPr>
          <w:rFonts w:ascii="Times New Roman" w:hAnsi="Times New Roman"/>
          <w:color w:val="000000"/>
          <w:sz w:val="22"/>
        </w:rPr>
        <w:t xml:space="preserve">means, collectively, all international, foreign, </w:t>
      </w:r>
      <w:r>
        <w:rPr>
          <w:rFonts w:ascii="Times New Roman" w:hAnsi="Times New Roman"/>
          <w:strike/>
          <w:color w:val="FF0000"/>
          <w:sz w:val="22"/>
        </w:rPr>
        <w:t>Federal</w:t>
      </w:r>
      <w:r>
        <w:rPr>
          <w:rFonts w:ascii="Times New Roman" w:hAnsi="Times New Roman"/>
          <w:color w:val="0000FF"/>
          <w:sz w:val="22"/>
          <w:u w:val="single"/>
        </w:rPr>
        <w:t>federal</w:t>
      </w:r>
      <w:r>
        <w:rPr>
          <w:rFonts w:ascii="Times New Roman" w:hAnsi="Times New Roman"/>
          <w:color w:val="000000"/>
          <w:sz w:val="22"/>
        </w:rPr>
        <w:t>,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240" w:after="283"/>
        <w:jc w:val="both"/>
        <w:rPr/>
      </w:pPr>
      <w:r>
        <w:rPr>
          <w:color w:val="000000"/>
        </w:rPr>
        <w:t>“</w:t>
      </w:r>
      <w:r>
        <w:rPr>
          <w:rFonts w:ascii="Times New Roman" w:hAnsi="Times New Roman"/>
          <w:i/>
          <w:color w:val="000000"/>
          <w:sz w:val="22"/>
        </w:rPr>
        <w:t xml:space="preserve">L/C Advance” </w:t>
      </w:r>
      <w:r>
        <w:rPr>
          <w:rFonts w:ascii="Times New Roman" w:hAnsi="Times New Roman"/>
          <w:color w:val="000000"/>
          <w:sz w:val="22"/>
        </w:rPr>
        <w:t>means, with respect to each Revolving Credit Lender, such Lender’s funding of its participation in any L/C Borrowing in accordance with its Applicable Revolving Credit Percentage.</w:t>
      </w:r>
    </w:p>
    <w:p>
      <w:pPr>
        <w:pStyle w:val="TextBody"/>
        <w:bidi w:val="0"/>
        <w:spacing w:before="240" w:after="283"/>
        <w:jc w:val="both"/>
        <w:rPr/>
      </w:pPr>
      <w:r>
        <w:rPr>
          <w:color w:val="000000"/>
        </w:rPr>
        <w:t>“</w:t>
      </w:r>
      <w:r>
        <w:rPr>
          <w:rFonts w:ascii="Times New Roman" w:hAnsi="Times New Roman"/>
          <w:i/>
          <w:color w:val="000000"/>
          <w:sz w:val="22"/>
        </w:rPr>
        <w:t xml:space="preserve">L/C Borrowing” </w:t>
      </w:r>
      <w:r>
        <w:rPr>
          <w:rFonts w:ascii="Times New Roman" w:hAnsi="Times New Roman"/>
          <w:color w:val="000000"/>
          <w:sz w:val="22"/>
        </w:rPr>
        <w:t>means an extension of credit resulting from a drawing under any Letter of Credit which has not been reimbursed on the date when made or refinanced as a Revolving Credit Borrowing.</w:t>
      </w:r>
    </w:p>
    <w:p>
      <w:pPr>
        <w:pStyle w:val="TextBody"/>
        <w:bidi w:val="0"/>
        <w:spacing w:before="240" w:after="283"/>
        <w:jc w:val="both"/>
        <w:rPr/>
      </w:pPr>
      <w:r>
        <w:rPr>
          <w:color w:val="000000"/>
        </w:rPr>
        <w:t>“</w:t>
      </w:r>
      <w:r>
        <w:rPr>
          <w:rFonts w:ascii="Times New Roman" w:hAnsi="Times New Roman"/>
          <w:i/>
          <w:color w:val="000000"/>
          <w:sz w:val="22"/>
        </w:rPr>
        <w:t>L/C Commitment</w:t>
      </w:r>
      <w:r>
        <w:rPr>
          <w:rFonts w:ascii="Times New Roman" w:hAnsi="Times New Roman"/>
          <w:color w:val="000000"/>
          <w:sz w:val="20"/>
        </w:rPr>
        <w:t xml:space="preserve">” </w:t>
      </w:r>
      <w:r>
        <w:rPr>
          <w:rFonts w:ascii="Times New Roman" w:hAnsi="Times New Roman"/>
          <w:color w:val="000000"/>
          <w:sz w:val="22"/>
        </w:rPr>
        <w:t>means, with respect to each L/C Issuer, the commitment of such L/C Issuer to issue Letters of Credit hereunder. The initial amount of each L/C Issuer’s Letter of Credit Commitment is set forth on Schedule 2.03, or if an L/C Issuer has entered into an Assignment and Assumption or has otherwise assumed a Letter of Credit Commitment after the Closing Date, the amount set forth for such L/C Issuer as its Letter of Credit Commitment in the Register maintained by the Administrative Agent. The Letter of Credit Commitment of an L/C Issuer may be modified from time to time by agreement between such L/C Issuer and the Borrowers, and notified to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L/C Credit Extension” </w:t>
      </w:r>
      <w:r>
        <w:rPr>
          <w:rFonts w:ascii="Times New Roman" w:hAnsi="Times New Roman"/>
          <w:color w:val="000000"/>
          <w:sz w:val="22"/>
        </w:rPr>
        <w:t>means, with respect to any Letter of Credit, the issuance thereof or extension of the expiry date thereof, or the increase of the amount thereof.</w:t>
      </w:r>
    </w:p>
    <w:p>
      <w:pPr>
        <w:pStyle w:val="TextBody"/>
        <w:bidi w:val="0"/>
        <w:spacing w:before="240" w:after="283"/>
        <w:jc w:val="both"/>
        <w:rPr/>
      </w:pPr>
      <w:r>
        <w:rPr>
          <w:color w:val="000000"/>
        </w:rPr>
        <w:t>“</w:t>
      </w:r>
      <w:r>
        <w:rPr>
          <w:rFonts w:ascii="Times New Roman" w:hAnsi="Times New Roman"/>
          <w:i/>
          <w:color w:val="000000"/>
          <w:sz w:val="22"/>
        </w:rPr>
        <w:t>L/C Issuer</w:t>
      </w:r>
      <w:r>
        <w:rPr>
          <w:rFonts w:ascii="Times New Roman" w:hAnsi="Times New Roman"/>
          <w:color w:val="000000"/>
          <w:sz w:val="20"/>
        </w:rPr>
        <w:t xml:space="preserve">” </w:t>
      </w:r>
      <w:r>
        <w:rPr>
          <w:rFonts w:ascii="Times New Roman" w:hAnsi="Times New Roman"/>
          <w:color w:val="000000"/>
          <w:sz w:val="22"/>
        </w:rPr>
        <w:t>means with respect to a particular Letter of Credit, (a) Bank of America, through itself or through one of its designated Affiliates or branch offices, in its capacity as issuer of such Letter of Credit issued in Dollars or, acting as Alternative Currency L/C Issuer, any Alternative Currency, or any successor issuer thereof, (b) such other Lender selected by the Borrowers pursuant to Section 2.03(m) from time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time to issue such Letter of Credit issued in Dollars (provided that no Lender shall be required to become an L/C Issuer pursuant to this clause (b) without such Lender’s consent), or any successor issuer thereof or (c) any Lender selected by the Borrowers (with the prior consent of the Administrative Agent) to replace a Lender who is a Defaulting Lender at the time of such Lender’s appointment as an L/C Issuer (provided that no Lender shall be required to become an L/C Issuer pursuant to this clause (c) without such Lender’s consent), or any successor issuer thereof.</w:t>
      </w:r>
    </w:p>
    <w:p>
      <w:pPr>
        <w:pStyle w:val="TextBody"/>
        <w:bidi w:val="0"/>
        <w:spacing w:before="240" w:after="283"/>
        <w:jc w:val="both"/>
        <w:rPr/>
      </w:pPr>
      <w:r>
        <w:rPr>
          <w:color w:val="000000"/>
        </w:rPr>
        <w:t>“</w:t>
      </w:r>
      <w:r>
        <w:rPr>
          <w:rFonts w:ascii="Times New Roman" w:hAnsi="Times New Roman"/>
          <w:i/>
          <w:color w:val="000000"/>
          <w:sz w:val="22"/>
        </w:rPr>
        <w:t xml:space="preserve">L/C Obligations” </w:t>
      </w:r>
      <w:r>
        <w:rPr>
          <w:rFonts w:ascii="Times New Roman" w:hAnsi="Times New Roman"/>
          <w:color w:val="000000"/>
          <w:sz w:val="22"/>
        </w:rPr>
        <w:t xml:space="preserve">means, as at any date of determination, the aggregate amount available to be drawn under all outstanding Letters of Credit </w:t>
      </w:r>
      <w:r>
        <w:rPr>
          <w:rFonts w:ascii="Times New Roman" w:hAnsi="Times New Roman"/>
          <w:i/>
          <w:color w:val="000000"/>
          <w:sz w:val="22"/>
        </w:rPr>
        <w:t xml:space="preserve">plus </w:t>
      </w:r>
      <w:r>
        <w:rPr>
          <w:rFonts w:ascii="Times New Roman" w:hAnsi="Times New Roman"/>
          <w:color w:val="000000"/>
          <w:sz w:val="22"/>
        </w:rPr>
        <w:t>the aggregate of all Unreimbursed Amounts, including all L/C Borrowings. For purposes of computing the amount available to be drawn under any Letter of Credit, the amount of such Letter of Credit shall be determined in accordance with Section 1.09. For all purposes of this Agreement, if on any date of determination a Letter of Credit has expired by its terms but any amount may still be drawn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thereunder by reason of the operation of Rule 3.14 of the ISP, such Letter of Credit shall be deemed to be “outstanding” in the amount so remaining available to be drawn.</w:t>
      </w:r>
    </w:p>
    <w:p>
      <w:pPr>
        <w:pStyle w:val="TextBody"/>
        <w:bidi w:val="0"/>
        <w:spacing w:before="240" w:after="283"/>
        <w:jc w:val="both"/>
        <w:rPr/>
      </w:pPr>
      <w:r>
        <w:rPr>
          <w:color w:val="000000"/>
        </w:rPr>
        <w:t>“</w:t>
      </w:r>
      <w:r>
        <w:rPr>
          <w:rFonts w:ascii="Times New Roman" w:hAnsi="Times New Roman"/>
          <w:i/>
          <w:color w:val="000000"/>
          <w:sz w:val="22"/>
        </w:rPr>
        <w:t xml:space="preserve">Lender” </w:t>
      </w:r>
      <w:r>
        <w:rPr>
          <w:rFonts w:ascii="Times New Roman" w:hAnsi="Times New Roman"/>
          <w:color w:val="000000"/>
          <w:sz w:val="22"/>
        </w:rPr>
        <w:t>means each of the Persons identified as a “Lender” on the signature pages hereto, each other Person that becomes a “Lender” in accordance with this Agreement and, their successors and assigns and, unless the context requires otherwise, includes the Swingline Lender and the Incremental Term Lenders.</w:t>
      </w:r>
    </w:p>
    <w:p>
      <w:pPr>
        <w:pStyle w:val="TextBody"/>
        <w:bidi w:val="0"/>
        <w:spacing w:before="240" w:after="283"/>
        <w:jc w:val="both"/>
        <w:rPr/>
      </w:pPr>
      <w:r>
        <w:rPr>
          <w:color w:val="000000"/>
        </w:rPr>
        <w:t>“</w:t>
      </w:r>
      <w:r>
        <w:rPr>
          <w:rFonts w:ascii="Times New Roman" w:hAnsi="Times New Roman"/>
          <w:i/>
          <w:color w:val="000000"/>
          <w:sz w:val="22"/>
        </w:rPr>
        <w:t>Lender Recipient Party</w:t>
      </w:r>
      <w:r>
        <w:rPr>
          <w:rFonts w:ascii="Times New Roman" w:hAnsi="Times New Roman"/>
          <w:color w:val="000000"/>
          <w:sz w:val="20"/>
        </w:rPr>
        <w:t xml:space="preserve">” </w:t>
      </w:r>
      <w:r>
        <w:rPr>
          <w:rFonts w:ascii="Times New Roman" w:hAnsi="Times New Roman"/>
          <w:color w:val="000000"/>
          <w:sz w:val="22"/>
        </w:rPr>
        <w:t>means collectively, the Lenders, the Swingline Lenders and the L/C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Issuers.</w:t>
      </w:r>
    </w:p>
    <w:p>
      <w:pPr>
        <w:pStyle w:val="TextBody"/>
        <w:bidi w:val="0"/>
        <w:spacing w:before="240" w:after="283"/>
        <w:jc w:val="both"/>
        <w:rPr/>
      </w:pPr>
      <w:r>
        <w:rPr>
          <w:color w:val="000000"/>
        </w:rPr>
        <w:t>“</w:t>
      </w:r>
      <w:r>
        <w:rPr>
          <w:rFonts w:ascii="Times New Roman" w:hAnsi="Times New Roman"/>
          <w:i/>
          <w:color w:val="000000"/>
          <w:sz w:val="22"/>
        </w:rPr>
        <w:t xml:space="preserve">Lending Office” </w:t>
      </w:r>
      <w:r>
        <w:rPr>
          <w:rFonts w:ascii="Times New Roman" w:hAnsi="Times New Roman"/>
          <w:color w:val="000000"/>
          <w:sz w:val="22"/>
        </w:rPr>
        <w:t>means, as to the Administrative Agent, any L/C Issuer or any Lender, the office or offices of such Person described as such in such Person’s Administrative Questionnaire, or such other office or offices as such Person may from time to time notify the Domestic Borrower and the Administrative Agent; which office may include any Affiliate of such Person or any domestic or foreign branch of such Person or such Affiliate.</w:t>
      </w:r>
    </w:p>
    <w:p>
      <w:pPr>
        <w:pStyle w:val="TextBody"/>
        <w:bidi w:val="0"/>
        <w:spacing w:before="240" w:after="283"/>
        <w:jc w:val="both"/>
        <w:rPr/>
      </w:pPr>
      <w:r>
        <w:rPr>
          <w:color w:val="000000"/>
        </w:rPr>
        <w:t>“</w:t>
      </w:r>
      <w:r>
        <w:rPr>
          <w:rFonts w:ascii="Times New Roman" w:hAnsi="Times New Roman"/>
          <w:i/>
          <w:color w:val="000000"/>
          <w:sz w:val="22"/>
        </w:rPr>
        <w:t xml:space="preserve">Letter of Credit” </w:t>
      </w:r>
      <w:r>
        <w:rPr>
          <w:rFonts w:ascii="Times New Roman" w:hAnsi="Times New Roman"/>
          <w:color w:val="000000"/>
          <w:sz w:val="22"/>
        </w:rPr>
        <w:t>means any letter of credit issued hereunder providing for the payment of cash upon the honoring of a presentation thereunder. A Letter of Credit may be a standby letter of credit or a commercial letter of credit payable upon presentation of appropriate supporting documents (“sight”). Letters of Credit may be issued in Dollars or in an Alternative Currency.</w:t>
      </w:r>
    </w:p>
    <w:p>
      <w:pPr>
        <w:pStyle w:val="TextBody"/>
        <w:bidi w:val="0"/>
        <w:spacing w:before="240" w:after="283"/>
        <w:jc w:val="both"/>
        <w:rPr/>
      </w:pPr>
      <w:r>
        <w:rPr>
          <w:color w:val="000000"/>
        </w:rPr>
        <w:t>“</w:t>
      </w:r>
      <w:r>
        <w:rPr>
          <w:rFonts w:ascii="Times New Roman" w:hAnsi="Times New Roman"/>
          <w:i/>
          <w:color w:val="000000"/>
          <w:sz w:val="22"/>
        </w:rPr>
        <w:t xml:space="preserve">Letter of Credit Application” </w:t>
      </w:r>
      <w:r>
        <w:rPr>
          <w:rFonts w:ascii="Times New Roman" w:hAnsi="Times New Roman"/>
          <w:color w:val="000000"/>
          <w:sz w:val="22"/>
        </w:rPr>
        <w:t>means an application and agreement for the issuance or amendment of a Letter of Credit in the form from time to time in use by the applicable L/C Issuer.</w:t>
      </w:r>
    </w:p>
    <w:p>
      <w:pPr>
        <w:pStyle w:val="TextBody"/>
        <w:bidi w:val="0"/>
        <w:spacing w:before="240" w:after="283"/>
        <w:jc w:val="both"/>
        <w:rPr/>
      </w:pPr>
      <w:r>
        <w:rPr>
          <w:color w:val="000000"/>
        </w:rPr>
        <w:t>“</w:t>
      </w:r>
      <w:r>
        <w:rPr>
          <w:rFonts w:ascii="Times New Roman" w:hAnsi="Times New Roman"/>
          <w:i/>
          <w:color w:val="000000"/>
          <w:sz w:val="22"/>
        </w:rPr>
        <w:t xml:space="preserve">Letter of Credit Expiration Date” </w:t>
      </w:r>
      <w:r>
        <w:rPr>
          <w:rFonts w:ascii="Times New Roman" w:hAnsi="Times New Roman"/>
          <w:color w:val="000000"/>
          <w:sz w:val="22"/>
        </w:rPr>
        <w:t>means the day that is seven days prior to the Maturity Date then in effect for the Revolving Credit Facility (or, if such day is not a Business Day, the next preceding Business Day).</w:t>
      </w:r>
    </w:p>
    <w:p>
      <w:pPr>
        <w:pStyle w:val="TextBody"/>
        <w:bidi w:val="0"/>
        <w:spacing w:before="240" w:after="283"/>
        <w:jc w:val="both"/>
        <w:rPr/>
      </w:pPr>
      <w:r>
        <w:rPr>
          <w:color w:val="000000"/>
        </w:rPr>
        <w:t>“</w:t>
      </w:r>
      <w:r>
        <w:rPr>
          <w:rFonts w:ascii="Times New Roman" w:hAnsi="Times New Roman"/>
          <w:i/>
          <w:color w:val="000000"/>
          <w:sz w:val="22"/>
        </w:rPr>
        <w:t xml:space="preserve">Letter of Credit Fee” </w:t>
      </w:r>
      <w:r>
        <w:rPr>
          <w:rFonts w:ascii="Times New Roman" w:hAnsi="Times New Roman"/>
          <w:color w:val="000000"/>
          <w:sz w:val="22"/>
        </w:rPr>
        <w:t>has the meaning specified in Section 2.03(h).</w:t>
      </w:r>
    </w:p>
    <w:p>
      <w:pPr>
        <w:pStyle w:val="TextBody"/>
        <w:bidi w:val="0"/>
        <w:spacing w:before="240" w:after="283"/>
        <w:jc w:val="both"/>
        <w:rPr/>
      </w:pPr>
      <w:r>
        <w:rPr>
          <w:color w:val="000000"/>
        </w:rPr>
        <w:t>“</w:t>
      </w:r>
      <w:r>
        <w:rPr>
          <w:rFonts w:ascii="Times New Roman" w:hAnsi="Times New Roman"/>
          <w:i/>
          <w:color w:val="000000"/>
          <w:sz w:val="22"/>
        </w:rPr>
        <w:t>Letter of Credit Report</w:t>
      </w:r>
      <w:r>
        <w:rPr>
          <w:rFonts w:ascii="Times New Roman" w:hAnsi="Times New Roman"/>
          <w:color w:val="000000"/>
          <w:sz w:val="20"/>
        </w:rPr>
        <w:t xml:space="preserve">” </w:t>
      </w:r>
      <w:r>
        <w:rPr>
          <w:rFonts w:ascii="Times New Roman" w:hAnsi="Times New Roman"/>
          <w:color w:val="000000"/>
          <w:sz w:val="22"/>
        </w:rPr>
        <w:t>means a certificate substantially the form of Exhibit I or any other form approved by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Letter of Credit Sublimit” </w:t>
      </w:r>
      <w:r>
        <w:rPr>
          <w:rFonts w:ascii="Times New Roman" w:hAnsi="Times New Roman"/>
          <w:color w:val="000000"/>
          <w:sz w:val="22"/>
        </w:rPr>
        <w:t>means an amount equal to the lesser of (a) $100,000,000 and (b) the Revolving Credit Facility. The Letter of Credit Sublimit is part of, and not in addition to, the Revolving Credit Facility.</w:t>
      </w:r>
    </w:p>
    <w:p>
      <w:pPr>
        <w:pStyle w:val="TextBody"/>
        <w:bidi w:val="0"/>
        <w:spacing w:before="240" w:after="283"/>
        <w:jc w:val="both"/>
        <w:rPr/>
      </w:pPr>
      <w:r>
        <w:rPr>
          <w:color w:val="000000"/>
        </w:rPr>
        <w:t>“</w:t>
      </w:r>
      <w:r>
        <w:rPr>
          <w:rFonts w:ascii="Times New Roman" w:hAnsi="Times New Roman"/>
          <w:i/>
          <w:color w:val="000000"/>
          <w:sz w:val="22"/>
        </w:rPr>
        <w:t xml:space="preserve">Lien” </w:t>
      </w:r>
      <w:r>
        <w:rPr>
          <w:rFonts w:ascii="Times New Roman" w:hAnsi="Times New Roman"/>
          <w:color w:val="000000"/>
          <w:sz w:val="22"/>
        </w:rPr>
        <w:t>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240" w:after="283"/>
        <w:jc w:val="both"/>
        <w:rPr/>
      </w:pPr>
      <w:r>
        <w:rPr>
          <w:color w:val="000000"/>
        </w:rPr>
        <w:t>“</w:t>
      </w:r>
      <w:r>
        <w:rPr>
          <w:rFonts w:ascii="Times New Roman" w:hAnsi="Times New Roman"/>
          <w:i/>
          <w:color w:val="000000"/>
          <w:sz w:val="22"/>
        </w:rPr>
        <w:t xml:space="preserve">Loan” </w:t>
      </w:r>
      <w:r>
        <w:rPr>
          <w:rFonts w:ascii="Times New Roman" w:hAnsi="Times New Roman"/>
          <w:color w:val="000000"/>
          <w:sz w:val="22"/>
        </w:rPr>
        <w:t>means an extension of credit by a Lender to a Borrower under Article II in the form of a Revolving Credit Loan, a Swingline Loan, or, if applicable, any Incremental Term Loan.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Loan Documents” </w:t>
      </w:r>
      <w:r>
        <w:rPr>
          <w:rFonts w:ascii="Times New Roman" w:hAnsi="Times New Roman"/>
          <w:color w:val="000000"/>
          <w:sz w:val="22"/>
        </w:rPr>
        <w:t xml:space="preserve">means, collectively, (a) this Agreement, (b) the Notes, (c) the Guaranty, (d) the Collateral Documents, (e) the Fee Letters, (f) each Issuer Document (g) each Incremental Term Assumption Agreement and (h) all other certificates, agreements, documents and instruments executed and delivered, in each case, by or on behalf of any Loan Party pursuant to the foregoing (but specifically excluding any Secured Hedge Agreement or any Secured Cash Management Agreement); </w:t>
      </w:r>
      <w:r>
        <w:rPr>
          <w:rFonts w:ascii="Times New Roman" w:hAnsi="Times New Roman"/>
          <w:i/>
          <w:color w:val="000000"/>
          <w:sz w:val="22"/>
        </w:rPr>
        <w:t xml:space="preserve">provided, however, </w:t>
      </w:r>
      <w:r>
        <w:rPr>
          <w:rFonts w:ascii="Times New Roman" w:hAnsi="Times New Roman"/>
          <w:color w:val="000000"/>
          <w:sz w:val="22"/>
        </w:rPr>
        <w:t>that for purposes of Section 11.01, “Loan Documents” shall mean this Agreement, the Guaranty and the Collateral Documents.</w:t>
      </w:r>
    </w:p>
    <w:p>
      <w:pPr>
        <w:pStyle w:val="TextBody"/>
        <w:bidi w:val="0"/>
        <w:spacing w:before="240" w:after="283"/>
        <w:jc w:val="both"/>
        <w:rPr/>
      </w:pPr>
      <w:r>
        <w:rPr>
          <w:color w:val="000000"/>
        </w:rPr>
        <w:t>“</w:t>
      </w:r>
      <w:r>
        <w:rPr>
          <w:rFonts w:ascii="Times New Roman" w:hAnsi="Times New Roman"/>
          <w:i/>
          <w:color w:val="000000"/>
          <w:sz w:val="22"/>
        </w:rPr>
        <w:t xml:space="preserve">Loan Parties” </w:t>
      </w:r>
      <w:r>
        <w:rPr>
          <w:rFonts w:ascii="Times New Roman" w:hAnsi="Times New Roman"/>
          <w:color w:val="000000"/>
          <w:sz w:val="22"/>
        </w:rPr>
        <w:t>means, collectively, the Borrowers and the Guarantors.</w:t>
      </w:r>
    </w:p>
    <w:p>
      <w:pPr>
        <w:pStyle w:val="TextBody"/>
        <w:bidi w:val="0"/>
        <w:spacing w:before="240" w:after="283"/>
        <w:jc w:val="both"/>
        <w:rPr/>
      </w:pPr>
      <w:r>
        <w:rPr>
          <w:color w:val="000000"/>
        </w:rPr>
        <w:t>“</w:t>
      </w:r>
      <w:r>
        <w:rPr>
          <w:rFonts w:ascii="Times New Roman" w:hAnsi="Times New Roman"/>
          <w:i/>
          <w:color w:val="000000"/>
          <w:sz w:val="22"/>
        </w:rPr>
        <w:t xml:space="preserve">Mandatory Cost” </w:t>
      </w:r>
      <w:r>
        <w:rPr>
          <w:rFonts w:ascii="Times New Roman" w:hAnsi="Times New Roman"/>
          <w:color w:val="000000"/>
          <w:sz w:val="22"/>
        </w:rPr>
        <w:t>means any amount incurred periodically by any Lender during the term of the Facility which constitutes fees, costs or charges imposed on lenders generally in the jurisdiction in which such Lender is domiciled, subject to regulation, or has its Facility Office by any Governmental Authority.</w:t>
      </w:r>
    </w:p>
    <w:p>
      <w:pPr>
        <w:pStyle w:val="TextBody"/>
        <w:bidi w:val="0"/>
        <w:spacing w:before="240" w:after="283"/>
        <w:jc w:val="both"/>
        <w:rPr/>
      </w:pPr>
      <w:r>
        <w:rPr>
          <w:color w:val="000000"/>
        </w:rPr>
        <w:t>“</w:t>
      </w:r>
      <w:r>
        <w:rPr>
          <w:rFonts w:ascii="Times New Roman" w:hAnsi="Times New Roman"/>
          <w:i/>
          <w:color w:val="000000"/>
          <w:sz w:val="22"/>
        </w:rPr>
        <w:t xml:space="preserve">Master Agreement” </w:t>
      </w:r>
      <w:r>
        <w:rPr>
          <w:rFonts w:ascii="Times New Roman" w:hAnsi="Times New Roman"/>
          <w:color w:val="000000"/>
          <w:sz w:val="22"/>
        </w:rPr>
        <w:t>has the meaning specified in the definition of “Swap Contract.”</w:t>
      </w:r>
    </w:p>
    <w:p>
      <w:pPr>
        <w:pStyle w:val="TextBody"/>
        <w:bidi w:val="0"/>
        <w:spacing w:before="240" w:after="283"/>
        <w:jc w:val="both"/>
        <w:rPr/>
      </w:pPr>
      <w:r>
        <w:rPr>
          <w:color w:val="0000FF"/>
          <w:u w:val="single"/>
        </w:rPr>
        <w:t>“</w:t>
      </w:r>
      <w:r>
        <w:rPr>
          <w:rFonts w:ascii="Times New Roman" w:hAnsi="Times New Roman"/>
          <w:i/>
          <w:color w:val="0000FF"/>
          <w:sz w:val="22"/>
          <w:u w:val="single"/>
        </w:rPr>
        <w:t>Material Acquisition</w:t>
      </w:r>
      <w:r>
        <w:rPr>
          <w:rFonts w:ascii="Times New Roman" w:hAnsi="Times New Roman"/>
          <w:color w:val="0000FF"/>
          <w:sz w:val="20"/>
          <w:u w:val="single"/>
        </w:rPr>
        <w:t xml:space="preserve">” </w:t>
      </w:r>
      <w:r>
        <w:rPr>
          <w:rFonts w:ascii="Times New Roman" w:hAnsi="Times New Roman"/>
          <w:color w:val="0000FF"/>
          <w:sz w:val="22"/>
          <w:u w:val="single"/>
        </w:rPr>
        <w:t>means any Permitted Acquisition for which the Cost of Acquisition is equal</w:t>
      </w:r>
      <w:r>
        <w:rPr>
          <w:rFonts w:ascii="Times New Roman" w:hAnsi="Times New Roman"/>
          <w:color w:val="0000FF"/>
          <w:sz w:val="20"/>
        </w:rPr>
        <w:t xml:space="preserve"> </w:t>
      </w:r>
      <w:r>
        <w:rPr>
          <w:rFonts w:ascii="Times New Roman" w:hAnsi="Times New Roman"/>
          <w:color w:val="0000FF"/>
          <w:sz w:val="22"/>
          <w:u w:val="single"/>
        </w:rPr>
        <w:t>to or greater than $50,000,000.</w:t>
      </w:r>
    </w:p>
    <w:p>
      <w:pPr>
        <w:pStyle w:val="TextBody"/>
        <w:bidi w:val="0"/>
        <w:spacing w:before="240" w:after="283"/>
        <w:jc w:val="both"/>
        <w:rPr/>
      </w:pPr>
      <w:r>
        <w:rPr>
          <w:color w:val="000000"/>
        </w:rPr>
        <w:t>“</w:t>
      </w:r>
      <w:r>
        <w:rPr>
          <w:rFonts w:ascii="Times New Roman" w:hAnsi="Times New Roman"/>
          <w:i/>
          <w:color w:val="000000"/>
          <w:sz w:val="22"/>
        </w:rPr>
        <w:t xml:space="preserve">Material Adverse Effect” </w:t>
      </w:r>
      <w:r>
        <w:rPr>
          <w:rFonts w:ascii="Times New Roman" w:hAnsi="Times New Roman"/>
          <w:color w:val="000000"/>
          <w:sz w:val="22"/>
        </w:rPr>
        <w:t>means (a) a material adverse change in, or a material adverse effect upon, the operations, business, properties, liabilities (actual or contingent) or condition (financial or otherwise) of any Borrower or the Domestic Borrower and its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pStyle w:val="TextBody"/>
        <w:bidi w:val="0"/>
        <w:spacing w:before="240" w:after="283"/>
        <w:jc w:val="both"/>
        <w:rPr/>
      </w:pPr>
      <w:r>
        <w:rPr>
          <w:color w:val="000000"/>
        </w:rPr>
        <w:t>“</w:t>
      </w:r>
      <w:r>
        <w:rPr>
          <w:rFonts w:ascii="Times New Roman" w:hAnsi="Times New Roman"/>
          <w:i/>
          <w:color w:val="000000"/>
          <w:sz w:val="22"/>
        </w:rPr>
        <w:t xml:space="preserve">Material Contract” </w:t>
      </w:r>
      <w:r>
        <w:rPr>
          <w:rFonts w:ascii="Times New Roman" w:hAnsi="Times New Roman"/>
          <w:color w:val="000000"/>
          <w:sz w:val="22"/>
        </w:rPr>
        <w:t>means (i) all agreements, indentures or notes governing the terms of any Material Indebtedness and (ii) all other agreements, documents, leases, contracts, indentures and instruments for which a default, breach or termination thereof could reasonably be expected to result in a Material Adverse Effect.</w:t>
      </w:r>
    </w:p>
    <w:p>
      <w:pPr>
        <w:pStyle w:val="TextBody"/>
        <w:bidi w:val="0"/>
        <w:spacing w:before="240" w:after="283"/>
        <w:jc w:val="both"/>
        <w:rPr/>
      </w:pPr>
      <w:r>
        <w:rPr>
          <w:color w:val="000000"/>
        </w:rPr>
        <w:t>“</w:t>
      </w:r>
      <w:r>
        <w:rPr>
          <w:rFonts w:ascii="Times New Roman" w:hAnsi="Times New Roman"/>
          <w:i/>
          <w:color w:val="000000"/>
          <w:sz w:val="22"/>
        </w:rPr>
        <w:t>Material Indebtedness</w:t>
      </w:r>
      <w:r>
        <w:rPr>
          <w:rFonts w:ascii="Times New Roman" w:hAnsi="Times New Roman"/>
          <w:color w:val="000000"/>
          <w:sz w:val="20"/>
        </w:rPr>
        <w:t xml:space="preserve">” </w:t>
      </w:r>
      <w:r>
        <w:rPr>
          <w:rFonts w:ascii="Times New Roman" w:hAnsi="Times New Roman"/>
          <w:color w:val="000000"/>
          <w:sz w:val="22"/>
        </w:rPr>
        <w:t>means Indebtedness (other than the Loans and Letters of Credit), and obligations in respect of one or more Swap Contracts, of any one or more of the Loan Parties and their Subsidiaries in an aggregate principal amount exceeding $5,000,000. For purposes of determining Material Indebtedness, the “obligations” of any Loan Party or any Subsidiary in respect of any Swap Contract at any time shall be the maximum aggregate amount (giving effect to any netting agreements) that such Loan Party or such Subsidiary would be required to pay if such Swap Contract were terminated at such time.</w:t>
      </w:r>
    </w:p>
    <w:p>
      <w:pPr>
        <w:pStyle w:val="TextBody"/>
        <w:bidi w:val="0"/>
        <w:spacing w:before="240" w:after="283"/>
        <w:jc w:val="both"/>
        <w:rPr/>
      </w:pPr>
      <w:r>
        <w:rPr>
          <w:color w:val="0000FF"/>
          <w:u w:val="single"/>
        </w:rPr>
        <w:t>“</w:t>
      </w:r>
      <w:r>
        <w:rPr>
          <w:rFonts w:ascii="Times New Roman" w:hAnsi="Times New Roman"/>
          <w:i/>
          <w:color w:val="0000FF"/>
          <w:sz w:val="22"/>
          <w:u w:val="single"/>
        </w:rPr>
        <w:t>Material Intellectual Property</w:t>
      </w:r>
      <w:r>
        <w:rPr>
          <w:rFonts w:ascii="Times New Roman" w:hAnsi="Times New Roman"/>
          <w:color w:val="0000FF"/>
          <w:sz w:val="20"/>
          <w:u w:val="single"/>
        </w:rPr>
        <w:t xml:space="preserve">” </w:t>
      </w:r>
      <w:r>
        <w:rPr>
          <w:rFonts w:ascii="Times New Roman" w:hAnsi="Times New Roman"/>
          <w:color w:val="0000FF"/>
          <w:sz w:val="22"/>
          <w:u w:val="single"/>
        </w:rPr>
        <w:t>means any Intellectual Property owned by the Borrowers or their</w:t>
      </w:r>
      <w:r>
        <w:rPr>
          <w:rFonts w:ascii="Times New Roman" w:hAnsi="Times New Roman"/>
          <w:color w:val="0000FF"/>
          <w:sz w:val="20"/>
        </w:rPr>
        <w:t xml:space="preserve"> </w:t>
      </w:r>
      <w:r>
        <w:rPr>
          <w:rFonts w:ascii="Times New Roman" w:hAnsi="Times New Roman"/>
          <w:color w:val="0000FF"/>
          <w:sz w:val="22"/>
          <w:u w:val="single"/>
        </w:rPr>
        <w:t>respective Subsidiaries that is used in and material to the operation of their respective businesses.</w:t>
      </w:r>
    </w:p>
    <w:p>
      <w:pPr>
        <w:pStyle w:val="TextBody"/>
        <w:bidi w:val="0"/>
        <w:spacing w:before="240" w:after="283"/>
        <w:jc w:val="both"/>
        <w:rPr/>
      </w:pPr>
      <w:r>
        <w:rPr>
          <w:color w:val="000000"/>
        </w:rPr>
        <w:t>“</w:t>
      </w:r>
      <w:r>
        <w:rPr>
          <w:rFonts w:ascii="Times New Roman" w:hAnsi="Times New Roman"/>
          <w:i/>
          <w:color w:val="000000"/>
          <w:sz w:val="22"/>
        </w:rPr>
        <w:t xml:space="preserve">Material Real Property” </w:t>
      </w:r>
      <w:r>
        <w:rPr>
          <w:rFonts w:ascii="Times New Roman" w:hAnsi="Times New Roman"/>
          <w:color w:val="000000"/>
          <w:sz w:val="22"/>
        </w:rPr>
        <w:t>means each parcel (or group of contiguous related parcels) of real property owned by the Domestic Borrower or any Subsidiary located within the United States with a book value equal to or greater than $5,000,000; all Material Real Property as of the Closing Date is identified on Schedule 5.08(c).</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Maturity Date</w:t>
      </w:r>
      <w:r>
        <w:rPr>
          <w:rFonts w:ascii="Times New Roman" w:hAnsi="Times New Roman"/>
          <w:color w:val="000000"/>
          <w:sz w:val="20"/>
        </w:rPr>
        <w:t xml:space="preserve">” </w:t>
      </w:r>
      <w:r>
        <w:rPr>
          <w:rFonts w:ascii="Times New Roman" w:hAnsi="Times New Roman"/>
          <w:color w:val="000000"/>
          <w:sz w:val="22"/>
        </w:rPr>
        <w:t xml:space="preserve">means (a) with respect to the Revolving Credit Facility, </w:t>
      </w:r>
      <w:r>
        <w:rPr>
          <w:rFonts w:ascii="Times New Roman" w:hAnsi="Times New Roman"/>
          <w:strike/>
          <w:color w:val="FF0000"/>
          <w:sz w:val="22"/>
        </w:rPr>
        <w:t>May</w:t>
      </w:r>
      <w:r>
        <w:rPr>
          <w:rFonts w:ascii="Times New Roman" w:hAnsi="Times New Roman"/>
          <w:color w:val="0000FF"/>
          <w:sz w:val="22"/>
          <w:u w:val="single"/>
        </w:rPr>
        <w:t>August</w:t>
      </w:r>
      <w:r>
        <w:rPr>
          <w:rFonts w:ascii="Times New Roman" w:hAnsi="Times New Roman"/>
          <w:color w:val="0000FF"/>
          <w:sz w:val="20"/>
        </w:rPr>
        <w:t xml:space="preserve"> </w:t>
      </w:r>
      <w:r>
        <w:rPr>
          <w:rFonts w:ascii="Times New Roman" w:hAnsi="Times New Roman"/>
          <w:strike/>
          <w:color w:val="FF0000"/>
          <w:sz w:val="22"/>
        </w:rPr>
        <w:t>26</w:t>
      </w:r>
      <w:r>
        <w:rPr>
          <w:rFonts w:ascii="Times New Roman" w:hAnsi="Times New Roman"/>
          <w:color w:val="0000FF"/>
          <w:sz w:val="22"/>
          <w:u w:val="single"/>
        </w:rPr>
        <w:t>12</w:t>
      </w:r>
      <w:r>
        <w:rPr>
          <w:rFonts w:ascii="Times New Roman" w:hAnsi="Times New Roman"/>
          <w:color w:val="000000"/>
          <w:sz w:val="22"/>
        </w:rPr>
        <w:t xml:space="preserve">, </w:t>
      </w:r>
      <w:r>
        <w:rPr>
          <w:rFonts w:ascii="Times New Roman" w:hAnsi="Times New Roman"/>
          <w:strike/>
          <w:color w:val="FF0000"/>
          <w:sz w:val="22"/>
        </w:rPr>
        <w:t>2028</w:t>
      </w:r>
      <w:r>
        <w:rPr>
          <w:rFonts w:ascii="Times New Roman" w:hAnsi="Times New Roman"/>
          <w:color w:val="0000FF"/>
          <w:sz w:val="22"/>
          <w:u w:val="single"/>
        </w:rPr>
        <w:t>2031,</w:t>
      </w:r>
      <w:r>
        <w:rPr>
          <w:rFonts w:ascii="Times New Roman" w:hAnsi="Times New Roman"/>
          <w:color w:val="0000FF"/>
          <w:sz w:val="20"/>
        </w:rPr>
        <w:t xml:space="preserve"> </w:t>
      </w:r>
      <w:r>
        <w:rPr>
          <w:rFonts w:ascii="Times New Roman" w:hAnsi="Times New Roman"/>
          <w:color w:val="000000"/>
          <w:sz w:val="22"/>
        </w:rPr>
        <w:t xml:space="preserve">and (b) with respect to any Incremental Term Facility, the maturity date set forth in the applicable Incremental Term Assumption Agreement for such Incremental Term Facility;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each case, if such date is not a Business Day, the Maturity Date shall be the next preceding Business Day</w:t>
      </w:r>
      <w:r>
        <w:rPr>
          <w:rFonts w:ascii="Times New Roman" w:hAnsi="Times New Roman"/>
          <w:color w:val="0000FF"/>
          <w:sz w:val="22"/>
          <w:u w:val="single"/>
        </w:rPr>
        <w:t xml:space="preserve">; </w:t>
      </w:r>
      <w:r>
        <w:rPr>
          <w:rFonts w:ascii="Times New Roman" w:hAnsi="Times New Roman"/>
          <w:i/>
          <w:color w:val="0000FF"/>
          <w:sz w:val="22"/>
          <w:u w:val="single"/>
        </w:rPr>
        <w:t xml:space="preserve">provided further </w:t>
      </w:r>
      <w:r>
        <w:rPr>
          <w:rFonts w:ascii="Times New Roman" w:hAnsi="Times New Roman"/>
          <w:color w:val="0000FF"/>
          <w:sz w:val="22"/>
          <w:u w:val="single"/>
        </w:rPr>
        <w:t>that, to the extent any Permitted Convertible Indebtedness issued by the</w:t>
      </w:r>
      <w:r>
        <w:rPr>
          <w:rFonts w:ascii="Times New Roman" w:hAnsi="Times New Roman"/>
          <w:color w:val="0000FF"/>
          <w:sz w:val="20"/>
        </w:rPr>
        <w:t xml:space="preserve"> </w:t>
      </w:r>
      <w:r>
        <w:rPr>
          <w:rFonts w:ascii="Times New Roman" w:hAnsi="Times New Roman"/>
          <w:color w:val="0000FF"/>
          <w:sz w:val="22"/>
          <w:u w:val="single"/>
        </w:rPr>
        <w:t>Domestic Borrower has a maturity date prior to the date that is 91 days after the then-existing Maturity Date</w:t>
      </w:r>
      <w:r>
        <w:rPr>
          <w:rFonts w:ascii="Times New Roman" w:hAnsi="Times New Roman"/>
          <w:color w:val="0000FF"/>
          <w:sz w:val="20"/>
        </w:rPr>
        <w:t xml:space="preserve"> </w:t>
      </w:r>
      <w:r>
        <w:rPr>
          <w:rFonts w:ascii="Times New Roman" w:hAnsi="Times New Roman"/>
          <w:color w:val="0000FF"/>
          <w:sz w:val="22"/>
          <w:u w:val="single"/>
        </w:rPr>
        <w:t>(the maturity date of such Permitted Convertible Indebtedness, the “</w:t>
      </w:r>
      <w:r>
        <w:rPr>
          <w:rFonts w:ascii="Times New Roman" w:hAnsi="Times New Roman"/>
          <w:i/>
          <w:color w:val="0000FF"/>
          <w:sz w:val="22"/>
          <w:u w:val="single"/>
        </w:rPr>
        <w:t>PCI Maturity Date</w:t>
      </w:r>
      <w:r>
        <w:rPr>
          <w:rFonts w:ascii="Times New Roman" w:hAnsi="Times New Roman"/>
          <w:color w:val="0000FF"/>
          <w:sz w:val="20"/>
          <w:u w:val="single"/>
        </w:rPr>
        <w:t>”</w:t>
      </w:r>
      <w:r>
        <w:rPr>
          <w:rFonts w:ascii="Times New Roman" w:hAnsi="Times New Roman"/>
          <w:color w:val="0000FF"/>
          <w:sz w:val="22"/>
          <w:u w:val="single"/>
        </w:rPr>
        <w:t>), if the</w:t>
      </w:r>
      <w:r>
        <w:rPr>
          <w:rFonts w:ascii="Times New Roman" w:hAnsi="Times New Roman"/>
          <w:color w:val="0000FF"/>
          <w:sz w:val="20"/>
        </w:rPr>
        <w:t xml:space="preserve"> </w:t>
      </w:r>
      <w:r>
        <w:rPr>
          <w:rFonts w:ascii="Times New Roman" w:hAnsi="Times New Roman"/>
          <w:color w:val="0000FF"/>
          <w:sz w:val="22"/>
          <w:u w:val="single"/>
        </w:rPr>
        <w:t>Administrative Agent has not received from the Domestic Borrower on or prior to 91 days prior to such PCI</w:t>
      </w:r>
      <w:r>
        <w:rPr>
          <w:rFonts w:ascii="Times New Roman" w:hAnsi="Times New Roman"/>
          <w:color w:val="0000FF"/>
          <w:sz w:val="20"/>
        </w:rPr>
        <w:t xml:space="preserve"> </w:t>
      </w:r>
      <w:r>
        <w:rPr>
          <w:rFonts w:ascii="Times New Roman" w:hAnsi="Times New Roman"/>
          <w:color w:val="0000FF"/>
          <w:sz w:val="22"/>
          <w:u w:val="single"/>
        </w:rPr>
        <w:t>Maturity Date (the “</w:t>
      </w:r>
      <w:r>
        <w:rPr>
          <w:rFonts w:ascii="Times New Roman" w:hAnsi="Times New Roman"/>
          <w:i/>
          <w:color w:val="0000FF"/>
          <w:sz w:val="22"/>
          <w:u w:val="single"/>
        </w:rPr>
        <w:t>Springing Maturity Date</w:t>
      </w:r>
      <w:r>
        <w:rPr>
          <w:rFonts w:ascii="Times New Roman" w:hAnsi="Times New Roman"/>
          <w:color w:val="0000FF"/>
          <w:sz w:val="20"/>
          <w:u w:val="single"/>
        </w:rPr>
        <w:t>”</w:t>
      </w:r>
      <w:r>
        <w:rPr>
          <w:rFonts w:ascii="Times New Roman" w:hAnsi="Times New Roman"/>
          <w:color w:val="0000FF"/>
          <w:sz w:val="22"/>
          <w:u w:val="single"/>
        </w:rPr>
        <w:t>), a true, correct and complete copy of the fully executed and</w:t>
      </w:r>
      <w:r>
        <w:rPr>
          <w:rFonts w:ascii="Times New Roman" w:hAnsi="Times New Roman"/>
          <w:color w:val="0000FF"/>
          <w:sz w:val="20"/>
        </w:rPr>
        <w:t xml:space="preserve"> </w:t>
      </w:r>
      <w:r>
        <w:rPr>
          <w:rFonts w:ascii="Times New Roman" w:hAnsi="Times New Roman"/>
          <w:color w:val="0000FF"/>
          <w:sz w:val="22"/>
          <w:u w:val="single"/>
        </w:rPr>
        <w:t>effective amendment, amendment and restatement, extension or other modification to such Permitted</w:t>
      </w:r>
      <w:r>
        <w:rPr>
          <w:rFonts w:ascii="Times New Roman" w:hAnsi="Times New Roman"/>
          <w:color w:val="0000FF"/>
          <w:sz w:val="20"/>
        </w:rPr>
        <w:t xml:space="preserve"> </w:t>
      </w:r>
      <w:r>
        <w:rPr>
          <w:rFonts w:ascii="Times New Roman" w:hAnsi="Times New Roman"/>
          <w:color w:val="0000FF"/>
          <w:sz w:val="22"/>
          <w:u w:val="single"/>
        </w:rPr>
        <w:t>Convertible Indebtedness extending the maturity date thereof to a date that is at least 91 days after the</w:t>
      </w:r>
      <w:r>
        <w:rPr>
          <w:rFonts w:ascii="Times New Roman" w:hAnsi="Times New Roman"/>
          <w:color w:val="0000FF"/>
          <w:sz w:val="20"/>
        </w:rPr>
        <w:t xml:space="preserve"> </w:t>
      </w:r>
      <w:r>
        <w:rPr>
          <w:rFonts w:ascii="Times New Roman" w:hAnsi="Times New Roman"/>
          <w:color w:val="0000FF"/>
          <w:sz w:val="22"/>
          <w:u w:val="single"/>
        </w:rPr>
        <w:t>then-existing Maturity Date, the date set forth in clause (a) above automatically shall be the applicable</w:t>
      </w:r>
      <w:r>
        <w:rPr>
          <w:rFonts w:ascii="Times New Roman" w:hAnsi="Times New Roman"/>
          <w:color w:val="0000FF"/>
          <w:sz w:val="20"/>
        </w:rPr>
        <w:t xml:space="preserve"> </w:t>
      </w:r>
      <w:r>
        <w:rPr>
          <w:rFonts w:ascii="Times New Roman" w:hAnsi="Times New Roman"/>
          <w:color w:val="0000FF"/>
          <w:sz w:val="22"/>
          <w:u w:val="single"/>
        </w:rPr>
        <w:t xml:space="preserve">Springing Maturity Date; </w:t>
      </w:r>
      <w:r>
        <w:rPr>
          <w:rFonts w:ascii="Times New Roman" w:hAnsi="Times New Roman"/>
          <w:i/>
          <w:color w:val="0000FF"/>
          <w:sz w:val="22"/>
          <w:u w:val="single"/>
        </w:rPr>
        <w:t>provided further</w:t>
      </w:r>
      <w:r>
        <w:rPr>
          <w:rFonts w:ascii="Times New Roman" w:hAnsi="Times New Roman"/>
          <w:color w:val="0000FF"/>
          <w:sz w:val="22"/>
          <w:u w:val="single"/>
        </w:rPr>
        <w:t>, to the extent the Domestic Borrower has issued multiple items</w:t>
      </w:r>
      <w:r>
        <w:rPr>
          <w:rFonts w:ascii="Times New Roman" w:hAnsi="Times New Roman"/>
          <w:color w:val="0000FF"/>
          <w:sz w:val="20"/>
        </w:rPr>
        <w:t xml:space="preserve"> </w:t>
      </w:r>
      <w:r>
        <w:rPr>
          <w:rFonts w:ascii="Times New Roman" w:hAnsi="Times New Roman"/>
          <w:color w:val="0000FF"/>
          <w:sz w:val="22"/>
          <w:u w:val="single"/>
        </w:rPr>
        <w:t>of Permitted Convertible Indebtedness with a PCI Maturity Date prior to the date that is 91 days after the</w:t>
      </w:r>
      <w:r>
        <w:rPr>
          <w:rFonts w:ascii="Times New Roman" w:hAnsi="Times New Roman"/>
          <w:color w:val="0000FF"/>
          <w:sz w:val="20"/>
        </w:rPr>
        <w:t xml:space="preserve"> </w:t>
      </w:r>
      <w:r>
        <w:rPr>
          <w:rFonts w:ascii="Times New Roman" w:hAnsi="Times New Roman"/>
          <w:color w:val="0000FF"/>
          <w:sz w:val="22"/>
          <w:u w:val="single"/>
        </w:rPr>
        <w:t>then-existing Maturity Date, the Springing Maturity Date shall be the earliest of such Springing Maturity</w:t>
      </w:r>
      <w:r>
        <w:rPr>
          <w:rFonts w:ascii="Times New Roman" w:hAnsi="Times New Roman"/>
          <w:color w:val="0000FF"/>
          <w:sz w:val="20"/>
        </w:rPr>
        <w:t xml:space="preserve"> </w:t>
      </w:r>
      <w:r>
        <w:rPr>
          <w:rFonts w:ascii="Times New Roman" w:hAnsi="Times New Roman"/>
          <w:color w:val="0000FF"/>
          <w:sz w:val="22"/>
          <w:u w:val="single"/>
        </w:rPr>
        <w:t>Dates to occur.</w:t>
      </w:r>
    </w:p>
    <w:p>
      <w:pPr>
        <w:pStyle w:val="TextBody"/>
        <w:bidi w:val="0"/>
        <w:spacing w:before="240" w:after="283"/>
        <w:jc w:val="both"/>
        <w:rPr/>
      </w:pPr>
      <w:r>
        <w:rPr>
          <w:color w:val="0000FF"/>
          <w:u w:val="single"/>
        </w:rPr>
        <w:t>“</w:t>
      </w:r>
      <w:r>
        <w:rPr>
          <w:rFonts w:ascii="Times New Roman" w:hAnsi="Times New Roman"/>
          <w:i/>
          <w:color w:val="0000FF"/>
          <w:sz w:val="22"/>
          <w:u w:val="single"/>
        </w:rPr>
        <w:t>Maximum Rate</w:t>
      </w:r>
      <w:r>
        <w:rPr>
          <w:rFonts w:ascii="Times New Roman" w:hAnsi="Times New Roman"/>
          <w:color w:val="0000FF"/>
          <w:sz w:val="20"/>
          <w:u w:val="single"/>
        </w:rPr>
        <w:t xml:space="preserve">” </w:t>
      </w:r>
      <w:r>
        <w:rPr>
          <w:rFonts w:ascii="Times New Roman" w:hAnsi="Times New Roman"/>
          <w:color w:val="0000FF"/>
          <w:sz w:val="22"/>
          <w:u w:val="single"/>
        </w:rPr>
        <w:t>has the meaning specified in Section 11.09</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Measurement Period” </w:t>
      </w:r>
      <w:r>
        <w:rPr>
          <w:rFonts w:ascii="Times New Roman" w:hAnsi="Times New Roman"/>
          <w:color w:val="000000"/>
          <w:sz w:val="22"/>
        </w:rPr>
        <w:t>means, at any date of determination, the most recently completed four fiscal quarters of the Domestic Borrower.</w:t>
      </w:r>
    </w:p>
    <w:p>
      <w:pPr>
        <w:pStyle w:val="TextBody"/>
        <w:bidi w:val="0"/>
        <w:spacing w:before="240" w:after="283"/>
        <w:jc w:val="both"/>
        <w:rPr/>
      </w:pPr>
      <w:r>
        <w:rPr>
          <w:color w:val="000000"/>
        </w:rPr>
        <w:t>“</w:t>
      </w:r>
      <w:r>
        <w:rPr>
          <w:rFonts w:ascii="Times New Roman" w:hAnsi="Times New Roman"/>
          <w:i/>
          <w:color w:val="000000"/>
          <w:sz w:val="22"/>
        </w:rPr>
        <w:t xml:space="preserve">Minimum Collateral Amount” </w:t>
      </w:r>
      <w:r>
        <w:rPr>
          <w:rFonts w:ascii="Times New Roman" w:hAnsi="Times New Roman"/>
          <w:color w:val="000000"/>
          <w:sz w:val="22"/>
        </w:rPr>
        <w:t>means, at any time, (a) with respect to Cash Collateral consisting of cash or deposit account balances provided to reduce or eliminate Fronting Exposure during the existence of a Defaulting Lender, an amount equal to 103% of the Fronting Exposure of all L/C Issuers with respect to Letters of Credit issued and outstanding at such time, (b) with respect to Cash Collateral consisting of cash or deposit account balances provided in accordance with the provisions of Section 2.15(a)(i), (a)(ii) or (a)(iii), an amount equal to 103% of the Outstanding Amount of all L/C Obligations, and (c) otherwise, an amount determined by the Administrative Agent and the L/C Issuers in their sole discretion.</w:t>
      </w:r>
    </w:p>
    <w:p>
      <w:pPr>
        <w:pStyle w:val="TextBody"/>
        <w:bidi w:val="0"/>
        <w:spacing w:before="240" w:after="283"/>
        <w:jc w:val="both"/>
        <w:rPr/>
      </w:pPr>
      <w:r>
        <w:rPr>
          <w:color w:val="000000"/>
        </w:rPr>
        <w:t>“</w:t>
      </w:r>
      <w:r>
        <w:rPr>
          <w:rFonts w:ascii="Times New Roman" w:hAnsi="Times New Roman"/>
          <w:i/>
          <w:color w:val="000000"/>
          <w:sz w:val="22"/>
        </w:rPr>
        <w:t xml:space="preserve">Moody’s” </w:t>
      </w:r>
      <w:r>
        <w:rPr>
          <w:rFonts w:ascii="Times New Roman" w:hAnsi="Times New Roman"/>
          <w:color w:val="000000"/>
          <w:sz w:val="22"/>
        </w:rPr>
        <w:t>means Moody’s Investors Service, Inc. and any successor thereto.</w:t>
      </w:r>
    </w:p>
    <w:p>
      <w:pPr>
        <w:pStyle w:val="TextBody"/>
        <w:bidi w:val="0"/>
        <w:spacing w:before="240" w:after="283"/>
        <w:jc w:val="both"/>
        <w:rPr/>
      </w:pPr>
      <w:r>
        <w:rPr>
          <w:color w:val="000000"/>
        </w:rPr>
        <w:t>“</w:t>
      </w:r>
      <w:r>
        <w:rPr>
          <w:rFonts w:ascii="Times New Roman" w:hAnsi="Times New Roman"/>
          <w:i/>
          <w:color w:val="000000"/>
          <w:sz w:val="22"/>
        </w:rPr>
        <w:t xml:space="preserve">Multiemployer Plan” </w:t>
      </w:r>
      <w:r>
        <w:rPr>
          <w:rFonts w:ascii="Times New Roman" w:hAnsi="Times New Roman"/>
          <w:color w:val="000000"/>
          <w:sz w:val="22"/>
        </w:rPr>
        <w:t>means any employee benefit plan of the type described in Section 4001(a)(3) of ERISA, to which any Borrower or any ERISA Affiliate makes or is obligated to make contributions, or during the preceding five plan years, has made or been obligated to make contributions.</w:t>
      </w:r>
    </w:p>
    <w:p>
      <w:pPr>
        <w:pStyle w:val="TextBody"/>
        <w:bidi w:val="0"/>
        <w:spacing w:before="240" w:after="283"/>
        <w:jc w:val="both"/>
        <w:rPr/>
      </w:pPr>
      <w:r>
        <w:rPr>
          <w:color w:val="000000"/>
        </w:rPr>
        <w:t>“</w:t>
      </w:r>
      <w:r>
        <w:rPr>
          <w:rFonts w:ascii="Times New Roman" w:hAnsi="Times New Roman"/>
          <w:i/>
          <w:color w:val="000000"/>
          <w:sz w:val="22"/>
        </w:rPr>
        <w:t xml:space="preserve">Multiple Employer Plan” </w:t>
      </w:r>
      <w:r>
        <w:rPr>
          <w:rFonts w:ascii="Times New Roman" w:hAnsi="Times New Roman"/>
          <w:color w:val="000000"/>
          <w:sz w:val="22"/>
        </w:rPr>
        <w:t>means a Plan which has two or more contributing sponsors (including any Borrower or any ERISA Affiliate) at least two of whom are not under common control, as such a plan is described in Section 4064 of ERISA.</w:t>
      </w:r>
    </w:p>
    <w:p>
      <w:pPr>
        <w:pStyle w:val="TextBody"/>
        <w:bidi w:val="0"/>
        <w:spacing w:before="240" w:after="283"/>
        <w:jc w:val="both"/>
        <w:rPr/>
      </w:pPr>
      <w:r>
        <w:rPr>
          <w:color w:val="000000"/>
        </w:rPr>
        <w:t>“</w:t>
      </w:r>
      <w:r>
        <w:rPr>
          <w:rFonts w:ascii="Times New Roman" w:hAnsi="Times New Roman"/>
          <w:i/>
          <w:color w:val="000000"/>
          <w:sz w:val="22"/>
        </w:rPr>
        <w:t xml:space="preserve">Net Cash Proceeds” </w:t>
      </w:r>
      <w:r>
        <w:rPr>
          <w:rFonts w:ascii="Times New Roman" w:hAnsi="Times New Roman"/>
          <w:color w:val="000000"/>
          <w:sz w:val="22"/>
        </w:rPr>
        <w:t>means the aggregate cash or Cash Equivalents proceeds received by any Loan Party or any Subsidiary in respect of any Disposition or Involuntary Disposition, or any Extraordinary Receipt, in each case net of (a) direct costs incurred in connection therewith (including, without limitation, legal, accounting and investment banking fees and sales commissions), (b) taxes paid or payable as a result thereof and any withholding taxes paid or payable in connection therewith or as a result of any intercompany transfer of such cash or Cash Equivalents, and (c) the amount necessary to retire any Indebtedness secured by a Permitted Lien; it being understood that “Net Cash Proceeds” shall include, without limitation, any cash or Cash Equivalents received upon the sale or other disposition of any non-cash consideration received by any Loan Party or any Subsidiary in any Disposition or Involuntary Disposition.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Non-Consenting Lender” </w:t>
      </w:r>
      <w:r>
        <w:rPr>
          <w:rFonts w:ascii="Times New Roman" w:hAnsi="Times New Roman"/>
          <w:color w:val="000000"/>
          <w:sz w:val="22"/>
        </w:rPr>
        <w:t>means any Lender that does not approve any consent, waiver or amendment that (a) requires the approval of all Lenders or all affected Lenders in accordance with the terms of Section 11.01 and (b) has been approved by the Required Lenders.</w:t>
      </w:r>
    </w:p>
    <w:p>
      <w:pPr>
        <w:pStyle w:val="TextBody"/>
        <w:bidi w:val="0"/>
        <w:spacing w:before="240" w:after="283"/>
        <w:jc w:val="both"/>
        <w:rPr/>
      </w:pPr>
      <w:r>
        <w:rPr>
          <w:color w:val="000000"/>
        </w:rPr>
        <w:t>“</w:t>
      </w:r>
      <w:r>
        <w:rPr>
          <w:rFonts w:ascii="Times New Roman" w:hAnsi="Times New Roman"/>
          <w:i/>
          <w:color w:val="000000"/>
          <w:sz w:val="22"/>
        </w:rPr>
        <w:t xml:space="preserve">Non-Defaulting Lender” </w:t>
      </w:r>
      <w:r>
        <w:rPr>
          <w:rFonts w:ascii="Times New Roman" w:hAnsi="Times New Roman"/>
          <w:color w:val="000000"/>
          <w:sz w:val="22"/>
        </w:rPr>
        <w:t xml:space="preserve">means, at any time, each Lender that is not a Defaulting Lender at such </w:t>
      </w:r>
      <w:r>
        <w:rPr>
          <w:rFonts w:ascii="Times New Roman" w:hAnsi="Times New Roman"/>
          <w:color w:val="000000"/>
          <w:sz w:val="20"/>
        </w:rPr>
        <w:t>time.</w:t>
      </w:r>
    </w:p>
    <w:p>
      <w:pPr>
        <w:pStyle w:val="TextBody"/>
        <w:bidi w:val="0"/>
        <w:spacing w:before="240" w:after="283"/>
        <w:jc w:val="both"/>
        <w:rPr/>
      </w:pPr>
      <w:r>
        <w:rPr>
          <w:color w:val="000000"/>
        </w:rPr>
        <w:t>“</w:t>
      </w:r>
      <w:r>
        <w:rPr>
          <w:rFonts w:ascii="Times New Roman" w:hAnsi="Times New Roman"/>
          <w:i/>
          <w:color w:val="000000"/>
          <w:sz w:val="22"/>
        </w:rPr>
        <w:t xml:space="preserve">Note” </w:t>
      </w:r>
      <w:r>
        <w:rPr>
          <w:rFonts w:ascii="Times New Roman" w:hAnsi="Times New Roman"/>
          <w:color w:val="000000"/>
          <w:sz w:val="22"/>
        </w:rPr>
        <w:t>means an Incremental Term Note or a Revolving Credit Note, as the context may require. “</w:t>
      </w:r>
      <w:r>
        <w:rPr>
          <w:rFonts w:ascii="Times New Roman" w:hAnsi="Times New Roman"/>
          <w:i/>
          <w:color w:val="000000"/>
          <w:sz w:val="22"/>
        </w:rPr>
        <w:t>Notice of Additional L/C Issuer</w:t>
      </w:r>
      <w:r>
        <w:rPr>
          <w:rFonts w:ascii="Times New Roman" w:hAnsi="Times New Roman"/>
          <w:color w:val="000000"/>
          <w:sz w:val="20"/>
        </w:rPr>
        <w:t xml:space="preserve">” </w:t>
      </w:r>
      <w:r>
        <w:rPr>
          <w:rFonts w:ascii="Times New Roman" w:hAnsi="Times New Roman"/>
          <w:color w:val="000000"/>
          <w:sz w:val="22"/>
        </w:rPr>
        <w:t>means a certificate substantially the form of Exhibit J or 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other form approved by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Notice of Loan Prepayment” </w:t>
      </w:r>
      <w:r>
        <w:rPr>
          <w:rFonts w:ascii="Times New Roman" w:hAnsi="Times New Roman"/>
          <w:color w:val="000000"/>
          <w:sz w:val="22"/>
        </w:rPr>
        <w:t xml:space="preserve">means a notice of prepayment with respect to a Loan, which shall be substantially in the form of </w:t>
      </w:r>
      <w:r>
        <w:rPr>
          <w:rFonts w:ascii="Times New Roman" w:hAnsi="Times New Roman"/>
          <w:i/>
          <w:color w:val="000000"/>
          <w:sz w:val="22"/>
        </w:rPr>
        <w:t xml:space="preserve">Exhibit G </w:t>
      </w:r>
      <w:r>
        <w:rPr>
          <w:rFonts w:ascii="Times New Roman" w:hAnsi="Times New Roman"/>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240" w:after="283"/>
        <w:jc w:val="left"/>
        <w:rPr/>
      </w:pPr>
      <w:r>
        <w:rPr>
          <w:color w:val="000000"/>
        </w:rPr>
        <w:t>“</w:t>
      </w:r>
      <w:r>
        <w:rPr>
          <w:rFonts w:ascii="Times New Roman" w:hAnsi="Times New Roman"/>
          <w:i/>
          <w:color w:val="000000"/>
          <w:sz w:val="22"/>
        </w:rPr>
        <w:t xml:space="preserve">NPL” </w:t>
      </w:r>
      <w:r>
        <w:rPr>
          <w:rFonts w:ascii="Times New Roman" w:hAnsi="Times New Roman"/>
          <w:color w:val="000000"/>
          <w:sz w:val="22"/>
        </w:rPr>
        <w:t>means the National Priorities List under CERCLA.</w:t>
      </w:r>
    </w:p>
    <w:p>
      <w:pPr>
        <w:pStyle w:val="TextBody"/>
        <w:bidi w:val="0"/>
        <w:spacing w:before="240" w:after="283"/>
        <w:jc w:val="both"/>
        <w:rPr/>
      </w:pPr>
      <w:r>
        <w:rPr>
          <w:color w:val="000000"/>
        </w:rPr>
        <w:t>“</w:t>
      </w:r>
      <w:r>
        <w:rPr>
          <w:rFonts w:ascii="Times New Roman" w:hAnsi="Times New Roman"/>
          <w:i/>
          <w:color w:val="000000"/>
          <w:sz w:val="22"/>
        </w:rPr>
        <w:t xml:space="preserve">Obligations” </w:t>
      </w:r>
      <w:r>
        <w:rPr>
          <w:rFonts w:ascii="Times New Roman" w:hAnsi="Times New Roman"/>
          <w:color w:val="000000"/>
          <w:sz w:val="22"/>
        </w:rPr>
        <w:t xml:space="preserve">means (a) all advances to, and debts, liabilities, obligations, covenants and duties of, any Loan Party arising under any Loan Document or otherwise with respect to any Loan, or Letter of Credit, Secured Cash Management Agreement or Secured Hedge Agreement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hAnsi="Times New Roman"/>
          <w:i/>
          <w:color w:val="000000"/>
          <w:sz w:val="22"/>
        </w:rPr>
        <w:t xml:space="preserve">provided </w:t>
      </w:r>
      <w:r>
        <w:rPr>
          <w:rFonts w:ascii="Times New Roman" w:hAnsi="Times New Roman"/>
          <w:color w:val="000000"/>
          <w:sz w:val="22"/>
        </w:rPr>
        <w:t>that without limiting the foregoing, Obligations of a Loan Party shall exclude any Excluded Swap Obligations with respect to such Loan Party.</w:t>
      </w:r>
    </w:p>
    <w:p>
      <w:pPr>
        <w:pStyle w:val="TextBody"/>
        <w:bidi w:val="0"/>
        <w:spacing w:before="240" w:after="283"/>
        <w:jc w:val="both"/>
        <w:rPr/>
      </w:pPr>
      <w:r>
        <w:rPr>
          <w:color w:val="000000"/>
        </w:rPr>
        <w:t>“</w:t>
      </w:r>
      <w:r>
        <w:rPr>
          <w:rFonts w:ascii="Times New Roman" w:hAnsi="Times New Roman"/>
          <w:i/>
          <w:color w:val="000000"/>
          <w:sz w:val="22"/>
        </w:rPr>
        <w:t xml:space="preserve">OFAC” </w:t>
      </w:r>
      <w:r>
        <w:rPr>
          <w:rFonts w:ascii="Times New Roman" w:hAnsi="Times New Roman"/>
          <w:color w:val="000000"/>
          <w:sz w:val="22"/>
        </w:rPr>
        <w:t>means the Office of Foreign Assets Control of the United States Department of the Treasury.</w:t>
      </w:r>
    </w:p>
    <w:p>
      <w:pPr>
        <w:pStyle w:val="TextBody"/>
        <w:bidi w:val="0"/>
        <w:spacing w:before="240" w:after="283"/>
        <w:jc w:val="both"/>
        <w:rPr/>
      </w:pPr>
      <w:r>
        <w:rPr>
          <w:color w:val="000000"/>
        </w:rPr>
        <w:t>“</w:t>
      </w:r>
      <w:r>
        <w:rPr>
          <w:rFonts w:ascii="Times New Roman" w:hAnsi="Times New Roman"/>
          <w:i/>
          <w:color w:val="000000"/>
          <w:sz w:val="22"/>
        </w:rPr>
        <w:t xml:space="preserve">Organization Documents” </w:t>
      </w:r>
      <w:r>
        <w:rPr>
          <w:rFonts w:ascii="Times New Roman" w:hAnsi="Times New Roman"/>
          <w:color w:val="000000"/>
          <w:sz w:val="22"/>
        </w:rPr>
        <w:t xml:space="preserve">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(c) with respect to a </w:t>
      </w:r>
      <w:r>
        <w:rPr>
          <w:rFonts w:ascii="Times New Roman" w:hAnsi="Times New Roman"/>
          <w:i/>
          <w:color w:val="000000"/>
          <w:sz w:val="22"/>
        </w:rPr>
        <w:t>besloten vennootschap met beperkte aansprakelijkheid</w:t>
      </w:r>
      <w:r>
        <w:rPr>
          <w:rFonts w:ascii="Times New Roman" w:hAnsi="Times New Roman"/>
          <w:color w:val="000000"/>
          <w:sz w:val="22"/>
        </w:rPr>
        <w:t>, the deed of incorporation and the articles of association and (d) with respect to any partnership, joint venture, trust or other form of business entity, the partnership, joint venture or other applicable agreement of formation or organization (or equivalent or comparable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documents with respect to any non-U.S. jurisdiction).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Other Connection Taxes”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240" w:after="283"/>
        <w:jc w:val="both"/>
        <w:rPr/>
      </w:pPr>
      <w:r>
        <w:rPr>
          <w:color w:val="000000"/>
        </w:rPr>
        <w:t>“</w:t>
      </w:r>
      <w:r>
        <w:rPr>
          <w:rFonts w:ascii="Times New Roman" w:hAnsi="Times New Roman"/>
          <w:i/>
          <w:color w:val="000000"/>
          <w:sz w:val="22"/>
        </w:rPr>
        <w:t xml:space="preserve">Other Taxes” </w:t>
      </w:r>
      <w:r>
        <w:rPr>
          <w:rFonts w:ascii="Times New Roman" w:hAnsi="Times New Roman"/>
          <w:color w:val="000000"/>
          <w:sz w:val="22"/>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3.06).</w:t>
      </w:r>
    </w:p>
    <w:p>
      <w:pPr>
        <w:pStyle w:val="TextBody"/>
        <w:bidi w:val="0"/>
        <w:spacing w:before="240" w:after="283"/>
        <w:jc w:val="both"/>
        <w:rPr/>
      </w:pPr>
      <w:r>
        <w:rPr>
          <w:color w:val="0000FF"/>
          <w:u w:val="single"/>
        </w:rPr>
        <w:t>“</w:t>
      </w:r>
      <w:r>
        <w:rPr>
          <w:rFonts w:ascii="Times New Roman" w:hAnsi="Times New Roman"/>
          <w:i/>
          <w:color w:val="0000FF"/>
          <w:sz w:val="22"/>
          <w:u w:val="single"/>
        </w:rPr>
        <w:t>Outbound Investment Rules</w:t>
      </w:r>
      <w:r>
        <w:rPr>
          <w:rFonts w:ascii="Times New Roman" w:hAnsi="Times New Roman"/>
          <w:color w:val="0000FF"/>
          <w:sz w:val="20"/>
          <w:u w:val="single"/>
        </w:rPr>
        <w:t xml:space="preserve">” </w:t>
      </w:r>
      <w:r>
        <w:rPr>
          <w:rFonts w:ascii="Times New Roman" w:hAnsi="Times New Roman"/>
          <w:color w:val="0000FF"/>
          <w:sz w:val="22"/>
          <w:u w:val="single"/>
        </w:rPr>
        <w:t>means the regulations administered and enforced, together with any</w:t>
      </w:r>
      <w:r>
        <w:rPr>
          <w:rFonts w:ascii="Times New Roman" w:hAnsi="Times New Roman"/>
          <w:color w:val="0000FF"/>
          <w:sz w:val="20"/>
        </w:rPr>
        <w:t xml:space="preserve"> </w:t>
      </w:r>
      <w:r>
        <w:rPr>
          <w:rFonts w:ascii="Times New Roman" w:hAnsi="Times New Roman"/>
          <w:color w:val="0000FF"/>
          <w:sz w:val="22"/>
          <w:u w:val="single"/>
        </w:rPr>
        <w:t>related public guidance issued, by the United States Treasury Department under U.S. Executive Order</w:t>
      </w:r>
      <w:r>
        <w:rPr>
          <w:rFonts w:ascii="Times New Roman" w:hAnsi="Times New Roman"/>
          <w:color w:val="0000FF"/>
          <w:sz w:val="20"/>
        </w:rPr>
        <w:t xml:space="preserve"> </w:t>
      </w:r>
      <w:r>
        <w:rPr>
          <w:rFonts w:ascii="Times New Roman" w:hAnsi="Times New Roman"/>
          <w:color w:val="0000FF"/>
          <w:sz w:val="22"/>
          <w:u w:val="single"/>
        </w:rPr>
        <w:t>14105 of August 9, 2023, or any similar law or regulation; as of the Closing Date, and as codified at 31 C.F.R. § 850.101 et seq.</w:t>
      </w:r>
    </w:p>
    <w:p>
      <w:pPr>
        <w:pStyle w:val="TextBody"/>
        <w:bidi w:val="0"/>
        <w:spacing w:before="240" w:after="283"/>
        <w:jc w:val="both"/>
        <w:rPr/>
      </w:pPr>
      <w:r>
        <w:rPr>
          <w:color w:val="000000"/>
        </w:rPr>
        <w:t>“</w:t>
      </w:r>
      <w:r>
        <w:rPr>
          <w:rFonts w:ascii="Times New Roman" w:hAnsi="Times New Roman"/>
          <w:i/>
          <w:color w:val="000000"/>
          <w:sz w:val="22"/>
        </w:rPr>
        <w:t xml:space="preserve">Outstanding Amount” </w:t>
      </w:r>
      <w:r>
        <w:rPr>
          <w:rFonts w:ascii="Times New Roman" w:hAnsi="Times New Roman"/>
          <w:color w:val="000000"/>
          <w:sz w:val="22"/>
        </w:rPr>
        <w:t>means (a) with respect to Revolving Credit Loans and Swingline Loans on any date, the Dollar Equivalent amount of the aggregate outstanding principal amount thereof after giving effect to any borrowings and prepayments or repayments of such Revolving Credit Loans and Swingline Loans, as the case may be, occurring on such date, (b) with respect to Incremental Term Loans on any date, the aggregate outstanding principal amount thereof after giving effect to any borrowings and prepayments or repayments of Incremental Term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Unreimbursed Amounts.</w:t>
      </w:r>
    </w:p>
    <w:p>
      <w:pPr>
        <w:pStyle w:val="TextBody"/>
        <w:bidi w:val="0"/>
        <w:spacing w:before="240" w:after="283"/>
        <w:jc w:val="both"/>
        <w:rPr/>
      </w:pPr>
      <w:r>
        <w:rPr>
          <w:color w:val="000000"/>
        </w:rPr>
        <w:t>“</w:t>
      </w:r>
      <w:r>
        <w:rPr>
          <w:rFonts w:ascii="Times New Roman" w:hAnsi="Times New Roman"/>
          <w:i/>
          <w:color w:val="000000"/>
          <w:sz w:val="22"/>
        </w:rPr>
        <w:t xml:space="preserve">Overnight Rate” </w:t>
      </w:r>
      <w:r>
        <w:rPr>
          <w:rFonts w:ascii="Times New Roman" w:hAnsi="Times New Roman"/>
          <w:color w:val="000000"/>
          <w:sz w:val="22"/>
        </w:rPr>
        <w:t>means, for any day, (a) with respect to any amount denominated in Dollars, the greater of (i) the Federal Funds Rate and (ii) an overnight rate determined by the Administrative Agent, the L/C Issuers, or the Swingline Lender, as the case may be, in accordance with banking industry rules on interbank compensation, and (b) with respect to any amount denominated in an Alternative Currency, an overnight rate determined by the Administrative Agent or the Alternative Currency L/C Issuer, as the case may be, in accordance with banking industry rules on interbank compensation.</w:t>
      </w:r>
    </w:p>
    <w:p>
      <w:pPr>
        <w:pStyle w:val="TextBody"/>
        <w:bidi w:val="0"/>
        <w:spacing w:before="240" w:after="283"/>
        <w:jc w:val="both"/>
        <w:rPr/>
      </w:pPr>
      <w:r>
        <w:rPr>
          <w:color w:val="000000"/>
        </w:rPr>
        <w:t>“</w:t>
      </w:r>
      <w:r>
        <w:rPr>
          <w:rFonts w:ascii="Times New Roman" w:hAnsi="Times New Roman"/>
          <w:i/>
          <w:color w:val="000000"/>
          <w:sz w:val="22"/>
        </w:rPr>
        <w:t xml:space="preserve">Participant” </w:t>
      </w:r>
      <w:r>
        <w:rPr>
          <w:rFonts w:ascii="Times New Roman" w:hAnsi="Times New Roman"/>
          <w:color w:val="000000"/>
          <w:sz w:val="22"/>
        </w:rPr>
        <w:t>has the meaning specified in Section 11.06(d).</w:t>
      </w:r>
    </w:p>
    <w:p>
      <w:pPr>
        <w:pStyle w:val="TextBody"/>
        <w:bidi w:val="0"/>
        <w:spacing w:before="240" w:after="283"/>
        <w:jc w:val="both"/>
        <w:rPr/>
      </w:pPr>
      <w:r>
        <w:rPr>
          <w:color w:val="000000"/>
        </w:rPr>
        <w:t>“</w:t>
      </w:r>
      <w:r>
        <w:rPr>
          <w:rFonts w:ascii="Times New Roman" w:hAnsi="Times New Roman"/>
          <w:i/>
          <w:color w:val="000000"/>
          <w:sz w:val="22"/>
        </w:rPr>
        <w:t xml:space="preserve">Participant Register” </w:t>
      </w:r>
      <w:r>
        <w:rPr>
          <w:rFonts w:ascii="Times New Roman" w:hAnsi="Times New Roman"/>
          <w:color w:val="000000"/>
          <w:sz w:val="22"/>
        </w:rPr>
        <w:t>has the meaning specified in Section 11.06(d).</w:t>
      </w:r>
    </w:p>
    <w:p>
      <w:pPr>
        <w:pStyle w:val="TextBody"/>
        <w:bidi w:val="0"/>
        <w:spacing w:before="240" w:after="283"/>
        <w:jc w:val="both"/>
        <w:rPr/>
      </w:pPr>
      <w:r>
        <w:rPr>
          <w:color w:val="000000"/>
        </w:rPr>
        <w:t>“</w:t>
      </w:r>
      <w:r>
        <w:rPr>
          <w:rFonts w:ascii="Times New Roman" w:hAnsi="Times New Roman"/>
          <w:i/>
          <w:color w:val="000000"/>
          <w:sz w:val="22"/>
        </w:rPr>
        <w:t xml:space="preserve">Participating Member State” </w:t>
      </w:r>
      <w:r>
        <w:rPr>
          <w:rFonts w:ascii="Times New Roman" w:hAnsi="Times New Roman"/>
          <w:color w:val="000000"/>
          <w:sz w:val="22"/>
        </w:rPr>
        <w:t>means any member state of the European Union that adopts or has adopted the Euro as its lawful currency in accordance with legislation of the European Union relating to Economic and Monetary Union.</w:t>
      </w:r>
    </w:p>
    <w:p>
      <w:pPr>
        <w:pStyle w:val="TextBody"/>
        <w:bidi w:val="0"/>
        <w:spacing w:before="240" w:after="283"/>
        <w:jc w:val="both"/>
        <w:rPr/>
      </w:pPr>
      <w:r>
        <w:rPr>
          <w:color w:val="000000"/>
        </w:rPr>
        <w:t>“</w:t>
      </w:r>
      <w:r>
        <w:rPr>
          <w:rFonts w:ascii="Times New Roman" w:hAnsi="Times New Roman"/>
          <w:i/>
          <w:color w:val="000000"/>
          <w:sz w:val="22"/>
        </w:rPr>
        <w:t xml:space="preserve">PBGC” </w:t>
      </w:r>
      <w:r>
        <w:rPr>
          <w:rFonts w:ascii="Times New Roman" w:hAnsi="Times New Roman"/>
          <w:color w:val="000000"/>
          <w:sz w:val="22"/>
        </w:rPr>
        <w:t>means the Pension Benefit Guaranty Corporation.</w:t>
      </w:r>
    </w:p>
    <w:p>
      <w:pPr>
        <w:pStyle w:val="TextBody"/>
        <w:bidi w:val="0"/>
        <w:spacing w:before="240" w:after="283"/>
        <w:jc w:val="both"/>
        <w:rPr/>
      </w:pPr>
      <w:r>
        <w:rPr>
          <w:color w:val="000000"/>
        </w:rPr>
        <w:t>“</w:t>
      </w:r>
      <w:r>
        <w:rPr>
          <w:rFonts w:ascii="Times New Roman" w:hAnsi="Times New Roman"/>
          <w:i/>
          <w:color w:val="000000"/>
          <w:sz w:val="22"/>
        </w:rPr>
        <w:t xml:space="preserve">Pension Act” </w:t>
      </w:r>
      <w:r>
        <w:rPr>
          <w:rFonts w:ascii="Times New Roman" w:hAnsi="Times New Roman"/>
          <w:color w:val="000000"/>
          <w:sz w:val="22"/>
        </w:rPr>
        <w:t>means the Pension Protection Act of 2006.</w:t>
      </w:r>
    </w:p>
    <w:p>
      <w:pPr>
        <w:pStyle w:val="TextBody"/>
        <w:bidi w:val="0"/>
        <w:spacing w:before="240" w:after="283"/>
        <w:jc w:val="both"/>
        <w:rPr/>
      </w:pPr>
      <w:r>
        <w:rPr>
          <w:color w:val="000000"/>
        </w:rPr>
        <w:t>“</w:t>
      </w:r>
      <w:r>
        <w:rPr>
          <w:rFonts w:ascii="Times New Roman" w:hAnsi="Times New Roman"/>
          <w:i/>
          <w:color w:val="000000"/>
          <w:sz w:val="22"/>
        </w:rPr>
        <w:t xml:space="preserve">Pension Funding Rules” </w:t>
      </w:r>
      <w:r>
        <w:rPr>
          <w:rFonts w:ascii="Times New Roman" w:hAnsi="Times New Roman"/>
          <w:color w:val="000000"/>
          <w:sz w:val="22"/>
        </w:rPr>
        <w:t>means the rules of the Code and ERISA regarding minimum required contributions (including any installment payment thereof) to Pension Plans and Multiemployer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Pension Plan” </w:t>
      </w:r>
      <w:r>
        <w:rPr>
          <w:rFonts w:ascii="Times New Roman" w:hAnsi="Times New Roman"/>
          <w:color w:val="000000"/>
          <w:sz w:val="22"/>
        </w:rPr>
        <w:t>means any employee pension benefit plan (other than a Multiemployer Plan) that is maintained or is contributed to by the Domestic Borrower and any ERISA Affiliate and is either covered by Title IV of ERISA or is subject to the minimum funding standards under Section 412 of the Code.</w:t>
      </w:r>
    </w:p>
    <w:p>
      <w:pPr>
        <w:pStyle w:val="TextBody"/>
        <w:bidi w:val="0"/>
        <w:spacing w:before="240" w:after="283"/>
        <w:jc w:val="both"/>
        <w:rPr/>
      </w:pPr>
      <w:r>
        <w:rPr>
          <w:color w:val="000000"/>
        </w:rPr>
        <w:t>“</w:t>
      </w:r>
      <w:r>
        <w:rPr>
          <w:rFonts w:ascii="Times New Roman" w:hAnsi="Times New Roman"/>
          <w:i/>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means the purchase or other acquisition of all of the Equity Interests in, or all or substantially all of the property of, any Person that, upon the consummation thereof, will be wholly-owned directly by the Domestic Borrower or one or more of its wholly-owned Subsidiaries (including as a result of a merger or consolidation), in each case by a Loan Party in accordance with Section 7.03(g).</w:t>
      </w:r>
    </w:p>
    <w:p>
      <w:pPr>
        <w:pStyle w:val="TextBody"/>
        <w:bidi w:val="0"/>
        <w:spacing w:before="240" w:after="283"/>
        <w:jc w:val="both"/>
        <w:rPr/>
      </w:pPr>
      <w:r>
        <w:rPr>
          <w:color w:val="0000FF"/>
          <w:u w:val="single"/>
        </w:rPr>
        <w:t>“</w:t>
      </w:r>
      <w:r>
        <w:rPr>
          <w:rFonts w:ascii="Times New Roman" w:hAnsi="Times New Roman"/>
          <w:i/>
          <w:color w:val="0000FF"/>
          <w:sz w:val="22"/>
          <w:u w:val="single"/>
        </w:rPr>
        <w:t>Permitted Bond Hedge Transaction</w:t>
      </w:r>
      <w:r>
        <w:rPr>
          <w:rFonts w:ascii="Times New Roman" w:hAnsi="Times New Roman"/>
          <w:color w:val="0000FF"/>
          <w:sz w:val="20"/>
          <w:u w:val="single"/>
        </w:rPr>
        <w:t xml:space="preserve">” </w:t>
      </w:r>
      <w:r>
        <w:rPr>
          <w:rFonts w:ascii="Times New Roman" w:hAnsi="Times New Roman"/>
          <w:color w:val="0000FF"/>
          <w:sz w:val="22"/>
          <w:u w:val="single"/>
        </w:rPr>
        <w:t>means any call or capped call option (or substantively</w:t>
      </w:r>
      <w:r>
        <w:rPr>
          <w:rFonts w:ascii="Times New Roman" w:hAnsi="Times New Roman"/>
          <w:color w:val="0000FF"/>
          <w:sz w:val="20"/>
        </w:rPr>
        <w:t xml:space="preserve"> </w:t>
      </w:r>
      <w:r>
        <w:rPr>
          <w:rFonts w:ascii="Times New Roman" w:hAnsi="Times New Roman"/>
          <w:color w:val="0000FF"/>
          <w:sz w:val="22"/>
          <w:u w:val="single"/>
        </w:rPr>
        <w:t>equivalent derivative transaction) relating to the Domestic Borrower’s common stock (or other securities or</w:t>
      </w:r>
      <w:r>
        <w:rPr>
          <w:rFonts w:ascii="Times New Roman" w:hAnsi="Times New Roman"/>
          <w:color w:val="0000FF"/>
          <w:sz w:val="20"/>
        </w:rPr>
        <w:t xml:space="preserve"> </w:t>
      </w:r>
      <w:r>
        <w:rPr>
          <w:rFonts w:ascii="Times New Roman" w:hAnsi="Times New Roman"/>
          <w:color w:val="0000FF"/>
          <w:sz w:val="22"/>
          <w:u w:val="single"/>
        </w:rPr>
        <w:t>property following a merger event or other change of the common stock of the Domestic Borrower)</w:t>
      </w:r>
      <w:r>
        <w:rPr>
          <w:rFonts w:ascii="Times New Roman" w:hAnsi="Times New Roman"/>
          <w:color w:val="0000FF"/>
          <w:sz w:val="20"/>
        </w:rPr>
        <w:t xml:space="preserve"> </w:t>
      </w:r>
      <w:r>
        <w:rPr>
          <w:rFonts w:ascii="Times New Roman" w:hAnsi="Times New Roman"/>
          <w:color w:val="0000FF"/>
          <w:sz w:val="22"/>
          <w:u w:val="single"/>
        </w:rPr>
        <w:t>purchased by the Domestic Borrower in connection with the issuance of any Permitted Convertible</w:t>
      </w:r>
      <w:r>
        <w:rPr>
          <w:rFonts w:ascii="Times New Roman" w:hAnsi="Times New Roman"/>
          <w:color w:val="0000FF"/>
          <w:sz w:val="20"/>
        </w:rPr>
        <w:t xml:space="preserve"> </w:t>
      </w:r>
      <w:r>
        <w:rPr>
          <w:rFonts w:ascii="Times New Roman" w:hAnsi="Times New Roman"/>
          <w:color w:val="0000FF"/>
          <w:sz w:val="22"/>
          <w:u w:val="single"/>
        </w:rPr>
        <w:t>Indebtedness; provided that the purchase price for such Permitted Bond Hedge Transaction, less the</w:t>
      </w:r>
      <w:r>
        <w:rPr>
          <w:rFonts w:ascii="Times New Roman" w:hAnsi="Times New Roman"/>
          <w:color w:val="0000FF"/>
          <w:sz w:val="20"/>
        </w:rPr>
        <w:t xml:space="preserve"> </w:t>
      </w:r>
      <w:r>
        <w:rPr>
          <w:rFonts w:ascii="Times New Roman" w:hAnsi="Times New Roman"/>
          <w:color w:val="0000FF"/>
          <w:sz w:val="22"/>
          <w:u w:val="single"/>
        </w:rPr>
        <w:t>proceeds received by the Domestic Borrower from the sale of any related Permitted Warrant Transaction,</w:t>
      </w:r>
      <w:r>
        <w:rPr>
          <w:rFonts w:ascii="Times New Roman" w:hAnsi="Times New Roman"/>
          <w:color w:val="0000FF"/>
          <w:sz w:val="20"/>
        </w:rPr>
        <w:t xml:space="preserve"> </w:t>
      </w:r>
      <w:r>
        <w:rPr>
          <w:rFonts w:ascii="Times New Roman" w:hAnsi="Times New Roman"/>
          <w:color w:val="0000FF"/>
          <w:sz w:val="22"/>
          <w:u w:val="single"/>
        </w:rPr>
        <w:t>does not exceed the net proceeds received by the Domestic Borrower from the issuance of such Permitted Convertible Indebtedness in connection with such Permitted Bond Hedge Transaction.</w:t>
      </w:r>
    </w:p>
    <w:p>
      <w:pPr>
        <w:pStyle w:val="TextBody"/>
        <w:bidi w:val="0"/>
        <w:spacing w:before="240" w:after="283"/>
        <w:jc w:val="both"/>
        <w:rPr/>
      </w:pPr>
      <w:r>
        <w:rPr>
          <w:color w:val="0000FF"/>
          <w:u w:val="single"/>
        </w:rPr>
        <w:t>“</w:t>
      </w:r>
      <w:r>
        <w:rPr>
          <w:rFonts w:ascii="Times New Roman" w:hAnsi="Times New Roman"/>
          <w:i/>
          <w:color w:val="0000FF"/>
          <w:sz w:val="22"/>
          <w:u w:val="single"/>
        </w:rPr>
        <w:t>Permitted Convertible Indebtedness</w:t>
      </w:r>
      <w:r>
        <w:rPr>
          <w:rFonts w:ascii="Times New Roman" w:hAnsi="Times New Roman"/>
          <w:color w:val="0000FF"/>
          <w:sz w:val="20"/>
          <w:u w:val="single"/>
        </w:rPr>
        <w:t xml:space="preserve">” </w:t>
      </w:r>
      <w:r>
        <w:rPr>
          <w:rFonts w:ascii="Times New Roman" w:hAnsi="Times New Roman"/>
          <w:color w:val="0000FF"/>
          <w:sz w:val="22"/>
          <w:u w:val="single"/>
        </w:rPr>
        <w:t>means unsecured notes issued by the Domestic Borrower</w:t>
      </w:r>
      <w:r>
        <w:rPr>
          <w:rFonts w:ascii="Times New Roman" w:hAnsi="Times New Roman"/>
          <w:color w:val="0000FF"/>
          <w:sz w:val="20"/>
        </w:rPr>
        <w:t xml:space="preserve"> </w:t>
      </w:r>
      <w:r>
        <w:rPr>
          <w:rFonts w:ascii="Times New Roman" w:hAnsi="Times New Roman"/>
          <w:color w:val="0000FF"/>
          <w:sz w:val="22"/>
          <w:u w:val="single"/>
        </w:rPr>
        <w:t>that are convertible into a fixed number (subject to customary anti-dilution adjustments, “make-whole”</w:t>
      </w:r>
      <w:r>
        <w:rPr>
          <w:rFonts w:ascii="Times New Roman" w:hAnsi="Times New Roman"/>
          <w:color w:val="0000FF"/>
          <w:sz w:val="20"/>
        </w:rPr>
        <w:t xml:space="preserve"> </w:t>
      </w:r>
      <w:r>
        <w:rPr>
          <w:rFonts w:ascii="Times New Roman" w:hAnsi="Times New Roman"/>
          <w:color w:val="0000FF"/>
          <w:sz w:val="22"/>
          <w:u w:val="single"/>
        </w:rPr>
        <w:t>increases and other customary changes thereto) of shares of common stock of the Domestic Borrower (or</w:t>
      </w:r>
      <w:r>
        <w:rPr>
          <w:rFonts w:ascii="Times New Roman" w:hAnsi="Times New Roman"/>
          <w:color w:val="0000FF"/>
          <w:sz w:val="20"/>
        </w:rPr>
        <w:t xml:space="preserve"> </w:t>
      </w:r>
      <w:r>
        <w:rPr>
          <w:rFonts w:ascii="Times New Roman" w:hAnsi="Times New Roman"/>
          <w:color w:val="0000FF"/>
          <w:sz w:val="22"/>
          <w:u w:val="single"/>
        </w:rPr>
        <w:t>other securities or property following a merger event or other change of the common stock of the Domestic</w:t>
      </w:r>
      <w:r>
        <w:rPr>
          <w:rFonts w:ascii="Times New Roman" w:hAnsi="Times New Roman"/>
          <w:color w:val="0000FF"/>
          <w:sz w:val="20"/>
        </w:rPr>
        <w:t xml:space="preserve"> </w:t>
      </w:r>
      <w:r>
        <w:rPr>
          <w:rFonts w:ascii="Times New Roman" w:hAnsi="Times New Roman"/>
          <w:color w:val="0000FF"/>
          <w:sz w:val="22"/>
          <w:u w:val="single"/>
        </w:rPr>
        <w:t>Borrower), cash or any combination thereof (with the amount of such cash or such combination determined</w:t>
      </w:r>
      <w:r>
        <w:rPr>
          <w:rFonts w:ascii="Times New Roman" w:hAnsi="Times New Roman"/>
          <w:color w:val="0000FF"/>
          <w:sz w:val="20"/>
        </w:rPr>
        <w:t xml:space="preserve"> </w:t>
      </w:r>
      <w:r>
        <w:rPr>
          <w:rFonts w:ascii="Times New Roman" w:hAnsi="Times New Roman"/>
          <w:color w:val="0000FF"/>
          <w:sz w:val="22"/>
          <w:u w:val="single"/>
        </w:rPr>
        <w:t xml:space="preserve">by reference to the market price of such common stock or such other securities); </w:t>
      </w:r>
      <w:r>
        <w:rPr>
          <w:rFonts w:ascii="Times New Roman" w:hAnsi="Times New Roman"/>
          <w:i/>
          <w:color w:val="0000FF"/>
          <w:sz w:val="22"/>
          <w:u w:val="single"/>
        </w:rPr>
        <w:t xml:space="preserve">provided </w:t>
      </w:r>
      <w:r>
        <w:rPr>
          <w:rFonts w:ascii="Times New Roman" w:hAnsi="Times New Roman"/>
          <w:color w:val="0000FF"/>
          <w:sz w:val="22"/>
          <w:u w:val="single"/>
        </w:rPr>
        <w:t>that, the</w:t>
      </w:r>
      <w:r>
        <w:rPr>
          <w:rFonts w:ascii="Times New Roman" w:hAnsi="Times New Roman"/>
          <w:color w:val="0000FF"/>
          <w:sz w:val="20"/>
        </w:rPr>
        <w:t xml:space="preserve"> </w:t>
      </w:r>
      <w:r>
        <w:rPr>
          <w:rFonts w:ascii="Times New Roman" w:hAnsi="Times New Roman"/>
          <w:color w:val="0000FF"/>
          <w:sz w:val="22"/>
          <w:u w:val="single"/>
        </w:rPr>
        <w:t>Indebtedness thereunder must satisfy each of the following conditions: (a) such Indebtedness is not</w:t>
      </w:r>
      <w:r>
        <w:rPr>
          <w:rFonts w:ascii="Times New Roman" w:hAnsi="Times New Roman"/>
          <w:color w:val="0000FF"/>
          <w:sz w:val="20"/>
        </w:rPr>
        <w:t xml:space="preserve"> </w:t>
      </w:r>
      <w:r>
        <w:rPr>
          <w:rFonts w:ascii="Times New Roman" w:hAnsi="Times New Roman"/>
          <w:color w:val="0000FF"/>
          <w:sz w:val="22"/>
          <w:u w:val="single"/>
        </w:rPr>
        <w:t>guaranteed by any Subsidiary of the Domestic Borrower, (b) such Indebtedness is unsecured, (c) both</w:t>
      </w:r>
      <w:r>
        <w:rPr>
          <w:rFonts w:ascii="Times New Roman" w:hAnsi="Times New Roman"/>
          <w:color w:val="0000FF"/>
          <w:sz w:val="20"/>
        </w:rPr>
        <w:t xml:space="preserve"> </w:t>
      </w:r>
      <w:r>
        <w:rPr>
          <w:rFonts w:ascii="Times New Roman" w:hAnsi="Times New Roman"/>
          <w:color w:val="0000FF"/>
          <w:sz w:val="22"/>
          <w:u w:val="single"/>
        </w:rPr>
        <w:t>immediately prior to and after giving effect thereto, no Default or Event of Default shall exist or would</w:t>
      </w:r>
      <w:r>
        <w:rPr>
          <w:rFonts w:ascii="Times New Roman" w:hAnsi="Times New Roman"/>
          <w:color w:val="0000FF"/>
          <w:sz w:val="20"/>
        </w:rPr>
        <w:t xml:space="preserve"> </w:t>
      </w:r>
      <w:r>
        <w:rPr>
          <w:rFonts w:ascii="Times New Roman" w:hAnsi="Times New Roman"/>
          <w:color w:val="0000FF"/>
          <w:sz w:val="22"/>
          <w:u w:val="single"/>
        </w:rPr>
        <w:t>result therefrom, (d) the Borrowers and their respective Subsidiaries shall be in pro forma compliance with</w:t>
      </w:r>
      <w:r>
        <w:rPr>
          <w:rFonts w:ascii="Times New Roman" w:hAnsi="Times New Roman"/>
          <w:color w:val="0000FF"/>
          <w:sz w:val="20"/>
        </w:rPr>
        <w:t xml:space="preserve"> </w:t>
      </w:r>
      <w:r>
        <w:rPr>
          <w:rFonts w:ascii="Times New Roman" w:hAnsi="Times New Roman"/>
          <w:color w:val="0000FF"/>
          <w:sz w:val="22"/>
          <w:u w:val="single"/>
        </w:rPr>
        <w:t>all of the covenants set forth in Section 7.11, such compliance to be determined on the basis of the financial</w:t>
      </w:r>
      <w:r>
        <w:rPr>
          <w:rFonts w:ascii="Times New Roman" w:hAnsi="Times New Roman"/>
          <w:color w:val="0000FF"/>
          <w:sz w:val="20"/>
        </w:rPr>
        <w:t xml:space="preserve"> </w:t>
      </w:r>
      <w:r>
        <w:rPr>
          <w:rFonts w:ascii="Times New Roman" w:hAnsi="Times New Roman"/>
          <w:color w:val="0000FF"/>
          <w:sz w:val="22"/>
          <w:u w:val="single"/>
        </w:rPr>
        <w:t>information most recently delivered to the Administrative Agent and the Lenders pursuant to Section</w:t>
      </w:r>
      <w:r>
        <w:rPr>
          <w:rFonts w:ascii="Times New Roman" w:hAnsi="Times New Roman"/>
          <w:color w:val="0000FF"/>
          <w:sz w:val="20"/>
        </w:rPr>
        <w:t xml:space="preserve"> </w:t>
      </w:r>
      <w:r>
        <w:rPr>
          <w:rFonts w:ascii="Times New Roman" w:hAnsi="Times New Roman"/>
          <w:color w:val="0000FF"/>
          <w:sz w:val="22"/>
          <w:u w:val="single"/>
        </w:rPr>
        <w:t>6.01(a) or (b), after giving effect to the issuance of such Indebtedness, (e) such Indebtedness does not</w:t>
      </w:r>
      <w:r>
        <w:rPr>
          <w:rFonts w:ascii="Times New Roman" w:hAnsi="Times New Roman"/>
          <w:color w:val="0000FF"/>
          <w:sz w:val="20"/>
        </w:rPr>
        <w:t xml:space="preserve"> </w:t>
      </w:r>
      <w:r>
        <w:rPr>
          <w:rFonts w:ascii="Times New Roman" w:hAnsi="Times New Roman"/>
          <w:color w:val="0000FF"/>
          <w:sz w:val="22"/>
          <w:u w:val="single"/>
        </w:rPr>
        <w:t>require any scheduled amortization or other scheduled payments of principal prior to the date that is 91 days</w:t>
      </w:r>
      <w:r>
        <w:rPr>
          <w:rFonts w:ascii="Times New Roman" w:hAnsi="Times New Roman"/>
          <w:color w:val="0000FF"/>
          <w:sz w:val="20"/>
        </w:rPr>
        <w:t xml:space="preserve"> </w:t>
      </w:r>
      <w:r>
        <w:rPr>
          <w:rFonts w:ascii="Times New Roman" w:hAnsi="Times New Roman"/>
          <w:color w:val="0000FF"/>
          <w:sz w:val="22"/>
          <w:u w:val="single"/>
        </w:rPr>
        <w:t>after the Maturity Date (other than the scheduled maturity in full of such Permitted Convertible</w:t>
      </w:r>
      <w:r>
        <w:rPr>
          <w:rFonts w:ascii="Times New Roman" w:hAnsi="Times New Roman"/>
          <w:color w:val="0000FF"/>
          <w:sz w:val="20"/>
        </w:rPr>
        <w:t xml:space="preserve"> </w:t>
      </w:r>
      <w:r>
        <w:rPr>
          <w:rFonts w:ascii="Times New Roman" w:hAnsi="Times New Roman"/>
          <w:color w:val="0000FF"/>
          <w:sz w:val="22"/>
          <w:u w:val="single"/>
        </w:rPr>
        <w:t>Indebtedness, which is subject to the terms of the definition of “Maturity Date” set forth herein), and (f) the</w:t>
      </w:r>
      <w:r>
        <w:rPr>
          <w:rFonts w:ascii="Times New Roman" w:hAnsi="Times New Roman"/>
          <w:color w:val="0000FF"/>
          <w:sz w:val="20"/>
        </w:rPr>
        <w:t xml:space="preserve"> </w:t>
      </w:r>
      <w:r>
        <w:rPr>
          <w:rFonts w:ascii="Times New Roman" w:hAnsi="Times New Roman"/>
          <w:color w:val="0000FF"/>
          <w:sz w:val="22"/>
          <w:u w:val="single"/>
        </w:rPr>
        <w:t>terms, conditions and covenants of such Indebtedness must be customary for convertible Indebtedness of</w:t>
      </w:r>
      <w:r>
        <w:rPr>
          <w:rFonts w:ascii="Times New Roman" w:hAnsi="Times New Roman"/>
          <w:color w:val="0000FF"/>
          <w:sz w:val="20"/>
        </w:rPr>
        <w:t xml:space="preserve"> </w:t>
      </w:r>
      <w:r>
        <w:rPr>
          <w:rFonts w:ascii="Times New Roman" w:hAnsi="Times New Roman"/>
          <w:color w:val="0000FF"/>
          <w:sz w:val="22"/>
          <w:u w:val="single"/>
        </w:rPr>
        <w:t>such type (as determined by the board of directors of the Domestic Borrower, or a committee thereof, in</w:t>
      </w:r>
      <w:r>
        <w:rPr>
          <w:rFonts w:ascii="Times New Roman" w:hAnsi="Times New Roman"/>
          <w:color w:val="0000FF"/>
          <w:sz w:val="20"/>
        </w:rPr>
        <w:t xml:space="preserve"> </w:t>
      </w:r>
      <w:r>
        <w:rPr>
          <w:rFonts w:ascii="Times New Roman" w:hAnsi="Times New Roman"/>
          <w:color w:val="0000FF"/>
          <w:sz w:val="22"/>
          <w:u w:val="single"/>
        </w:rPr>
        <w:t>good faith).</w:t>
      </w:r>
    </w:p>
    <w:p>
      <w:pPr>
        <w:pStyle w:val="TextBody"/>
        <w:bidi w:val="0"/>
        <w:spacing w:before="240" w:after="283"/>
        <w:jc w:val="both"/>
        <w:rPr/>
      </w:pPr>
      <w:r>
        <w:rPr>
          <w:color w:val="000000"/>
        </w:rPr>
        <w:t>“</w:t>
      </w:r>
      <w:r>
        <w:rPr>
          <w:rFonts w:ascii="Times New Roman" w:hAnsi="Times New Roman"/>
          <w:i/>
          <w:color w:val="000000"/>
          <w:sz w:val="22"/>
        </w:rPr>
        <w:t xml:space="preserve">Permitted Liens” </w:t>
      </w:r>
      <w:r>
        <w:rPr>
          <w:rFonts w:ascii="Times New Roman" w:hAnsi="Times New Roman"/>
          <w:color w:val="000000"/>
          <w:sz w:val="22"/>
        </w:rPr>
        <w:t>has the meaning set forth in Section 7.01.</w:t>
      </w:r>
    </w:p>
    <w:p>
      <w:pPr>
        <w:pStyle w:val="TextBody"/>
        <w:bidi w:val="0"/>
        <w:spacing w:before="240" w:after="283"/>
        <w:jc w:val="both"/>
        <w:rPr/>
      </w:pPr>
      <w:r>
        <w:rPr>
          <w:color w:val="000000"/>
        </w:rPr>
        <w:t>“</w:t>
      </w:r>
      <w:r>
        <w:rPr>
          <w:rFonts w:ascii="Times New Roman" w:hAnsi="Times New Roman"/>
          <w:i/>
          <w:color w:val="000000"/>
          <w:sz w:val="22"/>
        </w:rPr>
        <w:t>Permitted Receivables Facility</w:t>
      </w:r>
      <w:r>
        <w:rPr>
          <w:rFonts w:ascii="Times New Roman" w:hAnsi="Times New Roman"/>
          <w:color w:val="000000"/>
          <w:sz w:val="20"/>
        </w:rPr>
        <w:t xml:space="preserve">” </w:t>
      </w:r>
      <w:r>
        <w:rPr>
          <w:rFonts w:ascii="Times New Roman" w:hAnsi="Times New Roman"/>
          <w:color w:val="000000"/>
          <w:sz w:val="22"/>
        </w:rPr>
        <w:t xml:space="preserve">means, with respect to Diodes Taiwan SARL or any Subsidiary of the Domestic Borrower organized under the laws of a jurisdiction in Asia, any factoring or accounts receivables financing facilities of Diodes Taiwan SARL or such Subsidiary, as applicable; </w:t>
      </w:r>
      <w:r>
        <w:rPr>
          <w:rFonts w:ascii="Times New Roman" w:hAnsi="Times New Roman"/>
          <w:i/>
          <w:color w:val="000000"/>
          <w:sz w:val="22"/>
        </w:rPr>
        <w:t xml:space="preserve">provided </w:t>
      </w:r>
      <w:r>
        <w:rPr>
          <w:rFonts w:ascii="Times New Roman" w:hAnsi="Times New Roman"/>
          <w:color w:val="000000"/>
          <w:sz w:val="22"/>
        </w:rPr>
        <w:t>that no portion of the indebtedness or any other obligations (contingent or otherwise) under such Permitted Receivables Facility (</w:t>
      </w:r>
      <w:r>
        <w:rPr>
          <w:rFonts w:ascii="Times New Roman" w:hAnsi="Times New Roman"/>
          <w:color w:val="FF0000"/>
          <w:sz w:val="22"/>
        </w:rPr>
        <w:t>i</w:t>
      </w:r>
      <w:r>
        <w:rPr>
          <w:rFonts w:ascii="Times New Roman" w:hAnsi="Times New Roman"/>
          <w:color w:val="0000FF"/>
          <w:sz w:val="22"/>
          <w:u w:val="single"/>
        </w:rPr>
        <w:t>a</w:t>
      </w:r>
      <w:r>
        <w:rPr>
          <w:rFonts w:ascii="Times New Roman" w:hAnsi="Times New Roman"/>
          <w:color w:val="000000"/>
          <w:sz w:val="22"/>
        </w:rPr>
        <w:t>) shall be guaranteed by any Borrower or any Subsidiary of a Borrower, (</w:t>
      </w:r>
      <w:r>
        <w:rPr>
          <w:rFonts w:ascii="Times New Roman" w:hAnsi="Times New Roman"/>
          <w:strike/>
          <w:color w:val="FF0000"/>
          <w:sz w:val="22"/>
        </w:rPr>
        <w:t>ii</w:t>
      </w:r>
      <w:r>
        <w:rPr>
          <w:rFonts w:ascii="Times New Roman" w:hAnsi="Times New Roman"/>
          <w:color w:val="0000FF"/>
          <w:sz w:val="22"/>
          <w:u w:val="single"/>
        </w:rPr>
        <w:t>b</w:t>
      </w:r>
      <w:r>
        <w:rPr>
          <w:rFonts w:ascii="Times New Roman" w:hAnsi="Times New Roman"/>
          <w:color w:val="000000"/>
          <w:sz w:val="22"/>
        </w:rPr>
        <w:t>) shall be recourse to or obligate any Borrower or any Subsidiary of a Borrower (other than the Subsidiary having entered into such Permitted Receivables Facility) in any way or (</w:t>
      </w:r>
      <w:r>
        <w:rPr>
          <w:rFonts w:ascii="Times New Roman" w:hAnsi="Times New Roman"/>
          <w:strike/>
          <w:color w:val="FF0000"/>
          <w:sz w:val="22"/>
        </w:rPr>
        <w:t>iii</w:t>
      </w:r>
      <w:r>
        <w:rPr>
          <w:rFonts w:ascii="Times New Roman" w:hAnsi="Times New Roman"/>
          <w:color w:val="0000FF"/>
          <w:sz w:val="22"/>
          <w:u w:val="single"/>
        </w:rPr>
        <w:t>c</w:t>
      </w:r>
      <w:r>
        <w:rPr>
          <w:rFonts w:ascii="Times New Roman" w:hAnsi="Times New Roman"/>
          <w:color w:val="000000"/>
          <w:sz w:val="22"/>
        </w:rPr>
        <w:t>) shall subject any property or asset of any Borrower or any Subsidiary of a Borrower (other than the Subsidiary having entered into such Permitted Receivables Facility), directly or indirectly, contingently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otherwise, to the satisfaction thereof, other than, in the case of each of clauses (</w:t>
      </w:r>
      <w:r>
        <w:rPr>
          <w:rFonts w:ascii="Times New Roman" w:hAnsi="Times New Roman"/>
          <w:color w:val="FF0000"/>
          <w:sz w:val="22"/>
        </w:rPr>
        <w:t>i</w:t>
      </w:r>
      <w:r>
        <w:rPr>
          <w:rFonts w:ascii="Times New Roman" w:hAnsi="Times New Roman"/>
          <w:color w:val="0000FF"/>
          <w:sz w:val="22"/>
          <w:u w:val="single"/>
        </w:rPr>
        <w:t>a</w:t>
      </w:r>
      <w:r>
        <w:rPr>
          <w:rFonts w:ascii="Times New Roman" w:hAnsi="Times New Roman"/>
          <w:color w:val="000000"/>
          <w:sz w:val="22"/>
        </w:rPr>
        <w:t>), (</w:t>
      </w:r>
      <w:r>
        <w:rPr>
          <w:rFonts w:ascii="Times New Roman" w:hAnsi="Times New Roman"/>
          <w:strike/>
          <w:color w:val="FF0000"/>
          <w:sz w:val="22"/>
        </w:rPr>
        <w:t>ii</w:t>
      </w:r>
      <w:r>
        <w:rPr>
          <w:rFonts w:ascii="Times New Roman" w:hAnsi="Times New Roman"/>
          <w:color w:val="0000FF"/>
          <w:sz w:val="22"/>
          <w:u w:val="single"/>
        </w:rPr>
        <w:t>b</w:t>
      </w:r>
      <w:r>
        <w:rPr>
          <w:rFonts w:ascii="Times New Roman" w:hAnsi="Times New Roman"/>
          <w:color w:val="000000"/>
          <w:sz w:val="22"/>
        </w:rPr>
        <w:t>) and (</w:t>
      </w:r>
      <w:r>
        <w:rPr>
          <w:rFonts w:ascii="Times New Roman" w:hAnsi="Times New Roman"/>
          <w:strike/>
          <w:color w:val="FF0000"/>
          <w:sz w:val="22"/>
        </w:rPr>
        <w:t>iii</w:t>
      </w:r>
      <w:r>
        <w:rPr>
          <w:rFonts w:ascii="Times New Roman" w:hAnsi="Times New Roman"/>
          <w:color w:val="0000FF"/>
          <w:sz w:val="22"/>
          <w:u w:val="single"/>
        </w:rPr>
        <w:t>c</w:t>
      </w:r>
      <w:r>
        <w:rPr>
          <w:rFonts w:ascii="Times New Roman" w:hAnsi="Times New Roman"/>
          <w:color w:val="000000"/>
          <w:sz w:val="22"/>
        </w:rPr>
        <w:t>), a Guarantee given by the Domestic Borrower as permitted under Section 7.02(e)(ii).</w:t>
      </w:r>
    </w:p>
    <w:p>
      <w:pPr>
        <w:pStyle w:val="TextBody"/>
        <w:bidi w:val="0"/>
        <w:spacing w:before="240" w:after="283"/>
        <w:jc w:val="both"/>
        <w:rPr/>
      </w:pPr>
      <w:r>
        <w:rPr>
          <w:color w:val="0000FF"/>
          <w:u w:val="single"/>
        </w:rPr>
        <w:t>“</w:t>
      </w:r>
      <w:r>
        <w:rPr>
          <w:rFonts w:ascii="Times New Roman" w:hAnsi="Times New Roman"/>
          <w:i/>
          <w:color w:val="0000FF"/>
          <w:sz w:val="22"/>
          <w:u w:val="single"/>
        </w:rPr>
        <w:t>Permitted Warrant Transaction</w:t>
      </w:r>
      <w:r>
        <w:rPr>
          <w:rFonts w:ascii="Times New Roman" w:hAnsi="Times New Roman"/>
          <w:color w:val="0000FF"/>
          <w:sz w:val="20"/>
          <w:u w:val="single"/>
        </w:rPr>
        <w:t xml:space="preserve">” </w:t>
      </w:r>
      <w:r>
        <w:rPr>
          <w:rFonts w:ascii="Times New Roman" w:hAnsi="Times New Roman"/>
          <w:color w:val="0000FF"/>
          <w:sz w:val="22"/>
          <w:u w:val="single"/>
        </w:rPr>
        <w:t>means any call option, warrant or right to purchase (or</w:t>
      </w:r>
      <w:r>
        <w:rPr>
          <w:rFonts w:ascii="Times New Roman" w:hAnsi="Times New Roman"/>
          <w:color w:val="0000FF"/>
          <w:sz w:val="20"/>
        </w:rPr>
        <w:t xml:space="preserve"> </w:t>
      </w:r>
      <w:r>
        <w:rPr>
          <w:rFonts w:ascii="Times New Roman" w:hAnsi="Times New Roman"/>
          <w:color w:val="0000FF"/>
          <w:sz w:val="22"/>
          <w:u w:val="single"/>
        </w:rPr>
        <w:t>substantively equivalent derivative transaction) relating to the Domestic Borrower’s common stock (or</w:t>
      </w:r>
      <w:r>
        <w:rPr>
          <w:rFonts w:ascii="Times New Roman" w:hAnsi="Times New Roman"/>
          <w:color w:val="0000FF"/>
          <w:sz w:val="20"/>
        </w:rPr>
        <w:t xml:space="preserve"> </w:t>
      </w:r>
      <w:r>
        <w:rPr>
          <w:rFonts w:ascii="Times New Roman" w:hAnsi="Times New Roman"/>
          <w:color w:val="0000FF"/>
          <w:sz w:val="22"/>
          <w:u w:val="single"/>
        </w:rPr>
        <w:t>other securities or property following a merger event or other change of the common stock of the Domestic</w:t>
      </w:r>
      <w:r>
        <w:rPr>
          <w:rFonts w:ascii="Times New Roman" w:hAnsi="Times New Roman"/>
          <w:color w:val="0000FF"/>
          <w:sz w:val="20"/>
        </w:rPr>
        <w:t xml:space="preserve"> </w:t>
      </w:r>
      <w:r>
        <w:rPr>
          <w:rFonts w:ascii="Times New Roman" w:hAnsi="Times New Roman"/>
          <w:color w:val="0000FF"/>
          <w:sz w:val="22"/>
          <w:u w:val="single"/>
        </w:rPr>
        <w:t>Borrower) and/or cash (in an amount determined by reference to the price of such common stock) sold by</w:t>
      </w:r>
      <w:r>
        <w:rPr>
          <w:rFonts w:ascii="Times New Roman" w:hAnsi="Times New Roman"/>
          <w:color w:val="0000FF"/>
          <w:sz w:val="20"/>
        </w:rPr>
        <w:t xml:space="preserve"> </w:t>
      </w:r>
      <w:r>
        <w:rPr>
          <w:rFonts w:ascii="Times New Roman" w:hAnsi="Times New Roman"/>
          <w:color w:val="0000FF"/>
          <w:sz w:val="22"/>
          <w:u w:val="single"/>
        </w:rPr>
        <w:t>the Domestic Borrower substantially concurrently with any purchase by the Domestic Borrower of a related</w:t>
      </w:r>
      <w:r>
        <w:rPr>
          <w:rFonts w:ascii="Times New Roman" w:hAnsi="Times New Roman"/>
          <w:color w:val="0000FF"/>
          <w:sz w:val="20"/>
        </w:rPr>
        <w:t xml:space="preserve"> </w:t>
      </w:r>
      <w:r>
        <w:rPr>
          <w:rFonts w:ascii="Times New Roman" w:hAnsi="Times New Roman"/>
          <w:color w:val="0000FF"/>
          <w:sz w:val="22"/>
          <w:u w:val="single"/>
        </w:rPr>
        <w:t>Permitted Bond Hedge Transaction.</w:t>
      </w:r>
    </w:p>
    <w:p>
      <w:pPr>
        <w:pStyle w:val="TextBody"/>
        <w:bidi w:val="0"/>
        <w:spacing w:before="240" w:after="283"/>
        <w:jc w:val="both"/>
        <w:rPr/>
      </w:pPr>
      <w:r>
        <w:rPr>
          <w:color w:val="000000"/>
        </w:rPr>
        <w:t>“</w:t>
      </w:r>
      <w:r>
        <w:rPr>
          <w:rFonts w:ascii="Times New Roman" w:hAnsi="Times New Roman"/>
          <w:i/>
          <w:color w:val="000000"/>
          <w:sz w:val="22"/>
        </w:rPr>
        <w:t xml:space="preserve">Person” </w:t>
      </w:r>
      <w:r>
        <w:rPr>
          <w:rFonts w:ascii="Times New Roman" w:hAnsi="Times New Roman"/>
          <w:color w:val="000000"/>
          <w:sz w:val="22"/>
        </w:rPr>
        <w:t>means any natural person, corporation, limited liability company, trust, joint venture, association, company, partnership, Governmental Authority or other entity.</w:t>
      </w:r>
    </w:p>
    <w:p>
      <w:pPr>
        <w:pStyle w:val="TextBody"/>
        <w:bidi w:val="0"/>
        <w:spacing w:before="240" w:after="283"/>
        <w:jc w:val="both"/>
        <w:rPr/>
      </w:pPr>
      <w:r>
        <w:rPr>
          <w:color w:val="000000"/>
        </w:rPr>
        <w:t>“</w:t>
      </w:r>
      <w:r>
        <w:rPr>
          <w:rFonts w:ascii="Times New Roman" w:hAnsi="Times New Roman"/>
          <w:i/>
          <w:color w:val="000000"/>
          <w:sz w:val="22"/>
        </w:rPr>
        <w:t xml:space="preserve">Plan” </w:t>
      </w:r>
      <w:r>
        <w:rPr>
          <w:rFonts w:ascii="Times New Roman" w:hAnsi="Times New Roman"/>
          <w:color w:val="000000"/>
          <w:sz w:val="22"/>
        </w:rPr>
        <w:t>means any employee benefit plan within the meaning of Section 3(3) of ERISA (including a Pension Plan), maintained for employees of the Domestic Borrower or any ERISA Affiliate or any such Plan to which the Domestic Borrower or any ERISA Affiliate is required to contribute on behalf of any of its employees.</w:t>
      </w:r>
    </w:p>
    <w:p>
      <w:pPr>
        <w:pStyle w:val="TextBody"/>
        <w:bidi w:val="0"/>
        <w:spacing w:before="240" w:after="283"/>
        <w:jc w:val="both"/>
        <w:rPr/>
      </w:pPr>
      <w:r>
        <w:rPr>
          <w:color w:val="000000"/>
        </w:rPr>
        <w:t>“</w:t>
      </w:r>
      <w:r>
        <w:rPr>
          <w:rFonts w:ascii="Times New Roman" w:hAnsi="Times New Roman"/>
          <w:i/>
          <w:color w:val="000000"/>
          <w:sz w:val="22"/>
        </w:rPr>
        <w:t xml:space="preserve">Platform” </w:t>
      </w:r>
      <w:r>
        <w:rPr>
          <w:rFonts w:ascii="Times New Roman" w:hAnsi="Times New Roman"/>
          <w:color w:val="000000"/>
          <w:sz w:val="22"/>
        </w:rPr>
        <w:t>has the meaning specified in Section 6.02.</w:t>
      </w:r>
    </w:p>
    <w:p>
      <w:pPr>
        <w:pStyle w:val="TextBody"/>
        <w:bidi w:val="0"/>
        <w:spacing w:before="240" w:after="283"/>
        <w:jc w:val="both"/>
        <w:rPr/>
      </w:pPr>
      <w:r>
        <w:rPr>
          <w:color w:val="000000"/>
        </w:rPr>
        <w:t>“</w:t>
      </w:r>
      <w:r>
        <w:rPr>
          <w:rFonts w:ascii="Times New Roman" w:hAnsi="Times New Roman"/>
          <w:i/>
          <w:color w:val="000000"/>
          <w:sz w:val="22"/>
        </w:rPr>
        <w:t xml:space="preserve">Pledged Debt” </w:t>
      </w:r>
      <w:r>
        <w:rPr>
          <w:rFonts w:ascii="Times New Roman" w:hAnsi="Times New Roman"/>
          <w:color w:val="000000"/>
          <w:sz w:val="22"/>
        </w:rPr>
        <w:t>has the meaning specified in the Collateral Agreement.</w:t>
      </w:r>
    </w:p>
    <w:p>
      <w:pPr>
        <w:pStyle w:val="TextBody"/>
        <w:bidi w:val="0"/>
        <w:spacing w:before="240" w:after="283"/>
        <w:jc w:val="both"/>
        <w:rPr/>
      </w:pPr>
      <w:r>
        <w:rPr>
          <w:color w:val="000000"/>
        </w:rPr>
        <w:t>“</w:t>
      </w:r>
      <w:r>
        <w:rPr>
          <w:rFonts w:ascii="Times New Roman" w:hAnsi="Times New Roman"/>
          <w:i/>
          <w:color w:val="000000"/>
          <w:sz w:val="22"/>
        </w:rPr>
        <w:t xml:space="preserve">Pledged Equity” </w:t>
      </w:r>
      <w:r>
        <w:rPr>
          <w:rFonts w:ascii="Times New Roman" w:hAnsi="Times New Roman"/>
          <w:color w:val="000000"/>
          <w:sz w:val="22"/>
        </w:rPr>
        <w:t>has the meaning specified in the Collateral Agreement.</w:t>
      </w:r>
    </w:p>
    <w:p>
      <w:pPr>
        <w:pStyle w:val="TextBody"/>
        <w:bidi w:val="0"/>
        <w:spacing w:before="240" w:after="283"/>
        <w:jc w:val="both"/>
        <w:rPr/>
      </w:pPr>
      <w:r>
        <w:rPr>
          <w:color w:val="000000"/>
        </w:rPr>
        <w:t>“</w:t>
      </w:r>
      <w:r>
        <w:rPr>
          <w:rFonts w:ascii="Times New Roman" w:hAnsi="Times New Roman"/>
          <w:i/>
          <w:color w:val="000000"/>
          <w:sz w:val="22"/>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240" w:after="283"/>
        <w:jc w:val="both"/>
        <w:rPr/>
      </w:pPr>
      <w:r>
        <w:rPr>
          <w:color w:val="000000"/>
        </w:rPr>
        <w:t>“</w:t>
      </w:r>
      <w:r>
        <w:rPr>
          <w:rFonts w:ascii="Times New Roman" w:hAnsi="Times New Roman"/>
          <w:i/>
          <w:color w:val="000000"/>
          <w:sz w:val="22"/>
        </w:rPr>
        <w:t xml:space="preserve">Public Lender” </w:t>
      </w:r>
      <w:r>
        <w:rPr>
          <w:rFonts w:ascii="Times New Roman" w:hAnsi="Times New Roman"/>
          <w:color w:val="000000"/>
          <w:sz w:val="22"/>
        </w:rPr>
        <w:t>has the meaning specified in Section 6.02.</w:t>
      </w:r>
    </w:p>
    <w:p>
      <w:pPr>
        <w:pStyle w:val="TextBody"/>
        <w:bidi w:val="0"/>
        <w:spacing w:before="240" w:after="283"/>
        <w:jc w:val="both"/>
        <w:rPr/>
      </w:pPr>
      <w:r>
        <w:rPr>
          <w:color w:val="000000"/>
        </w:rPr>
        <w:t>“</w:t>
      </w:r>
      <w:r>
        <w:rPr>
          <w:rFonts w:ascii="Times New Roman" w:hAnsi="Times New Roman"/>
          <w:i/>
          <w:color w:val="000000"/>
          <w:sz w:val="22"/>
        </w:rPr>
        <w:t xml:space="preserve">Qualified ECP Guarantor” </w:t>
      </w:r>
      <w:r>
        <w:rPr>
          <w:rFonts w:ascii="Times New Roman" w:hAnsi="Times New Roman"/>
          <w:color w:val="000000"/>
          <w:sz w:val="22"/>
        </w:rPr>
        <w:t>means, at any time, each Loan Party with total assets exceeding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$10,000,000 or that qualifies at such time as an “eligible contract participant” under the Commodity Exchange Act and can cause another Person to qualify as an “eligible contract participant” at such time under Section 1a(18)(A)(v)(II) of the Commodity Exchange Act.</w:t>
      </w:r>
    </w:p>
    <w:p>
      <w:pPr>
        <w:pStyle w:val="TextBody"/>
        <w:bidi w:val="0"/>
        <w:spacing w:before="240" w:after="283"/>
        <w:jc w:val="both"/>
        <w:rPr/>
      </w:pPr>
      <w:r>
        <w:rPr>
          <w:color w:val="000000"/>
        </w:rPr>
        <w:t>“</w:t>
      </w:r>
      <w:r>
        <w:rPr>
          <w:rFonts w:ascii="Times New Roman" w:hAnsi="Times New Roman"/>
          <w:i/>
          <w:color w:val="000000"/>
          <w:sz w:val="22"/>
        </w:rPr>
        <w:t>Qualified Securitization Transaction</w:t>
      </w:r>
      <w:r>
        <w:rPr>
          <w:rFonts w:ascii="Times New Roman" w:hAnsi="Times New Roman"/>
          <w:color w:val="000000"/>
          <w:sz w:val="20"/>
        </w:rPr>
        <w:t xml:space="preserve">” </w:t>
      </w:r>
      <w:r>
        <w:rPr>
          <w:rFonts w:ascii="Times New Roman" w:hAnsi="Times New Roman"/>
          <w:color w:val="000000"/>
          <w:sz w:val="22"/>
        </w:rPr>
        <w:t xml:space="preserve">means any transaction or series of transactions entered into by the Domestic Borrower or a Subsidiary of the Domestic Borrower and designated by the Domestic Borrower as a Qualified Securitization Transaction, pursuant to which the Domestic Borrower or such Subsidiary (including an Excluded Securitization Subsidiary) may sell, convey or otherwise transfer to (i) any Excluded Securitization Subsidiary or (ii) any other Person (in the case of a transfer by an Excluded Securitization Subsidiary), or may grant a security interest in, any Securitization Assets (whether now existing or arising in the future) of a Loan Party or other Subsidiary of the Domestic Borrower, and any assets related thereto, including all collateral securing such Securitization Assets, all contracts and all guarantees or other obligations in respect of such Securitization Assets, and proceeds of such Securitization Assets and other assets that are customarily transferred, or in respect of which security interests are customarily granted, in connection with asset securitization transactions involving such types of assets; </w:t>
      </w:r>
      <w:r>
        <w:rPr>
          <w:rFonts w:ascii="Times New Roman" w:hAnsi="Times New Roman"/>
          <w:i/>
          <w:color w:val="000000"/>
          <w:sz w:val="22"/>
        </w:rPr>
        <w:t xml:space="preserve">provided </w:t>
      </w:r>
      <w:r>
        <w:rPr>
          <w:rFonts w:ascii="Times New Roman" w:hAnsi="Times New Roman"/>
          <w:color w:val="000000"/>
          <w:sz w:val="22"/>
        </w:rPr>
        <w:t>that no portion of the indebtedness or any other obligations (contingent or otherwise) under such Qualified Securitization Transaction (i) shall be guaranteed by any Borrower or any Subsidiary of a Borrower, (ii) shall be recourse to or obligate any Borrower or any Subsidiary of a Borrower (other than an Excluded Securitization Subsidiary) in any way (subject solely to the customary satisfaction of Standard Securitization Undertakings in a Qualified Securitization Transaction) or (iii) shall subject any property or asset of any Borrower or any Subsidiary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 Borrower (other than an Excluded Securitization Subsidiary), directly or indirectly, contingently or otherwise, to the satisfaction thereof (subject solely to the customary satisfaction of Standard Securitization Undertakings in a Qualified Securitization Transaction). Any such designation shall be evidenced to the Administrative Agent by delivering to the Administrative Agent written notice of such Qualified Securitization Transaction promptly upon effectiveness certifying that such designation and transaction complied with the foregoing conditions, completed and signed by a Responsible Officer on behalf of the Domestic Borrower and such Excluded Securitization Subsidiary.</w:t>
      </w:r>
    </w:p>
    <w:p>
      <w:pPr>
        <w:pStyle w:val="TextBody"/>
        <w:bidi w:val="0"/>
        <w:spacing w:before="240" w:after="283"/>
        <w:jc w:val="both"/>
        <w:rPr/>
      </w:pPr>
      <w:r>
        <w:rPr>
          <w:color w:val="000000"/>
        </w:rPr>
        <w:t>“</w:t>
      </w:r>
      <w:r>
        <w:rPr>
          <w:rFonts w:ascii="Times New Roman" w:hAnsi="Times New Roman"/>
          <w:i/>
          <w:color w:val="000000"/>
          <w:sz w:val="22"/>
        </w:rPr>
        <w:t xml:space="preserve">Recipient” </w:t>
      </w:r>
      <w:r>
        <w:rPr>
          <w:rFonts w:ascii="Times New Roman" w:hAnsi="Times New Roman"/>
          <w:color w:val="000000"/>
          <w:sz w:val="22"/>
        </w:rPr>
        <w:t>means the Administrative Agent, any Lender, any L/C Issuer or any other recipient of any payment to be made by or on account of any obligation of any Loan Party hereunder.</w:t>
      </w:r>
    </w:p>
    <w:p>
      <w:pPr>
        <w:pStyle w:val="TextBody"/>
        <w:bidi w:val="0"/>
        <w:spacing w:before="240" w:after="283"/>
        <w:jc w:val="both"/>
        <w:rPr/>
      </w:pPr>
      <w:r>
        <w:rPr>
          <w:color w:val="000000"/>
        </w:rPr>
        <w:t>“</w:t>
      </w:r>
      <w:r>
        <w:rPr>
          <w:rFonts w:ascii="Times New Roman" w:hAnsi="Times New Roman"/>
          <w:i/>
          <w:color w:val="000000"/>
          <w:sz w:val="22"/>
        </w:rPr>
        <w:t xml:space="preserve">Register” </w:t>
      </w:r>
      <w:r>
        <w:rPr>
          <w:rFonts w:ascii="Times New Roman" w:hAnsi="Times New Roman"/>
          <w:color w:val="000000"/>
          <w:sz w:val="22"/>
        </w:rPr>
        <w:t>has the meaning specified in Section 11.06(c).</w:t>
      </w:r>
    </w:p>
    <w:p>
      <w:pPr>
        <w:pStyle w:val="TextBody"/>
        <w:bidi w:val="0"/>
        <w:spacing w:before="240" w:after="283"/>
        <w:jc w:val="both"/>
        <w:rPr/>
      </w:pPr>
      <w:r>
        <w:rPr>
          <w:color w:val="0000FF"/>
          <w:u w:val="single"/>
        </w:rPr>
        <w:t>“</w:t>
      </w:r>
      <w:r>
        <w:rPr>
          <w:rFonts w:ascii="Times New Roman" w:hAnsi="Times New Roman"/>
          <w:i/>
          <w:color w:val="0000FF"/>
          <w:sz w:val="22"/>
          <w:u w:val="single"/>
        </w:rPr>
        <w:t xml:space="preserve">Regulation U” </w:t>
      </w:r>
      <w:r>
        <w:rPr>
          <w:rFonts w:ascii="Times New Roman" w:hAnsi="Times New Roman"/>
          <w:color w:val="0000FF"/>
          <w:sz w:val="22"/>
          <w:u w:val="single"/>
        </w:rPr>
        <w:t>means Regulation U of the FRB, as in effect from time to time and all official</w:t>
      </w:r>
      <w:r>
        <w:rPr>
          <w:rFonts w:ascii="Times New Roman" w:hAnsi="Times New Roman"/>
          <w:color w:val="0000FF"/>
          <w:sz w:val="20"/>
        </w:rPr>
        <w:t xml:space="preserve"> </w:t>
      </w:r>
      <w:r>
        <w:rPr>
          <w:rFonts w:ascii="Times New Roman" w:hAnsi="Times New Roman"/>
          <w:color w:val="0000FF"/>
          <w:sz w:val="22"/>
          <w:u w:val="single"/>
        </w:rPr>
        <w:t>rulings and interpretations thereunder or thereof.</w:t>
      </w:r>
    </w:p>
    <w:p>
      <w:pPr>
        <w:pStyle w:val="TextBody"/>
        <w:bidi w:val="0"/>
        <w:spacing w:before="240" w:after="283"/>
        <w:jc w:val="both"/>
        <w:rPr/>
      </w:pPr>
      <w:r>
        <w:rPr>
          <w:color w:val="000000"/>
        </w:rPr>
        <w:t>“</w:t>
      </w:r>
      <w:r>
        <w:rPr>
          <w:rFonts w:ascii="Times New Roman" w:hAnsi="Times New Roman"/>
          <w:i/>
          <w:color w:val="000000"/>
          <w:sz w:val="22"/>
        </w:rPr>
        <w:t xml:space="preserve">Related Parties” </w:t>
      </w:r>
      <w:r>
        <w:rPr>
          <w:rFonts w:ascii="Times New Roman" w:hAnsi="Times New Roman"/>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240" w:after="283"/>
        <w:jc w:val="both"/>
        <w:rPr/>
      </w:pPr>
      <w:r>
        <w:rPr>
          <w:color w:val="000000"/>
        </w:rPr>
        <w:t>“</w:t>
      </w:r>
      <w:r>
        <w:rPr>
          <w:rFonts w:ascii="Times New Roman" w:hAnsi="Times New Roman"/>
          <w:i/>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(a) with respect to Loans denominated in Dollars, the Board of Governors of the Federal Reserve System or the Federal Reserve Bank of New York, or a committee officially endorsed or convened by the Board of Governors of the Federal Reserve System or the Federal Reserve Bank of New York, or any successor thereto,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and (d) with respect to Loans denominated in any other Agreed Currency, (i) 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pStyle w:val="TextBody"/>
        <w:bidi w:val="0"/>
        <w:spacing w:before="240" w:after="283"/>
        <w:jc w:val="both"/>
        <w:rPr/>
      </w:pPr>
      <w:r>
        <w:rPr>
          <w:color w:val="000000"/>
        </w:rPr>
        <w:t>“</w:t>
      </w:r>
      <w:r>
        <w:rPr>
          <w:rFonts w:ascii="Times New Roman" w:hAnsi="Times New Roman"/>
          <w:i/>
          <w:color w:val="000000"/>
          <w:sz w:val="22"/>
        </w:rPr>
        <w:t>Relevant Rate</w:t>
      </w:r>
      <w:r>
        <w:rPr>
          <w:rFonts w:ascii="Times New Roman" w:hAnsi="Times New Roman"/>
          <w:color w:val="000000"/>
          <w:sz w:val="20"/>
        </w:rPr>
        <w:t xml:space="preserve">” </w:t>
      </w:r>
      <w:r>
        <w:rPr>
          <w:rFonts w:ascii="Times New Roman" w:hAnsi="Times New Roman"/>
          <w:color w:val="000000"/>
          <w:sz w:val="22"/>
        </w:rPr>
        <w:t>means with respect to any Credit Extension denominated in (a) Dollars, Term SOFR, (b) Sterling, SONIA, and (c) Euros, EURIBOR, as applicable.</w:t>
      </w:r>
    </w:p>
    <w:p>
      <w:pPr>
        <w:pStyle w:val="TextBody"/>
        <w:bidi w:val="0"/>
        <w:spacing w:before="240" w:after="283"/>
        <w:jc w:val="both"/>
        <w:rPr/>
      </w:pPr>
      <w:r>
        <w:rPr>
          <w:color w:val="000000"/>
        </w:rPr>
        <w:t>“</w:t>
      </w:r>
      <w:r>
        <w:rPr>
          <w:rFonts w:ascii="Times New Roman" w:hAnsi="Times New Roman"/>
          <w:i/>
          <w:color w:val="000000"/>
          <w:sz w:val="22"/>
        </w:rPr>
        <w:t xml:space="preserve">Removal Effective Date” </w:t>
      </w:r>
      <w:r>
        <w:rPr>
          <w:rFonts w:ascii="Times New Roman" w:hAnsi="Times New Roman"/>
          <w:color w:val="000000"/>
          <w:sz w:val="22"/>
        </w:rPr>
        <w:t>has the meaning specified in Section 9.06(b).</w:t>
      </w:r>
    </w:p>
    <w:p>
      <w:pPr>
        <w:pStyle w:val="TextBody"/>
        <w:bidi w:val="0"/>
        <w:spacing w:before="240" w:after="283"/>
        <w:jc w:val="both"/>
        <w:rPr/>
      </w:pPr>
      <w:r>
        <w:rPr>
          <w:color w:val="000000"/>
        </w:rPr>
        <w:t>“</w:t>
      </w:r>
      <w:r>
        <w:rPr>
          <w:rFonts w:ascii="Times New Roman" w:hAnsi="Times New Roman"/>
          <w:i/>
          <w:color w:val="000000"/>
          <w:sz w:val="22"/>
        </w:rPr>
        <w:t xml:space="preserve">Reportable Event” </w:t>
      </w:r>
      <w:r>
        <w:rPr>
          <w:rFonts w:ascii="Times New Roman" w:hAnsi="Times New Roman"/>
          <w:color w:val="000000"/>
          <w:sz w:val="22"/>
        </w:rPr>
        <w:t xml:space="preserve">means any of the events set forth in Section 4043(c) of ERISA, other than events for which the 30 </w:t>
      </w:r>
      <w:r>
        <w:rPr>
          <w:rFonts w:ascii="Times New Roman" w:hAnsi="Times New Roman"/>
          <w:color w:val="0000FF"/>
          <w:sz w:val="22"/>
        </w:rPr>
        <w:t>-</w:t>
      </w:r>
      <w:r>
        <w:rPr>
          <w:rFonts w:ascii="Times New Roman" w:hAnsi="Times New Roman"/>
          <w:color w:val="000000"/>
          <w:sz w:val="22"/>
        </w:rPr>
        <w:t>day notice period has been waived.</w:t>
      </w:r>
    </w:p>
    <w:p>
      <w:pPr>
        <w:pStyle w:val="TextBody"/>
        <w:bidi w:val="0"/>
        <w:spacing w:before="240" w:after="283"/>
        <w:jc w:val="both"/>
        <w:rPr/>
      </w:pPr>
      <w:r>
        <w:rPr>
          <w:color w:val="000000"/>
        </w:rPr>
        <w:t>“</w:t>
      </w:r>
      <w:r>
        <w:rPr>
          <w:rFonts w:ascii="Times New Roman" w:hAnsi="Times New Roman"/>
          <w:i/>
          <w:color w:val="000000"/>
          <w:sz w:val="22"/>
        </w:rPr>
        <w:t xml:space="preserve">Request for Credit Extension” </w:t>
      </w:r>
      <w:r>
        <w:rPr>
          <w:rFonts w:ascii="Times New Roman" w:hAnsi="Times New Roman"/>
          <w:color w:val="000000"/>
          <w:sz w:val="22"/>
        </w:rPr>
        <w:t>means (a) with respect to a Borrowing, conversion or continuation of Incremental Term Loans or Revolving Credit Loans, a Committed Loan Notice, (b) with respect to an L/C Credit Extension, a Letter of Credit Application, and (c) with respect to a Swingline Loan, a Swingline Loan Notice.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Required Incremental Term Lenders” </w:t>
      </w:r>
      <w:r>
        <w:rPr>
          <w:rFonts w:ascii="Times New Roman" w:hAnsi="Times New Roman"/>
          <w:color w:val="000000"/>
          <w:sz w:val="22"/>
        </w:rPr>
        <w:t>means, as of any date of determination, with respect to any Incremental Term Facility, Incremental Term Lenders holding more than 50% of such Incremental Term Facility on such date. The portion of any Incremental Term Facility held by any Defaulting Lender shall be disregarded in determining Required Incremental Term Lenders at any time.</w:t>
      </w:r>
    </w:p>
    <w:p>
      <w:pPr>
        <w:pStyle w:val="TextBody"/>
        <w:bidi w:val="0"/>
        <w:spacing w:before="240" w:after="283"/>
        <w:jc w:val="both"/>
        <w:rPr/>
      </w:pPr>
      <w:r>
        <w:rPr>
          <w:color w:val="000000"/>
        </w:rPr>
        <w:t>“</w:t>
      </w:r>
      <w:r>
        <w:rPr>
          <w:rFonts w:ascii="Times New Roman" w:hAnsi="Times New Roman"/>
          <w:i/>
          <w:color w:val="000000"/>
          <w:sz w:val="22"/>
        </w:rPr>
        <w:t xml:space="preserve">Required Lenders” </w:t>
      </w:r>
      <w:r>
        <w:rPr>
          <w:rFonts w:ascii="Times New Roman" w:hAnsi="Times New Roman"/>
          <w:color w:val="000000"/>
          <w:sz w:val="22"/>
        </w:rPr>
        <w:t xml:space="preserve">means, as of any date of determination, Lenders holding more than 50% of the sum of the (a) Total Outstandings (with the aggregate amount of each Revolving Credit Lender’s risk participation and funded participation in L/C Obligations and Swingline Loans being deemed “held” by such Revolving Credit Lender for purposes of this definition), (b) aggregate unused Revolving Credit Commitments, and (c) aggregate unused Incremental Term Commitments, if any. The Total Outstandings of any Defaulting Lender shall be disregarded in determining Required Lenders at any time; </w:t>
      </w:r>
      <w:r>
        <w:rPr>
          <w:rFonts w:ascii="Times New Roman" w:hAnsi="Times New Roman"/>
          <w:i/>
          <w:color w:val="000000"/>
          <w:sz w:val="22"/>
        </w:rPr>
        <w:t xml:space="preserve">provided </w:t>
      </w:r>
      <w:r>
        <w:rPr>
          <w:rFonts w:ascii="Times New Roman" w:hAnsi="Times New Roman"/>
          <w:color w:val="000000"/>
          <w:sz w:val="22"/>
        </w:rPr>
        <w:t>that, the amount of any participation in any Swingline Loan and Unreimbursed Amounts that such Defaulting Lender has failed to fund that have not been reallocated to and funded by another Lender shall be deemed to be held by the Lender that is the Swingline Lender or applicable L/C Issuer, as the case may be, in making such determination.</w:t>
      </w:r>
    </w:p>
    <w:p>
      <w:pPr>
        <w:pStyle w:val="TextBody"/>
        <w:bidi w:val="0"/>
        <w:spacing w:before="240" w:after="283"/>
        <w:jc w:val="both"/>
        <w:rPr/>
      </w:pPr>
      <w:r>
        <w:rPr>
          <w:color w:val="000000"/>
        </w:rPr>
        <w:t>“</w:t>
      </w:r>
      <w:r>
        <w:rPr>
          <w:rFonts w:ascii="Times New Roman" w:hAnsi="Times New Roman"/>
          <w:i/>
          <w:color w:val="000000"/>
          <w:sz w:val="22"/>
        </w:rPr>
        <w:t xml:space="preserve">Required Revolving Lenders” </w:t>
      </w:r>
      <w:r>
        <w:rPr>
          <w:rFonts w:ascii="Times New Roman" w:hAnsi="Times New Roman"/>
          <w:color w:val="000000"/>
          <w:sz w:val="22"/>
        </w:rPr>
        <w:t xml:space="preserve">means, as of any date of determination, Revolving Credit Lenders holding more than 50% of the sum of the (a) Total Revolving Credit Outstandings (with the aggregate amount of each Revolving Credit Lender’s risk participation and funded participation in L/C Obligations and Swingline Loans being deemed “held” by such Revolving Credit Lender for purposes of this definition) and (b) aggregate unused Revolving Credit Commitments. The unused Revolving Credit Commitment of, and the portion of the Total Outstandings of any Defaulting Lender shall be disregarded in determining Required Revolving Lenders at any time; </w:t>
      </w:r>
      <w:r>
        <w:rPr>
          <w:rFonts w:ascii="Times New Roman" w:hAnsi="Times New Roman"/>
          <w:i/>
          <w:color w:val="000000"/>
          <w:sz w:val="22"/>
        </w:rPr>
        <w:t xml:space="preserve">provided </w:t>
      </w:r>
      <w:r>
        <w:rPr>
          <w:rFonts w:ascii="Times New Roman" w:hAnsi="Times New Roman"/>
          <w:color w:val="000000"/>
          <w:sz w:val="22"/>
        </w:rPr>
        <w:t>that, the amount of any participation in any Swingline Loan and Unreimbursed Amounts that such Defaulting Lender has failed to fund that have not been reallocated to and funded by another Lender shall be deemed to be held by the Lender that is the Swingline Lender or applicable L/C Issuer, as the case may be, in making such determination.</w:t>
      </w:r>
    </w:p>
    <w:p>
      <w:pPr>
        <w:pStyle w:val="TextBody"/>
        <w:bidi w:val="0"/>
        <w:spacing w:before="240" w:after="283"/>
        <w:jc w:val="both"/>
        <w:rPr/>
      </w:pPr>
      <w:r>
        <w:rPr>
          <w:color w:val="000000"/>
        </w:rPr>
        <w:t>“</w:t>
      </w:r>
      <w:r>
        <w:rPr>
          <w:rFonts w:ascii="Times New Roman" w:hAnsi="Times New Roman"/>
          <w:i/>
          <w:color w:val="000000"/>
          <w:sz w:val="22"/>
        </w:rPr>
        <w:t>Rescindable Amount</w:t>
      </w:r>
      <w:r>
        <w:rPr>
          <w:rFonts w:ascii="Times New Roman" w:hAnsi="Times New Roman"/>
          <w:color w:val="000000"/>
          <w:sz w:val="20"/>
        </w:rPr>
        <w:t xml:space="preserve">” </w:t>
      </w:r>
      <w:r>
        <w:rPr>
          <w:rFonts w:ascii="Times New Roman" w:hAnsi="Times New Roman"/>
          <w:color w:val="000000"/>
          <w:sz w:val="22"/>
        </w:rPr>
        <w:t>has the meaning as defined in Section 2.12(b)(ii).</w:t>
      </w:r>
    </w:p>
    <w:p>
      <w:pPr>
        <w:pStyle w:val="TextBody"/>
        <w:bidi w:val="0"/>
        <w:spacing w:before="240" w:after="283"/>
        <w:jc w:val="both"/>
        <w:rPr/>
      </w:pPr>
      <w:r>
        <w:rPr>
          <w:color w:val="000000"/>
        </w:rPr>
        <w:t>“</w:t>
      </w:r>
      <w:r>
        <w:rPr>
          <w:rFonts w:ascii="Times New Roman" w:hAnsi="Times New Roman"/>
          <w:i/>
          <w:color w:val="000000"/>
          <w:sz w:val="22"/>
        </w:rPr>
        <w:t xml:space="preserve">Resignation Effective Date” </w:t>
      </w:r>
      <w:r>
        <w:rPr>
          <w:rFonts w:ascii="Times New Roman" w:hAnsi="Times New Roman"/>
          <w:color w:val="000000"/>
          <w:sz w:val="22"/>
        </w:rPr>
        <w:t>has the meaning specified in Section 9.06(a).</w:t>
      </w:r>
    </w:p>
    <w:p>
      <w:pPr>
        <w:pStyle w:val="TextBody"/>
        <w:bidi w:val="0"/>
        <w:spacing w:before="240" w:after="283"/>
        <w:jc w:val="both"/>
        <w:rPr/>
      </w:pPr>
      <w:r>
        <w:rPr>
          <w:color w:val="000000"/>
        </w:rPr>
        <w:t>“</w:t>
      </w:r>
      <w:r>
        <w:rPr>
          <w:rFonts w:ascii="Times New Roman" w:hAnsi="Times New Roman"/>
          <w:i/>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240" w:after="283"/>
        <w:jc w:val="both"/>
        <w:rPr/>
      </w:pPr>
      <w:r>
        <w:rPr>
          <w:color w:val="000000"/>
        </w:rPr>
        <w:t>“</w:t>
      </w:r>
      <w:r>
        <w:rPr>
          <w:rFonts w:ascii="Times New Roman" w:hAnsi="Times New Roman"/>
          <w:i/>
          <w:color w:val="000000"/>
          <w:sz w:val="22"/>
        </w:rPr>
        <w:t xml:space="preserve">Responsible Officer” </w:t>
      </w:r>
      <w:r>
        <w:rPr>
          <w:rFonts w:ascii="Times New Roman" w:hAnsi="Times New Roman"/>
          <w:color w:val="000000"/>
          <w:sz w:val="22"/>
        </w:rPr>
        <w:t>means the chief executive officer, president, chief financial officer, treasurer, assistant treasurer or controller of a Loan Party, solely for purposes of the delivery of incumbency certificates pursuant to Section 4.01, the secretary or any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Restricted Payment” </w:t>
      </w:r>
      <w:r>
        <w:rPr>
          <w:rFonts w:ascii="Times New Roman" w:hAnsi="Times New Roman"/>
          <w:color w:val="000000"/>
          <w:sz w:val="22"/>
        </w:rPr>
        <w:t>means any dividend or other distribution (whether in cash, securities or other property) with respect to any capital stock or other Equity Interest of the Domestic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Domestic Borrower’s stockholders, partners or members (or the equivalent Person thereof).</w:t>
      </w:r>
    </w:p>
    <w:p>
      <w:pPr>
        <w:pStyle w:val="TextBody"/>
        <w:bidi w:val="0"/>
        <w:spacing w:before="240" w:after="283"/>
        <w:jc w:val="both"/>
        <w:rPr/>
      </w:pPr>
      <w:r>
        <w:rPr>
          <w:color w:val="000000"/>
        </w:rPr>
        <w:t>“</w:t>
      </w:r>
      <w:r>
        <w:rPr>
          <w:rFonts w:ascii="Times New Roman" w:hAnsi="Times New Roman"/>
          <w:i/>
          <w:color w:val="000000"/>
          <w:sz w:val="22"/>
        </w:rPr>
        <w:t xml:space="preserve">Revaluation Date” </w:t>
      </w:r>
      <w:r>
        <w:rPr>
          <w:rFonts w:ascii="Times New Roman" w:hAnsi="Times New Roman"/>
          <w:color w:val="000000"/>
          <w:sz w:val="22"/>
        </w:rPr>
        <w:t>means, (a) with respect to any Revolving Credit Loan, each of the following: (i) each date of a Borrowing of an Alternative Currency Term Rate Loan, (ii) each date of a continuation of an Alternative Currency Term Rate Loan pursuant to Section 2.02, and (iii)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Alternative Currency L/C Issuer under any Letter of Credit denominated in an Alternative Currency, and (iii) such additional dates as the Administrative Agent or the Alternative Currency L/C Issuer shall determine or the Required Lenders shall require.</w:t>
      </w:r>
    </w:p>
    <w:p>
      <w:pPr>
        <w:pStyle w:val="TextBody"/>
        <w:bidi w:val="0"/>
        <w:spacing w:before="240" w:after="283"/>
        <w:jc w:val="both"/>
        <w:rPr/>
      </w:pPr>
      <w:r>
        <w:rPr>
          <w:color w:val="000000"/>
        </w:rPr>
        <w:t>“</w:t>
      </w:r>
      <w:r>
        <w:rPr>
          <w:rFonts w:ascii="Times New Roman" w:hAnsi="Times New Roman"/>
          <w:i/>
          <w:color w:val="000000"/>
          <w:sz w:val="22"/>
        </w:rPr>
        <w:t xml:space="preserve">Revolving Credit Borrowing” </w:t>
      </w:r>
      <w:r>
        <w:rPr>
          <w:rFonts w:ascii="Times New Roman" w:hAnsi="Times New Roman"/>
          <w:color w:val="000000"/>
          <w:sz w:val="22"/>
        </w:rPr>
        <w:t>means a borrowing consisting of simultaneous Revolving Credit Loans of the same Type and, in the case of Term SOFR Loans or Alternative Currency Term Rate Loans, having the same Interest Period made by each of the Revolving Credit Lenders pursuant to Section 2.01(b).</w:t>
      </w:r>
    </w:p>
    <w:p>
      <w:pPr>
        <w:pStyle w:val="TextBody"/>
        <w:bidi w:val="0"/>
        <w:spacing w:before="240" w:after="283"/>
        <w:jc w:val="both"/>
        <w:rPr/>
      </w:pPr>
      <w:r>
        <w:rPr>
          <w:color w:val="000000"/>
        </w:rPr>
        <w:t>“</w:t>
      </w:r>
      <w:r>
        <w:rPr>
          <w:rFonts w:ascii="Times New Roman" w:hAnsi="Times New Roman"/>
          <w:i/>
          <w:color w:val="000000"/>
          <w:sz w:val="22"/>
        </w:rPr>
        <w:t xml:space="preserve">Revolving Credit Commitment” </w:t>
      </w:r>
      <w:r>
        <w:rPr>
          <w:rFonts w:ascii="Times New Roman" w:hAnsi="Times New Roman"/>
          <w:color w:val="000000"/>
          <w:sz w:val="22"/>
        </w:rPr>
        <w:t>means, as to each Revolving Credit Lender, its obligation to (a) make Revolving Credit Loans to the Borrowers pursuant to Section 2.01(b), (b) purchase participations in L/C Obligations, and (c) purchase participations in Swingline Loans, in an aggregate principal amount at any one time outstanding not to exceed the amount set forth opposite such Lender’s name on Schedule 2.01 under the caption “Revolving Credit Commitment” or opposite such caption in the Assignment and Assumption pursuant to which such Lender becomes a party hereto, as applicable, as such amount may be adjusted from time to time in accordance with this Agreement. The Revolving Credit Commitment of all Revolving Credit Lenders on the Closing Date shall be $225,000,000.</w:t>
      </w:r>
    </w:p>
    <w:p>
      <w:pPr>
        <w:pStyle w:val="TextBody"/>
        <w:bidi w:val="0"/>
        <w:spacing w:before="240" w:after="283"/>
        <w:jc w:val="both"/>
        <w:rPr/>
      </w:pPr>
      <w:r>
        <w:rPr>
          <w:color w:val="000000"/>
        </w:rPr>
        <w:t>“</w:t>
      </w:r>
      <w:r>
        <w:rPr>
          <w:rFonts w:ascii="Times New Roman" w:hAnsi="Times New Roman"/>
          <w:i/>
          <w:color w:val="000000"/>
          <w:sz w:val="22"/>
        </w:rPr>
        <w:t xml:space="preserve">Revolving Credit Exposure” </w:t>
      </w:r>
      <w:r>
        <w:rPr>
          <w:rFonts w:ascii="Times New Roman" w:hAnsi="Times New Roman"/>
          <w:color w:val="000000"/>
          <w:sz w:val="22"/>
        </w:rPr>
        <w:t>means, as to any Lender at any time, the aggregate principal amount at such time of its outstanding Revolving Credit Loans and such Lender’s participation in L/C Obligations and Swingline Loans at such time.</w:t>
      </w:r>
    </w:p>
    <w:p>
      <w:pPr>
        <w:pStyle w:val="TextBody"/>
        <w:bidi w:val="0"/>
        <w:spacing w:before="240" w:after="283"/>
        <w:jc w:val="both"/>
        <w:rPr/>
      </w:pPr>
      <w:r>
        <w:rPr>
          <w:color w:val="000000"/>
        </w:rPr>
        <w:t>“</w:t>
      </w:r>
      <w:r>
        <w:rPr>
          <w:rFonts w:ascii="Times New Roman" w:hAnsi="Times New Roman"/>
          <w:i/>
          <w:color w:val="000000"/>
          <w:sz w:val="22"/>
        </w:rPr>
        <w:t xml:space="preserve">Revolving Credit Facility” </w:t>
      </w:r>
      <w:r>
        <w:rPr>
          <w:rFonts w:ascii="Times New Roman" w:hAnsi="Times New Roman"/>
          <w:color w:val="000000"/>
          <w:sz w:val="22"/>
        </w:rPr>
        <w:t>means, at any time, the aggregate amount of the Revolving Credit Lenders’ Revolving Credit Commitments at such time.</w:t>
      </w:r>
    </w:p>
    <w:p>
      <w:pPr>
        <w:pStyle w:val="TextBody"/>
        <w:bidi w:val="0"/>
        <w:spacing w:before="240" w:after="283"/>
        <w:jc w:val="both"/>
        <w:rPr/>
      </w:pPr>
      <w:r>
        <w:rPr>
          <w:color w:val="000000"/>
        </w:rPr>
        <w:t>“</w:t>
      </w:r>
      <w:r>
        <w:rPr>
          <w:rFonts w:ascii="Times New Roman" w:hAnsi="Times New Roman"/>
          <w:i/>
          <w:color w:val="000000"/>
          <w:sz w:val="22"/>
        </w:rPr>
        <w:t xml:space="preserve">Revolving Credit Lender” </w:t>
      </w:r>
      <w:r>
        <w:rPr>
          <w:rFonts w:ascii="Times New Roman" w:hAnsi="Times New Roman"/>
          <w:color w:val="000000"/>
          <w:sz w:val="22"/>
        </w:rPr>
        <w:t>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or Swingline Loans at such time.</w:t>
      </w:r>
    </w:p>
    <w:p>
      <w:pPr>
        <w:pStyle w:val="TextBody"/>
        <w:bidi w:val="0"/>
        <w:spacing w:before="240" w:after="283"/>
        <w:jc w:val="both"/>
        <w:rPr/>
      </w:pPr>
      <w:r>
        <w:rPr>
          <w:color w:val="000000"/>
        </w:rPr>
        <w:t>“</w:t>
      </w:r>
      <w:r>
        <w:rPr>
          <w:rFonts w:ascii="Times New Roman" w:hAnsi="Times New Roman"/>
          <w:i/>
          <w:color w:val="000000"/>
          <w:sz w:val="22"/>
        </w:rPr>
        <w:t xml:space="preserve">Revolving Credit Loan” </w:t>
      </w:r>
      <w:r>
        <w:rPr>
          <w:rFonts w:ascii="Times New Roman" w:hAnsi="Times New Roman"/>
          <w:color w:val="000000"/>
          <w:sz w:val="22"/>
        </w:rPr>
        <w:t>has the meaning specified in Section 2.01(b).</w:t>
      </w:r>
    </w:p>
    <w:p>
      <w:pPr>
        <w:pStyle w:val="TextBody"/>
        <w:bidi w:val="0"/>
        <w:spacing w:before="240" w:after="283"/>
        <w:jc w:val="both"/>
        <w:rPr/>
      </w:pPr>
      <w:r>
        <w:rPr>
          <w:color w:val="000000"/>
        </w:rPr>
        <w:t>“</w:t>
      </w:r>
      <w:r>
        <w:rPr>
          <w:rFonts w:ascii="Times New Roman" w:hAnsi="Times New Roman"/>
          <w:i/>
          <w:color w:val="000000"/>
          <w:sz w:val="22"/>
        </w:rPr>
        <w:t xml:space="preserve">Revolving Credit Note” </w:t>
      </w:r>
      <w:r>
        <w:rPr>
          <w:rFonts w:ascii="Times New Roman" w:hAnsi="Times New Roman"/>
          <w:color w:val="000000"/>
          <w:sz w:val="22"/>
        </w:rPr>
        <w:t xml:space="preserve">means a promissory note made by a Borrower in favor of a Revolving Credit Lender evidencing Revolving Credit Loans or Swingline Loans, as the case may be, made by such Revolving Credit Lender, substantially in the form of </w:t>
      </w:r>
      <w:r>
        <w:rPr>
          <w:rFonts w:ascii="Times New Roman" w:hAnsi="Times New Roman"/>
          <w:i/>
          <w:color w:val="000000"/>
          <w:sz w:val="22"/>
        </w:rPr>
        <w:t>Exhibit C-4</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Revolving Credit Increase Effective Date” </w:t>
      </w:r>
      <w:r>
        <w:rPr>
          <w:rFonts w:ascii="Times New Roman" w:hAnsi="Times New Roman"/>
          <w:color w:val="000000"/>
          <w:sz w:val="22"/>
        </w:rPr>
        <w:t>has the meaning specified in Section 2.17(d).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S&amp;P” </w:t>
      </w:r>
      <w:r>
        <w:rPr>
          <w:rFonts w:ascii="Times New Roman" w:hAnsi="Times New Roman"/>
          <w:color w:val="000000"/>
          <w:sz w:val="22"/>
        </w:rPr>
        <w:t>means Standard &amp; Poor’s Financial Services LLC, a subsidiary of S&amp;P Global Inc., and any successor thereto.</w:t>
      </w:r>
    </w:p>
    <w:p>
      <w:pPr>
        <w:pStyle w:val="TextBody"/>
        <w:bidi w:val="0"/>
        <w:spacing w:before="240" w:after="283"/>
        <w:jc w:val="both"/>
        <w:rPr/>
      </w:pPr>
      <w:r>
        <w:rPr>
          <w:color w:val="000000"/>
        </w:rPr>
        <w:t>“</w:t>
      </w:r>
      <w:r>
        <w:rPr>
          <w:rFonts w:ascii="Times New Roman" w:hAnsi="Times New Roman"/>
          <w:i/>
          <w:color w:val="000000"/>
          <w:sz w:val="22"/>
        </w:rPr>
        <w:t xml:space="preserve">Same Day Funds” </w:t>
      </w:r>
      <w:r>
        <w:rPr>
          <w:rFonts w:ascii="Times New Roman" w:hAnsi="Times New Roman"/>
          <w:color w:val="000000"/>
          <w:sz w:val="22"/>
        </w:rPr>
        <w:t>means (a) with respect to disbursements and payments in Dollars, immediately available funds, and (b) with respect to disbursements and payments in an Alternative Currency, same day or other funds as may be determined by the Administrative Agent or the Alternative Currency L/C Issuer, as the case may be, to be customary in the place of disbursement or payment for the settlement of international banking transactions in the relevant Alternative Currency.</w:t>
      </w:r>
    </w:p>
    <w:p>
      <w:pPr>
        <w:pStyle w:val="TextBody"/>
        <w:bidi w:val="0"/>
        <w:spacing w:before="240" w:after="283"/>
        <w:jc w:val="both"/>
        <w:rPr/>
      </w:pPr>
      <w:r>
        <w:rPr>
          <w:color w:val="000000"/>
        </w:rPr>
        <w:t>“</w:t>
      </w:r>
      <w:r>
        <w:rPr>
          <w:rFonts w:ascii="Times New Roman" w:hAnsi="Times New Roman"/>
          <w:i/>
          <w:color w:val="000000"/>
          <w:sz w:val="22"/>
        </w:rPr>
        <w:t xml:space="preserve">Sanction(s)” </w:t>
      </w:r>
      <w:r>
        <w:rPr>
          <w:rFonts w:ascii="Times New Roman" w:hAnsi="Times New Roman"/>
          <w:color w:val="000000"/>
          <w:sz w:val="22"/>
        </w:rPr>
        <w:t>means any sanction administered or enforced by the United States Government (including, without limitation, OFAC), the United Nations Security Council, the European Union, His Majesty’s Treasury (“</w:t>
      </w:r>
      <w:r>
        <w:rPr>
          <w:rFonts w:ascii="Times New Roman" w:hAnsi="Times New Roman"/>
          <w:i/>
          <w:color w:val="000000"/>
          <w:sz w:val="22"/>
        </w:rPr>
        <w:t>HMT</w:t>
      </w:r>
      <w:r>
        <w:rPr>
          <w:rFonts w:ascii="Times New Roman" w:hAnsi="Times New Roman"/>
          <w:color w:val="000000"/>
          <w:sz w:val="20"/>
        </w:rPr>
        <w:t>”</w:t>
      </w:r>
      <w:r>
        <w:rPr>
          <w:rFonts w:ascii="Times New Roman" w:hAnsi="Times New Roman"/>
          <w:color w:val="000000"/>
          <w:sz w:val="22"/>
        </w:rPr>
        <w:t>) or other relevant sanctions authority.</w:t>
      </w:r>
    </w:p>
    <w:p>
      <w:pPr>
        <w:pStyle w:val="TextBody"/>
        <w:bidi w:val="0"/>
        <w:spacing w:before="240" w:after="283"/>
        <w:jc w:val="both"/>
        <w:rPr/>
      </w:pPr>
      <w:r>
        <w:rPr>
          <w:color w:val="000000"/>
        </w:rPr>
        <w:t>“</w:t>
      </w:r>
      <w:r>
        <w:rPr>
          <w:rFonts w:ascii="Times New Roman" w:hAnsi="Times New Roman"/>
          <w:i/>
          <w:color w:val="000000"/>
          <w:sz w:val="22"/>
        </w:rPr>
        <w:t>Scheduled Unavailability Date</w:t>
      </w:r>
      <w:r>
        <w:rPr>
          <w:rFonts w:ascii="Times New Roman" w:hAnsi="Times New Roman"/>
          <w:color w:val="000000"/>
          <w:sz w:val="20"/>
        </w:rPr>
        <w:t xml:space="preserve">” </w:t>
      </w:r>
      <w:r>
        <w:rPr>
          <w:rFonts w:ascii="Times New Roman" w:hAnsi="Times New Roman"/>
          <w:color w:val="000000"/>
          <w:sz w:val="22"/>
        </w:rPr>
        <w:t>has the meaning specified in Section 3.03(b)(ii).</w:t>
      </w:r>
    </w:p>
    <w:p>
      <w:pPr>
        <w:pStyle w:val="TextBody"/>
        <w:bidi w:val="0"/>
        <w:spacing w:before="240" w:after="283"/>
        <w:jc w:val="both"/>
        <w:rPr/>
      </w:pPr>
      <w:r>
        <w:rPr>
          <w:color w:val="000000"/>
        </w:rPr>
        <w:t>“</w:t>
      </w:r>
      <w:r>
        <w:rPr>
          <w:rFonts w:ascii="Times New Roman" w:hAnsi="Times New Roman"/>
          <w:i/>
          <w:color w:val="000000"/>
          <w:sz w:val="22"/>
        </w:rPr>
        <w:t xml:space="preserve">SEC” </w:t>
      </w:r>
      <w:r>
        <w:rPr>
          <w:rFonts w:ascii="Times New Roman" w:hAnsi="Times New Roman"/>
          <w:color w:val="000000"/>
          <w:sz w:val="22"/>
        </w:rPr>
        <w:t>means the Securities and Exchange Commission, or any Governmental Authority succeeding to any of its principal functions.</w:t>
      </w:r>
    </w:p>
    <w:p>
      <w:pPr>
        <w:pStyle w:val="TextBody"/>
        <w:bidi w:val="0"/>
        <w:spacing w:before="240" w:after="283"/>
        <w:jc w:val="both"/>
        <w:rPr/>
      </w:pPr>
      <w:r>
        <w:rPr>
          <w:color w:val="000000"/>
        </w:rPr>
        <w:t>“</w:t>
      </w:r>
      <w:r>
        <w:rPr>
          <w:rFonts w:ascii="Times New Roman" w:hAnsi="Times New Roman"/>
          <w:i/>
          <w:color w:val="000000"/>
          <w:sz w:val="22"/>
        </w:rPr>
        <w:t xml:space="preserve">Secured Cash Management Agreement” </w:t>
      </w:r>
      <w:r>
        <w:rPr>
          <w:rFonts w:ascii="Times New Roman" w:hAnsi="Times New Roman"/>
          <w:color w:val="000000"/>
          <w:sz w:val="22"/>
        </w:rPr>
        <w:t>means any Cash Management Agreement that is entered into by and between any Loan Party and any Cash Management Bank.</w:t>
      </w:r>
    </w:p>
    <w:p>
      <w:pPr>
        <w:pStyle w:val="TextBody"/>
        <w:bidi w:val="0"/>
        <w:spacing w:before="240" w:after="283"/>
        <w:jc w:val="both"/>
        <w:rPr/>
      </w:pPr>
      <w:r>
        <w:rPr>
          <w:color w:val="000000"/>
        </w:rPr>
        <w:t>“</w:t>
      </w:r>
      <w:r>
        <w:rPr>
          <w:rFonts w:ascii="Times New Roman" w:hAnsi="Times New Roman"/>
          <w:i/>
          <w:color w:val="000000"/>
          <w:sz w:val="22"/>
        </w:rPr>
        <w:t xml:space="preserve">Secured Hedge Agreement” </w:t>
      </w:r>
      <w:r>
        <w:rPr>
          <w:rFonts w:ascii="Times New Roman" w:hAnsi="Times New Roman"/>
          <w:color w:val="000000"/>
          <w:sz w:val="22"/>
        </w:rPr>
        <w:t>means any Swap Contract permitted under Article VI or VII that is entered into by and between any Loan Party and any Hedge Bank.</w:t>
      </w:r>
    </w:p>
    <w:p>
      <w:pPr>
        <w:pStyle w:val="TextBody"/>
        <w:bidi w:val="0"/>
        <w:spacing w:before="240" w:after="283"/>
        <w:jc w:val="both"/>
        <w:rPr/>
      </w:pPr>
      <w:r>
        <w:rPr>
          <w:color w:val="000000"/>
        </w:rPr>
        <w:t>“</w:t>
      </w:r>
      <w:r>
        <w:rPr>
          <w:rFonts w:ascii="Times New Roman" w:hAnsi="Times New Roman"/>
          <w:i/>
          <w:color w:val="000000"/>
          <w:sz w:val="22"/>
        </w:rPr>
        <w:t>Secured Party Designation Notice</w:t>
      </w:r>
      <w:r>
        <w:rPr>
          <w:rFonts w:ascii="Times New Roman" w:hAnsi="Times New Roman"/>
          <w:color w:val="000000"/>
          <w:sz w:val="20"/>
        </w:rPr>
        <w:t xml:space="preserve">” </w:t>
      </w:r>
      <w:r>
        <w:rPr>
          <w:rFonts w:ascii="Times New Roman" w:hAnsi="Times New Roman"/>
          <w:color w:val="000000"/>
          <w:sz w:val="22"/>
        </w:rPr>
        <w:t>means a notice from any Lender or an Affiliate of a Lender substantially in the form of Exhibit H.</w:t>
      </w:r>
    </w:p>
    <w:p>
      <w:pPr>
        <w:pStyle w:val="TextBody"/>
        <w:bidi w:val="0"/>
        <w:spacing w:before="240" w:after="283"/>
        <w:jc w:val="both"/>
        <w:rPr/>
      </w:pPr>
      <w:r>
        <w:rPr>
          <w:color w:val="000000"/>
        </w:rPr>
        <w:t>“</w:t>
      </w:r>
      <w:r>
        <w:rPr>
          <w:rFonts w:ascii="Times New Roman" w:hAnsi="Times New Roman"/>
          <w:i/>
          <w:color w:val="000000"/>
          <w:sz w:val="22"/>
        </w:rPr>
        <w:t xml:space="preserve">Secured Parties” </w:t>
      </w:r>
      <w:r>
        <w:rPr>
          <w:rFonts w:ascii="Times New Roman" w:hAnsi="Times New Roman"/>
          <w:color w:val="000000"/>
          <w:sz w:val="22"/>
        </w:rPr>
        <w:t>means, collectively, the Administrative Agent, the Lenders (including Designated Lenders), the L/C Issuers, the Hedge Banks, the Cash Management Banks, each co-agent or sub-agent appointed by the Administrative Agent from time to time pursuant to Section 9.05, and the other Persons the Obligations owing to which are or are purported to be secured by the Collateral under the terms of the Collateral Documents.</w:t>
      </w:r>
    </w:p>
    <w:p>
      <w:pPr>
        <w:pStyle w:val="TextBody"/>
        <w:bidi w:val="0"/>
        <w:spacing w:before="240" w:after="283"/>
        <w:jc w:val="both"/>
        <w:rPr/>
      </w:pPr>
      <w:r>
        <w:rPr>
          <w:color w:val="000000"/>
        </w:rPr>
        <w:t>“</w:t>
      </w:r>
      <w:r>
        <w:rPr>
          <w:rFonts w:ascii="Times New Roman" w:hAnsi="Times New Roman"/>
          <w:i/>
          <w:color w:val="000000"/>
          <w:sz w:val="22"/>
        </w:rPr>
        <w:t>Securitization Assets</w:t>
      </w:r>
      <w:r>
        <w:rPr>
          <w:rFonts w:ascii="Times New Roman" w:hAnsi="Times New Roman"/>
          <w:color w:val="000000"/>
          <w:sz w:val="20"/>
        </w:rPr>
        <w:t xml:space="preserve">” </w:t>
      </w:r>
      <w:r>
        <w:rPr>
          <w:rFonts w:ascii="Times New Roman" w:hAnsi="Times New Roman"/>
          <w:color w:val="000000"/>
          <w:sz w:val="22"/>
        </w:rPr>
        <w:t>means accounts, payments, receivables, rights to future lease or loan payments or residuals or similar rights to payment, and related rights or assets.</w:t>
      </w:r>
    </w:p>
    <w:p>
      <w:pPr>
        <w:pStyle w:val="TextBody"/>
        <w:bidi w:val="0"/>
        <w:spacing w:before="240" w:after="283"/>
        <w:jc w:val="both"/>
        <w:rPr/>
      </w:pPr>
      <w:r>
        <w:rPr>
          <w:color w:val="000000"/>
        </w:rPr>
        <w:t>“</w:t>
      </w:r>
      <w:r>
        <w:rPr>
          <w:rFonts w:ascii="Times New Roman" w:hAnsi="Times New Roman"/>
          <w:i/>
          <w:color w:val="000000"/>
          <w:sz w:val="22"/>
        </w:rPr>
        <w:t>Securitization Transaction</w:t>
      </w:r>
      <w:r>
        <w:rPr>
          <w:rFonts w:ascii="Times New Roman" w:hAnsi="Times New Roman"/>
          <w:color w:val="000000"/>
          <w:sz w:val="20"/>
        </w:rPr>
        <w:t xml:space="preserve">” </w:t>
      </w:r>
      <w:r>
        <w:rPr>
          <w:rFonts w:ascii="Times New Roman" w:hAnsi="Times New Roman"/>
          <w:color w:val="000000"/>
          <w:sz w:val="22"/>
        </w:rPr>
        <w:t>means, with respect to any Person, any financing transaction or series of financing transactions (including, without limitation, factoring arrangements and Qualified Securitization Transactions) pursuant to which such Person or any Subsidiary of such Person may sell, convey or otherwise transfer, or grant a security interest in, Securitization Assets to a special purpose subsidiary or affiliate of such Person (including, without limitation, an Excluded Securitization Subsidiary).</w:t>
      </w:r>
    </w:p>
    <w:p>
      <w:pPr>
        <w:pStyle w:val="TextBody"/>
        <w:bidi w:val="0"/>
        <w:spacing w:before="240" w:after="283"/>
        <w:jc w:val="both"/>
        <w:rPr/>
      </w:pPr>
      <w:r>
        <w:rPr>
          <w:color w:val="000000"/>
        </w:rPr>
        <w:t>“</w:t>
      </w:r>
      <w:r>
        <w:rPr>
          <w:rFonts w:ascii="Times New Roman" w:hAnsi="Times New Roman"/>
          <w:i/>
          <w:color w:val="000000"/>
          <w:sz w:val="22"/>
        </w:rPr>
        <w:t>SOFR</w:t>
      </w:r>
      <w:r>
        <w:rPr>
          <w:rFonts w:ascii="Times New Roman" w:hAnsi="Times New Roman"/>
          <w:color w:val="000000"/>
          <w:sz w:val="20"/>
        </w:rPr>
        <w:t xml:space="preserve">” </w:t>
      </w:r>
      <w:r>
        <w:rPr>
          <w:rFonts w:ascii="Times New Roman" w:hAnsi="Times New Roman"/>
          <w:color w:val="000000"/>
          <w:sz w:val="22"/>
        </w:rPr>
        <w:t>means the Secured Overnight Financing Rate as administered by the Federal Reserve Bank of New York (or a successor administrator).</w:t>
      </w:r>
    </w:p>
    <w:p>
      <w:pPr>
        <w:pStyle w:val="TextBody"/>
        <w:bidi w:val="0"/>
        <w:spacing w:before="240" w:after="283"/>
        <w:jc w:val="both"/>
        <w:rPr/>
      </w:pPr>
      <w:r>
        <w:rPr>
          <w:strike/>
          <w:color w:val="FF0000"/>
        </w:rPr>
        <w:t>“</w:t>
      </w:r>
      <w:r>
        <w:rPr>
          <w:rFonts w:ascii="Times New Roman" w:hAnsi="Times New Roman"/>
          <w:i/>
          <w:strike/>
          <w:color w:val="FF0000"/>
          <w:sz w:val="22"/>
        </w:rPr>
        <w:t>SOFR Adjustment</w:t>
      </w:r>
      <w:r>
        <w:rPr>
          <w:rFonts w:ascii="Times New Roman" w:hAnsi="Times New Roman"/>
          <w:strike/>
          <w:color w:val="FF0000"/>
          <w:sz w:val="20"/>
        </w:rPr>
        <w:t xml:space="preserve">” </w:t>
      </w:r>
      <w:r>
        <w:rPr>
          <w:rFonts w:ascii="Times New Roman" w:hAnsi="Times New Roman"/>
          <w:strike/>
          <w:color w:val="FF0000"/>
          <w:sz w:val="22"/>
        </w:rPr>
        <w:t>with respect to Daily Simple SOFR and Term SOFR, means 0.10% (10 basis points).</w:t>
      </w:r>
    </w:p>
    <w:p>
      <w:pPr>
        <w:pStyle w:val="TextBody"/>
        <w:bidi w:val="0"/>
        <w:spacing w:before="240" w:after="283"/>
        <w:jc w:val="both"/>
        <w:rPr/>
      </w:pPr>
      <w:r>
        <w:rPr>
          <w:color w:val="000000"/>
        </w:rPr>
        <w:t>“</w:t>
      </w:r>
      <w:r>
        <w:rPr>
          <w:rFonts w:ascii="Times New Roman" w:hAnsi="Times New Roman"/>
          <w:i/>
          <w:color w:val="000000"/>
          <w:sz w:val="22"/>
        </w:rPr>
        <w:t xml:space="preserve">Solvent”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i/>
          <w:color w:val="000000"/>
          <w:sz w:val="22"/>
        </w:rPr>
        <w:t xml:space="preserve">Solvency” </w:t>
      </w:r>
      <w:r>
        <w:rPr>
          <w:rFonts w:ascii="Times New Roman" w:hAnsi="Times New Roman"/>
          <w:color w:val="000000"/>
          <w:sz w:val="22"/>
        </w:rPr>
        <w:t>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before="240" w:after="283"/>
        <w:jc w:val="both"/>
        <w:rPr/>
      </w:pPr>
      <w:r>
        <w:rPr>
          <w:color w:val="000000"/>
        </w:rPr>
        <w:t>“</w:t>
      </w:r>
      <w:r>
        <w:rPr>
          <w:rFonts w:ascii="Times New Roman" w:hAnsi="Times New Roman"/>
          <w:i/>
          <w:color w:val="000000"/>
          <w:sz w:val="22"/>
        </w:rPr>
        <w:t>SONIA</w:t>
      </w:r>
      <w:r>
        <w:rPr>
          <w:rFonts w:ascii="Times New Roman" w:hAnsi="Times New Roman"/>
          <w:color w:val="000000"/>
          <w:sz w:val="20"/>
        </w:rPr>
        <w:t xml:space="preserve">” </w:t>
      </w:r>
      <w:r>
        <w:rPr>
          <w:rFonts w:ascii="Times New Roman" w:hAnsi="Times New Roman"/>
          <w:color w:val="000000"/>
          <w:sz w:val="22"/>
        </w:rPr>
        <w:t xml:space="preserve">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however that if such determination date is not a Business Day, SONIA means such rate that applied on the first Business Day immediately prior thereto.</w:t>
      </w:r>
    </w:p>
    <w:p>
      <w:pPr>
        <w:pStyle w:val="TextBody"/>
        <w:bidi w:val="0"/>
        <w:spacing w:before="240" w:after="283"/>
        <w:jc w:val="both"/>
        <w:rPr/>
      </w:pPr>
      <w:r>
        <w:rPr>
          <w:color w:val="000000"/>
        </w:rPr>
        <w:t>“</w:t>
      </w:r>
      <w:r>
        <w:rPr>
          <w:rFonts w:ascii="Times New Roman" w:hAnsi="Times New Roman"/>
          <w:i/>
          <w:color w:val="000000"/>
          <w:sz w:val="22"/>
        </w:rPr>
        <w:t>SONIA Adjustment</w:t>
      </w:r>
      <w:r>
        <w:rPr>
          <w:rFonts w:ascii="Times New Roman" w:hAnsi="Times New Roman"/>
          <w:color w:val="000000"/>
          <w:sz w:val="20"/>
        </w:rPr>
        <w:t xml:space="preserve">” </w:t>
      </w:r>
      <w:r>
        <w:rPr>
          <w:rFonts w:ascii="Times New Roman" w:hAnsi="Times New Roman"/>
          <w:color w:val="000000"/>
          <w:sz w:val="22"/>
        </w:rPr>
        <w:t>means, with respect to SONIA, 0.0326% per annum.</w:t>
      </w:r>
    </w:p>
    <w:p>
      <w:pPr>
        <w:pStyle w:val="TextBody"/>
        <w:bidi w:val="0"/>
        <w:spacing w:before="240" w:after="283"/>
        <w:jc w:val="both"/>
        <w:rPr/>
      </w:pPr>
      <w:r>
        <w:rPr>
          <w:color w:val="000000"/>
        </w:rPr>
        <w:t>“</w:t>
      </w:r>
      <w:r>
        <w:rPr>
          <w:rFonts w:ascii="Times New Roman" w:hAnsi="Times New Roman"/>
          <w:i/>
          <w:color w:val="000000"/>
          <w:sz w:val="22"/>
        </w:rPr>
        <w:t xml:space="preserve">Special Notice Currency” </w:t>
      </w:r>
      <w:r>
        <w:rPr>
          <w:rFonts w:ascii="Times New Roman" w:hAnsi="Times New Roman"/>
          <w:color w:val="000000"/>
          <w:sz w:val="22"/>
        </w:rPr>
        <w:t>means at any time an Alternative Currency, other than the currency of a country that is a member of the Organization for Economic Cooperation and Development at such time located in North America or Europe.</w:t>
      </w:r>
    </w:p>
    <w:p>
      <w:pPr>
        <w:pStyle w:val="TextBody"/>
        <w:bidi w:val="0"/>
        <w:spacing w:before="240" w:after="283"/>
        <w:jc w:val="both"/>
        <w:rPr/>
      </w:pPr>
      <w:r>
        <w:rPr>
          <w:color w:val="0000FF"/>
          <w:u w:val="single"/>
        </w:rPr>
        <w:t>“</w:t>
      </w:r>
      <w:r>
        <w:rPr>
          <w:rFonts w:ascii="Times New Roman" w:hAnsi="Times New Roman"/>
          <w:i/>
          <w:color w:val="0000FF"/>
          <w:sz w:val="22"/>
          <w:u w:val="single"/>
        </w:rPr>
        <w:t>Specified Event of Default</w:t>
      </w:r>
      <w:r>
        <w:rPr>
          <w:rFonts w:ascii="Times New Roman" w:hAnsi="Times New Roman"/>
          <w:color w:val="0000FF"/>
          <w:sz w:val="20"/>
          <w:u w:val="single"/>
        </w:rPr>
        <w:t xml:space="preserve">” </w:t>
      </w:r>
      <w:r>
        <w:rPr>
          <w:rFonts w:ascii="Times New Roman" w:hAnsi="Times New Roman"/>
          <w:color w:val="0000FF"/>
          <w:sz w:val="22"/>
          <w:u w:val="single"/>
        </w:rPr>
        <w:t>means an Event of Default under Section 8.01(a), (f) or (g).</w:t>
      </w:r>
    </w:p>
    <w:p>
      <w:pPr>
        <w:pStyle w:val="TextBody"/>
        <w:bidi w:val="0"/>
        <w:spacing w:before="240" w:after="283"/>
        <w:jc w:val="both"/>
        <w:rPr/>
      </w:pPr>
      <w:r>
        <w:rPr>
          <w:color w:val="000000"/>
        </w:rPr>
        <w:t>“</w:t>
      </w:r>
      <w:r>
        <w:rPr>
          <w:rFonts w:ascii="Times New Roman" w:hAnsi="Times New Roman"/>
          <w:i/>
          <w:color w:val="000000"/>
          <w:sz w:val="22"/>
        </w:rPr>
        <w:t xml:space="preserve">Specified Loan Party” </w:t>
      </w:r>
      <w:r>
        <w:rPr>
          <w:rFonts w:ascii="Times New Roman" w:hAnsi="Times New Roman"/>
          <w:color w:val="000000"/>
          <w:sz w:val="22"/>
        </w:rPr>
        <w:t>means any Loan Party that is not then an “eligible contract participant” under the Commodity Exchange Act (determined prior to giving effect to Section 10.10).</w:t>
      </w:r>
    </w:p>
    <w:p>
      <w:pPr>
        <w:pStyle w:val="TextBody"/>
        <w:bidi w:val="0"/>
        <w:spacing w:before="240" w:after="283"/>
        <w:jc w:val="both"/>
        <w:rPr/>
      </w:pPr>
      <w:r>
        <w:rPr>
          <w:color w:val="000000"/>
        </w:rPr>
        <w:t>“</w:t>
      </w:r>
      <w:r>
        <w:rPr>
          <w:rFonts w:ascii="Times New Roman" w:hAnsi="Times New Roman"/>
          <w:i/>
          <w:color w:val="000000"/>
          <w:sz w:val="22"/>
        </w:rPr>
        <w:t>Standard Securitization Undertakings</w:t>
      </w:r>
      <w:r>
        <w:rPr>
          <w:rFonts w:ascii="Times New Roman" w:hAnsi="Times New Roman"/>
          <w:color w:val="000000"/>
          <w:sz w:val="20"/>
        </w:rPr>
        <w:t xml:space="preserve">” </w:t>
      </w:r>
      <w:r>
        <w:rPr>
          <w:rFonts w:ascii="Times New Roman" w:hAnsi="Times New Roman"/>
          <w:color w:val="000000"/>
          <w:sz w:val="22"/>
        </w:rPr>
        <w:t>means those representations, warranties, covenants and indemnities entered into by the Loan Parties or any Excluded Securitization Subsidiary which are customary in securitization transactions of a comparable size involving similar Securitization Assets in the jurisdictions applicable to such transactions.</w:t>
      </w:r>
    </w:p>
    <w:p>
      <w:pPr>
        <w:pStyle w:val="TextBody"/>
        <w:bidi w:val="0"/>
        <w:spacing w:before="240" w:after="283"/>
        <w:jc w:val="both"/>
        <w:rPr/>
      </w:pPr>
      <w:r>
        <w:rPr>
          <w:color w:val="000000"/>
        </w:rPr>
        <w:t>“</w:t>
      </w:r>
      <w:r>
        <w:rPr>
          <w:rFonts w:ascii="Times New Roman" w:hAnsi="Times New Roman"/>
          <w:i/>
          <w:color w:val="000000"/>
          <w:sz w:val="22"/>
        </w:rPr>
        <w:t xml:space="preserve">Sterling”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i/>
          <w:color w:val="000000"/>
          <w:sz w:val="22"/>
        </w:rPr>
        <w:t xml:space="preserve">£” </w:t>
      </w:r>
      <w:r>
        <w:rPr>
          <w:rFonts w:ascii="Times New Roman" w:hAnsi="Times New Roman"/>
          <w:color w:val="000000"/>
          <w:sz w:val="22"/>
        </w:rPr>
        <w:t>mean the lawful currency of the United Kingdom.</w:t>
      </w:r>
    </w:p>
    <w:p>
      <w:pPr>
        <w:pStyle w:val="TextBody"/>
        <w:bidi w:val="0"/>
        <w:spacing w:before="240" w:after="283"/>
        <w:jc w:val="both"/>
        <w:rPr/>
      </w:pPr>
      <w:r>
        <w:rPr>
          <w:color w:val="000000"/>
        </w:rPr>
        <w:t>“</w:t>
      </w:r>
      <w:r>
        <w:rPr>
          <w:rFonts w:ascii="Times New Roman" w:hAnsi="Times New Roman"/>
          <w:i/>
          <w:color w:val="000000"/>
          <w:sz w:val="22"/>
        </w:rPr>
        <w:t xml:space="preserve">Subsidiary” </w:t>
      </w:r>
      <w:r>
        <w:rPr>
          <w:rFonts w:ascii="Times New Roman" w:hAnsi="Times New Roman"/>
          <w:color w:val="000000"/>
          <w:sz w:val="22"/>
        </w:rPr>
        <w:t>of a Person means a corporation, partnership, joint venture, limited liability company or other business entity of which a majority of the shares of securities or other interests having ordinary voting power and/or the power for the election of the majority of the directors or other governing body (other than securities or interests having such power only by reason of the happening of a contingency) are at the time beneficially owned, or the management of which is otherwise controlled (pursuant to an agreement or otherwise), directly, or indirectly through one or more intermediaries, or both, by such Person. Unless otherwise specified, all references herein to a “Subsidiary” or to “Subsidiaries” shall refer to a Subsidiary or Subsidiaries of the Domestic Borrower.</w:t>
      </w:r>
    </w:p>
    <w:p>
      <w:pPr>
        <w:pStyle w:val="TextBody"/>
        <w:bidi w:val="0"/>
        <w:spacing w:before="240" w:after="283"/>
        <w:jc w:val="both"/>
        <w:rPr/>
      </w:pPr>
      <w:r>
        <w:rPr>
          <w:color w:val="000000"/>
        </w:rPr>
        <w:t>“</w:t>
      </w:r>
      <w:r>
        <w:rPr>
          <w:rFonts w:ascii="Times New Roman" w:hAnsi="Times New Roman"/>
          <w:i/>
          <w:color w:val="000000"/>
          <w:sz w:val="22"/>
        </w:rPr>
        <w:t>Successor Rate</w:t>
      </w:r>
      <w:r>
        <w:rPr>
          <w:rFonts w:ascii="Times New Roman" w:hAnsi="Times New Roman"/>
          <w:color w:val="000000"/>
          <w:sz w:val="20"/>
        </w:rPr>
        <w:t xml:space="preserve">” </w:t>
      </w:r>
      <w:r>
        <w:rPr>
          <w:rFonts w:ascii="Times New Roman" w:hAnsi="Times New Roman"/>
          <w:color w:val="000000"/>
          <w:sz w:val="22"/>
        </w:rPr>
        <w:t>has the meaning set forth in Section 3.03(b)(ii). “</w:t>
      </w:r>
      <w:r>
        <w:rPr>
          <w:rFonts w:ascii="Times New Roman" w:hAnsi="Times New Roman"/>
          <w:i/>
          <w:color w:val="000000"/>
          <w:sz w:val="22"/>
        </w:rPr>
        <w:t>Sustainability</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Structuring Agent” </w:t>
      </w:r>
      <w:r>
        <w:rPr>
          <w:rFonts w:ascii="Times New Roman" w:hAnsi="Times New Roman"/>
          <w:color w:val="000000"/>
          <w:sz w:val="22"/>
        </w:rPr>
        <w:t>has the meaning set forth in Section 2.20(a).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Swap Contract” </w:t>
      </w:r>
      <w:r>
        <w:rPr>
          <w:rFonts w:ascii="Times New Roman" w:hAnsi="Times New Roman"/>
          <w:color w:val="000000"/>
          <w:sz w:val="22"/>
        </w:rPr>
        <w:t xml:space="preserve">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color w:val="000000"/>
          <w:sz w:val="20"/>
        </w:rPr>
        <w:t>“</w:t>
      </w:r>
      <w:r>
        <w:rPr>
          <w:rFonts w:ascii="Times New Roman" w:hAnsi="Times New Roman"/>
          <w:i/>
          <w:color w:val="000000"/>
          <w:sz w:val="22"/>
        </w:rPr>
        <w:t>Master Agreement”</w:t>
      </w:r>
      <w:r>
        <w:rPr>
          <w:rFonts w:ascii="Times New Roman" w:hAnsi="Times New Roman"/>
          <w:color w:val="000000"/>
          <w:sz w:val="22"/>
        </w:rPr>
        <w:t>), including any such obligations or liabilities under any Master Agreement</w:t>
      </w:r>
      <w:r>
        <w:rPr>
          <w:rFonts w:ascii="Times New Roman" w:hAnsi="Times New Roman"/>
          <w:color w:val="0000FF"/>
          <w:sz w:val="22"/>
          <w:u w:val="single"/>
        </w:rPr>
        <w:t>. Notwithstanding the foregoing,</w:t>
      </w:r>
      <w:r>
        <w:rPr>
          <w:rFonts w:ascii="Times New Roman" w:hAnsi="Times New Roman"/>
          <w:color w:val="0000FF"/>
          <w:sz w:val="20"/>
        </w:rPr>
        <w:t xml:space="preserve"> </w:t>
      </w:r>
      <w:r>
        <w:rPr>
          <w:rFonts w:ascii="Times New Roman" w:hAnsi="Times New Roman"/>
          <w:color w:val="0000FF"/>
          <w:sz w:val="22"/>
          <w:u w:val="single"/>
        </w:rPr>
        <w:t>no Permitted Bond Hedge Transaction nor Permitted Warrant Transaction shall constitute a Swap Contract</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Swap Obligations” </w:t>
      </w:r>
      <w:r>
        <w:rPr>
          <w:rFonts w:ascii="Times New Roman" w:hAnsi="Times New Roman"/>
          <w:color w:val="000000"/>
          <w:sz w:val="22"/>
        </w:rPr>
        <w:t>means</w:t>
      </w:r>
      <w:r>
        <w:rPr>
          <w:rFonts w:ascii="Times New Roman" w:hAnsi="Times New Roman"/>
          <w:color w:val="0000FF"/>
          <w:sz w:val="22"/>
        </w:rPr>
        <w:t xml:space="preserve">, </w:t>
      </w:r>
      <w:r>
        <w:rPr>
          <w:rFonts w:ascii="Times New Roman" w:hAnsi="Times New Roman"/>
          <w:color w:val="000000"/>
          <w:sz w:val="22"/>
        </w:rPr>
        <w:t>with respect to any Loan Party</w:t>
      </w:r>
      <w:r>
        <w:rPr>
          <w:rFonts w:ascii="Times New Roman" w:hAnsi="Times New Roman"/>
          <w:color w:val="0000FF"/>
          <w:sz w:val="22"/>
        </w:rPr>
        <w:t xml:space="preserve">, </w:t>
      </w:r>
      <w:r>
        <w:rPr>
          <w:rFonts w:ascii="Times New Roman" w:hAnsi="Times New Roman"/>
          <w:color w:val="000000"/>
          <w:sz w:val="22"/>
        </w:rPr>
        <w:t>any obligation to pay or perform under any agreement, contract or transaction</w:t>
      </w:r>
      <w:r>
        <w:rPr>
          <w:rFonts w:ascii="Times New Roman" w:hAnsi="Times New Roman"/>
          <w:color w:val="0000FF"/>
          <w:sz w:val="20"/>
          <w:u w:val="single"/>
        </w:rPr>
        <w:t xml:space="preserve"> </w:t>
      </w:r>
      <w:r>
        <w:rPr>
          <w:rFonts w:ascii="Times New Roman" w:hAnsi="Times New Roman"/>
          <w:color w:val="0000FF"/>
          <w:sz w:val="22"/>
          <w:u w:val="single"/>
        </w:rPr>
        <w:t>(other than a Permitted Bond Hedge Transaction or a Permitted</w:t>
      </w:r>
      <w:r>
        <w:rPr>
          <w:rFonts w:ascii="Times New Roman" w:hAnsi="Times New Roman"/>
          <w:color w:val="0000FF"/>
          <w:sz w:val="20"/>
        </w:rPr>
        <w:t xml:space="preserve"> </w:t>
      </w:r>
      <w:r>
        <w:rPr>
          <w:rFonts w:ascii="Times New Roman" w:hAnsi="Times New Roman"/>
          <w:color w:val="0000FF"/>
          <w:sz w:val="22"/>
          <w:u w:val="single"/>
        </w:rPr>
        <w:t>Warrant Transaction)</w:t>
      </w:r>
      <w:r>
        <w:rPr>
          <w:rFonts w:ascii="Times New Roman" w:hAnsi="Times New Roman"/>
          <w:color w:val="0000FF"/>
          <w:sz w:val="20"/>
        </w:rPr>
        <w:t xml:space="preserve"> </w:t>
      </w:r>
      <w:r>
        <w:rPr>
          <w:rFonts w:ascii="Times New Roman" w:hAnsi="Times New Roman"/>
          <w:color w:val="000000"/>
          <w:sz w:val="22"/>
        </w:rPr>
        <w:t>that constitutes a “swap” within the meaning of Section 1a(47) of the Commodity Exchange Act.</w:t>
      </w:r>
    </w:p>
    <w:p>
      <w:pPr>
        <w:pStyle w:val="TextBody"/>
        <w:bidi w:val="0"/>
        <w:spacing w:before="240" w:after="283"/>
        <w:jc w:val="both"/>
        <w:rPr/>
      </w:pPr>
      <w:r>
        <w:rPr>
          <w:color w:val="000000"/>
        </w:rPr>
        <w:t>“</w:t>
      </w:r>
      <w:r>
        <w:rPr>
          <w:rFonts w:ascii="Times New Roman" w:hAnsi="Times New Roman"/>
          <w:i/>
          <w:color w:val="000000"/>
          <w:sz w:val="22"/>
        </w:rPr>
        <w:t xml:space="preserve">Swap Termination Value” </w:t>
      </w:r>
      <w:r>
        <w:rPr>
          <w:rFonts w:ascii="Times New Roman" w:hAnsi="Times New Roman"/>
          <w:color w:val="000000"/>
          <w:sz w:val="22"/>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240" w:after="283"/>
        <w:jc w:val="both"/>
        <w:rPr/>
      </w:pPr>
      <w:r>
        <w:rPr>
          <w:color w:val="000000"/>
        </w:rPr>
        <w:t>“</w:t>
      </w:r>
      <w:r>
        <w:rPr>
          <w:rFonts w:ascii="Times New Roman" w:hAnsi="Times New Roman"/>
          <w:i/>
          <w:color w:val="000000"/>
          <w:sz w:val="22"/>
        </w:rPr>
        <w:t xml:space="preserve">Swingline Borrowing” </w:t>
      </w:r>
      <w:r>
        <w:rPr>
          <w:rFonts w:ascii="Times New Roman" w:hAnsi="Times New Roman"/>
          <w:color w:val="000000"/>
          <w:sz w:val="22"/>
        </w:rPr>
        <w:t>means a borrowing of a Swingline Loan pursuant to Section 2.04.</w:t>
      </w:r>
    </w:p>
    <w:p>
      <w:pPr>
        <w:pStyle w:val="TextBody"/>
        <w:bidi w:val="0"/>
        <w:spacing w:before="240" w:after="283"/>
        <w:jc w:val="both"/>
        <w:rPr/>
      </w:pPr>
      <w:r>
        <w:rPr>
          <w:color w:val="000000"/>
        </w:rPr>
        <w:t>“</w:t>
      </w:r>
      <w:r>
        <w:rPr>
          <w:rFonts w:ascii="Times New Roman" w:hAnsi="Times New Roman"/>
          <w:i/>
          <w:color w:val="000000"/>
          <w:sz w:val="22"/>
        </w:rPr>
        <w:t>Swingline Commitment</w:t>
      </w:r>
      <w:r>
        <w:rPr>
          <w:rFonts w:ascii="Times New Roman" w:hAnsi="Times New Roman"/>
          <w:color w:val="000000"/>
          <w:sz w:val="20"/>
        </w:rPr>
        <w:t xml:space="preserve">” </w:t>
      </w:r>
      <w:r>
        <w:rPr>
          <w:rFonts w:ascii="Times New Roman" w:hAnsi="Times New Roman"/>
          <w:color w:val="000000"/>
          <w:sz w:val="22"/>
        </w:rPr>
        <w:t>means, as to any Lender (a) the amount set forth opposite such Lender’s name on Schedule 2.01 hereof or (b) if such Lender has entered into an Assignment and Assumption or has otherwise assumed a Swingline Commitment after the Closing Date, the amount set forth for such Lender as its Swingline Commitment in the Register maintained by the Administrative Agent pursuant to Section 11.06(c).</w:t>
      </w:r>
    </w:p>
    <w:p>
      <w:pPr>
        <w:pStyle w:val="TextBody"/>
        <w:bidi w:val="0"/>
        <w:spacing w:before="240" w:after="283"/>
        <w:jc w:val="both"/>
        <w:rPr/>
      </w:pPr>
      <w:r>
        <w:rPr>
          <w:color w:val="000000"/>
        </w:rPr>
        <w:t>“</w:t>
      </w:r>
      <w:r>
        <w:rPr>
          <w:rFonts w:ascii="Times New Roman" w:hAnsi="Times New Roman"/>
          <w:i/>
          <w:color w:val="000000"/>
          <w:sz w:val="22"/>
        </w:rPr>
        <w:t xml:space="preserve">Swingline Lender” </w:t>
      </w:r>
      <w:r>
        <w:rPr>
          <w:rFonts w:ascii="Times New Roman" w:hAnsi="Times New Roman"/>
          <w:color w:val="000000"/>
          <w:sz w:val="22"/>
        </w:rPr>
        <w:t>means Bank of America in its capacity as provider of Swingline Loans, or any successor swingline lender hereunder.</w:t>
      </w:r>
    </w:p>
    <w:p>
      <w:pPr>
        <w:pStyle w:val="TextBody"/>
        <w:bidi w:val="0"/>
        <w:spacing w:before="240" w:after="283"/>
        <w:jc w:val="both"/>
        <w:rPr/>
      </w:pPr>
      <w:r>
        <w:rPr>
          <w:color w:val="000000"/>
        </w:rPr>
        <w:t>“</w:t>
      </w:r>
      <w:r>
        <w:rPr>
          <w:rFonts w:ascii="Times New Roman" w:hAnsi="Times New Roman"/>
          <w:i/>
          <w:color w:val="000000"/>
          <w:sz w:val="22"/>
        </w:rPr>
        <w:t xml:space="preserve">Swingline Loan” </w:t>
      </w:r>
      <w:r>
        <w:rPr>
          <w:rFonts w:ascii="Times New Roman" w:hAnsi="Times New Roman"/>
          <w:color w:val="000000"/>
          <w:sz w:val="22"/>
        </w:rPr>
        <w:t>has the meaning specified in Section 2.04(a).</w:t>
      </w:r>
    </w:p>
    <w:p>
      <w:pPr>
        <w:pStyle w:val="TextBody"/>
        <w:bidi w:val="0"/>
        <w:spacing w:before="240" w:after="283"/>
        <w:jc w:val="both"/>
        <w:rPr/>
      </w:pPr>
      <w:r>
        <w:rPr>
          <w:color w:val="000000"/>
        </w:rPr>
        <w:t>“</w:t>
      </w:r>
      <w:r>
        <w:rPr>
          <w:rFonts w:ascii="Times New Roman" w:hAnsi="Times New Roman"/>
          <w:i/>
          <w:color w:val="000000"/>
          <w:sz w:val="22"/>
        </w:rPr>
        <w:t xml:space="preserve">Swingline Loan Notice” </w:t>
      </w:r>
      <w:r>
        <w:rPr>
          <w:rFonts w:ascii="Times New Roman" w:hAnsi="Times New Roman"/>
          <w:color w:val="000000"/>
          <w:sz w:val="22"/>
        </w:rPr>
        <w:t xml:space="preserve">means a notice of a Swingline Borrowing pursuant to Section 2.04(b), which shall be substantially in the form of </w:t>
      </w:r>
      <w:r>
        <w:rPr>
          <w:rFonts w:ascii="Times New Roman" w:hAnsi="Times New Roman"/>
          <w:i/>
          <w:color w:val="000000"/>
          <w:sz w:val="22"/>
        </w:rPr>
        <w:t xml:space="preserve">Exhibit B </w:t>
      </w:r>
      <w:r>
        <w:rPr>
          <w:rFonts w:ascii="Times New Roman" w:hAnsi="Times New Roman"/>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240" w:after="283"/>
        <w:jc w:val="both"/>
        <w:rPr/>
      </w:pPr>
      <w:r>
        <w:rPr>
          <w:color w:val="000000"/>
        </w:rPr>
        <w:t>“</w:t>
      </w:r>
      <w:r>
        <w:rPr>
          <w:rFonts w:ascii="Times New Roman" w:hAnsi="Times New Roman"/>
          <w:i/>
          <w:color w:val="000000"/>
          <w:sz w:val="22"/>
        </w:rPr>
        <w:t xml:space="preserve">Swingline Sublimit” </w:t>
      </w:r>
      <w:r>
        <w:rPr>
          <w:rFonts w:ascii="Times New Roman" w:hAnsi="Times New Roman"/>
          <w:color w:val="000000"/>
          <w:sz w:val="22"/>
        </w:rPr>
        <w:t>means an amount equal to the lesser of (a) $50,000,000 and (b) the Revolving Credit Facility. The Swingline Sublimit is part of, and not in addition to, the Revolving Credit Facility.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FF"/>
          <w:u w:val="single"/>
        </w:rPr>
        <w:t>“</w:t>
      </w:r>
      <w:r>
        <w:rPr>
          <w:rFonts w:ascii="Times New Roman" w:hAnsi="Times New Roman"/>
          <w:i/>
          <w:color w:val="0000FF"/>
          <w:sz w:val="22"/>
          <w:u w:val="single"/>
        </w:rPr>
        <w:t xml:space="preserve">Synthetic Debt” </w:t>
      </w:r>
      <w:r>
        <w:rPr>
          <w:rFonts w:ascii="Times New Roman" w:hAnsi="Times New Roman"/>
          <w:color w:val="0000FF"/>
          <w:sz w:val="22"/>
          <w:u w:val="single"/>
        </w:rPr>
        <w:t>means, with respect to any Person as of any date of determination thereof, all</w:t>
      </w:r>
      <w:r>
        <w:rPr>
          <w:rFonts w:ascii="Times New Roman" w:hAnsi="Times New Roman"/>
          <w:color w:val="0000FF"/>
          <w:sz w:val="20"/>
        </w:rPr>
        <w:t xml:space="preserve"> </w:t>
      </w:r>
      <w:r>
        <w:rPr>
          <w:rFonts w:ascii="Times New Roman" w:hAnsi="Times New Roman"/>
          <w:color w:val="0000FF"/>
          <w:sz w:val="22"/>
          <w:u w:val="single"/>
        </w:rPr>
        <w:t>obligations of such Person in respect of transactions entered into by such Person that are intended to</w:t>
      </w:r>
      <w:r>
        <w:rPr>
          <w:rFonts w:ascii="Times New Roman" w:hAnsi="Times New Roman"/>
          <w:color w:val="0000FF"/>
          <w:sz w:val="20"/>
        </w:rPr>
        <w:t xml:space="preserve"> </w:t>
      </w:r>
      <w:r>
        <w:rPr>
          <w:rFonts w:ascii="Times New Roman" w:hAnsi="Times New Roman"/>
          <w:color w:val="0000FF"/>
          <w:sz w:val="22"/>
          <w:u w:val="single"/>
        </w:rPr>
        <w:t>function primarily as a borrowing of funds (including any minority interest transactions that function</w:t>
      </w:r>
      <w:r>
        <w:rPr>
          <w:rFonts w:ascii="Times New Roman" w:hAnsi="Times New Roman"/>
          <w:color w:val="0000FF"/>
          <w:sz w:val="20"/>
        </w:rPr>
        <w:t xml:space="preserve"> </w:t>
      </w:r>
      <w:r>
        <w:rPr>
          <w:rFonts w:ascii="Times New Roman" w:hAnsi="Times New Roman"/>
          <w:color w:val="0000FF"/>
          <w:sz w:val="22"/>
          <w:u w:val="single"/>
        </w:rPr>
        <w:t>primarily as a borrowing) but are not otherwise included in the definition of “Indebtedness” or as a liability</w:t>
      </w:r>
      <w:r>
        <w:rPr>
          <w:rFonts w:ascii="Times New Roman" w:hAnsi="Times New Roman"/>
          <w:color w:val="0000FF"/>
          <w:sz w:val="20"/>
        </w:rPr>
        <w:t xml:space="preserve"> </w:t>
      </w:r>
      <w:r>
        <w:rPr>
          <w:rFonts w:ascii="Times New Roman" w:hAnsi="Times New Roman"/>
          <w:color w:val="0000FF"/>
          <w:sz w:val="22"/>
          <w:u w:val="single"/>
        </w:rPr>
        <w:t>on the Consolidated balance sheet of such Person and its Subsidiaries in accordance with GAAP.</w:t>
      </w:r>
    </w:p>
    <w:p>
      <w:pPr>
        <w:pStyle w:val="TextBody"/>
        <w:bidi w:val="0"/>
        <w:spacing w:before="240" w:after="283"/>
        <w:jc w:val="both"/>
        <w:rPr/>
      </w:pPr>
      <w:r>
        <w:rPr>
          <w:color w:val="000000"/>
        </w:rPr>
        <w:t>“</w:t>
      </w:r>
      <w:r>
        <w:rPr>
          <w:rFonts w:ascii="Times New Roman" w:hAnsi="Times New Roman"/>
          <w:i/>
          <w:color w:val="000000"/>
          <w:sz w:val="22"/>
        </w:rPr>
        <w:t xml:space="preserve">Synthetic Lease Obligation” </w:t>
      </w:r>
      <w:r>
        <w:rPr>
          <w:rFonts w:ascii="Times New Roman" w:hAnsi="Times New Roman"/>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240" w:after="283"/>
        <w:jc w:val="both"/>
        <w:rPr/>
      </w:pPr>
      <w:r>
        <w:rPr>
          <w:color w:val="000000"/>
        </w:rPr>
        <w:t>“</w:t>
      </w:r>
      <w:r>
        <w:rPr>
          <w:rFonts w:ascii="Times New Roman" w:hAnsi="Times New Roman"/>
          <w:i/>
          <w:strike/>
          <w:color w:val="FF0000"/>
          <w:sz w:val="22"/>
        </w:rPr>
        <w:t>TARGET2</w:t>
      </w:r>
      <w:r>
        <w:rPr>
          <w:rFonts w:ascii="Times New Roman" w:hAnsi="Times New Roman"/>
          <w:strike/>
          <w:color w:val="FF0000"/>
          <w:sz w:val="20"/>
        </w:rPr>
        <w:t xml:space="preserve">” </w:t>
      </w:r>
      <w:r>
        <w:rPr>
          <w:rFonts w:ascii="Times New Roman" w:hAnsi="Times New Roman"/>
          <w:strike/>
          <w:color w:val="FF0000"/>
          <w:sz w:val="22"/>
        </w:rPr>
        <w:t>means the Trans-European Automated Real-time Gross Settlement Express Transfer</w:t>
      </w:r>
      <w:r>
        <w:rPr>
          <w:rFonts w:ascii="Times New Roman" w:hAnsi="Times New Roman"/>
          <w:color w:val="FF0000"/>
          <w:sz w:val="20"/>
        </w:rPr>
        <w:t xml:space="preserve"> </w:t>
      </w:r>
      <w:r>
        <w:rPr>
          <w:rFonts w:ascii="Times New Roman" w:hAnsi="Times New Roman"/>
          <w:strike/>
          <w:color w:val="FF0000"/>
          <w:sz w:val="22"/>
        </w:rPr>
        <w:t>payment system which utilizes a single shared platform and which was launched on November 19, 2007</w:t>
      </w:r>
      <w:r>
        <w:rPr>
          <w:rFonts w:ascii="Times New Roman" w:hAnsi="Times New Roman"/>
          <w:i/>
          <w:color w:val="0000FF"/>
          <w:sz w:val="22"/>
          <w:u w:val="single"/>
        </w:rPr>
        <w:t>T2</w:t>
      </w:r>
      <w:r>
        <w:rPr>
          <w:rFonts w:ascii="Times New Roman" w:hAnsi="Times New Roman"/>
          <w:color w:val="0000FF"/>
          <w:sz w:val="20"/>
          <w:u w:val="single"/>
        </w:rPr>
        <w:t>”</w:t>
      </w:r>
      <w:r>
        <w:rPr>
          <w:rFonts w:ascii="Times New Roman" w:hAnsi="Times New Roman"/>
          <w:color w:val="0000FF"/>
          <w:sz w:val="20"/>
        </w:rPr>
        <w:t xml:space="preserve"> </w:t>
      </w:r>
      <w:r>
        <w:rPr>
          <w:rFonts w:ascii="Times New Roman" w:hAnsi="Times New Roman"/>
          <w:color w:val="0000FF"/>
          <w:sz w:val="22"/>
          <w:u w:val="single"/>
        </w:rPr>
        <w:t>means the real time gross settlement system operated by the Eurosystem, or any successor system</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TARGET Day</w:t>
      </w:r>
      <w:r>
        <w:rPr>
          <w:rFonts w:ascii="Times New Roman" w:hAnsi="Times New Roman"/>
          <w:color w:val="000000"/>
          <w:sz w:val="20"/>
        </w:rPr>
        <w:t xml:space="preserve">” </w:t>
      </w:r>
      <w:r>
        <w:rPr>
          <w:rFonts w:ascii="Times New Roman" w:hAnsi="Times New Roman"/>
          <w:color w:val="000000"/>
          <w:sz w:val="22"/>
        </w:rPr>
        <w:t xml:space="preserve">means any day on which </w:t>
      </w:r>
      <w:r>
        <w:rPr>
          <w:rFonts w:ascii="Times New Roman" w:hAnsi="Times New Roman"/>
          <w:strike/>
          <w:color w:val="FF0000"/>
          <w:sz w:val="22"/>
        </w:rPr>
        <w:t>TARGET2 (or, if such payment system ceases to be</w:t>
      </w:r>
      <w:r>
        <w:rPr>
          <w:rFonts w:ascii="Times New Roman" w:hAnsi="Times New Roman"/>
          <w:color w:val="FF0000"/>
          <w:sz w:val="20"/>
        </w:rPr>
        <w:t xml:space="preserve"> </w:t>
      </w:r>
      <w:r>
        <w:rPr>
          <w:rFonts w:ascii="Times New Roman" w:hAnsi="Times New Roman"/>
          <w:strike/>
          <w:color w:val="FF0000"/>
          <w:sz w:val="22"/>
        </w:rPr>
        <w:t>operative, such other payment system, if any, determined by the Administrative Agent to be a suitable</w:t>
      </w:r>
      <w:r>
        <w:rPr>
          <w:rFonts w:ascii="Times New Roman" w:hAnsi="Times New Roman"/>
          <w:color w:val="FF0000"/>
          <w:sz w:val="20"/>
        </w:rPr>
        <w:t xml:space="preserve"> </w:t>
      </w:r>
      <w:r>
        <w:rPr>
          <w:rFonts w:ascii="Times New Roman" w:hAnsi="Times New Roman"/>
          <w:strike/>
          <w:color w:val="FF0000"/>
          <w:sz w:val="22"/>
        </w:rPr>
        <w:t>replacement)</w:t>
      </w:r>
      <w:r>
        <w:rPr>
          <w:rFonts w:ascii="Times New Roman" w:hAnsi="Times New Roman"/>
          <w:color w:val="0000FF"/>
          <w:sz w:val="22"/>
          <w:u w:val="single"/>
        </w:rPr>
        <w:t>T2</w:t>
      </w:r>
      <w:r>
        <w:rPr>
          <w:rFonts w:ascii="Times New Roman" w:hAnsi="Times New Roman"/>
          <w:color w:val="0000FF"/>
          <w:sz w:val="20"/>
        </w:rPr>
        <w:t xml:space="preserve"> </w:t>
      </w:r>
      <w:r>
        <w:rPr>
          <w:rFonts w:ascii="Times New Roman" w:hAnsi="Times New Roman"/>
          <w:color w:val="000000"/>
          <w:sz w:val="22"/>
        </w:rPr>
        <w:t>is open for the settlement of payments in Euro.</w:t>
      </w:r>
    </w:p>
    <w:p>
      <w:pPr>
        <w:pStyle w:val="TextBody"/>
        <w:bidi w:val="0"/>
        <w:spacing w:before="240" w:after="283"/>
        <w:jc w:val="both"/>
        <w:rPr/>
      </w:pPr>
      <w:r>
        <w:rPr>
          <w:color w:val="000000"/>
        </w:rPr>
        <w:t>“</w:t>
      </w:r>
      <w:r>
        <w:rPr>
          <w:rFonts w:ascii="Times New Roman" w:hAnsi="Times New Roman"/>
          <w:i/>
          <w:color w:val="000000"/>
          <w:sz w:val="22"/>
        </w:rPr>
        <w:t xml:space="preserve">Taxes” </w:t>
      </w:r>
      <w:r>
        <w:rPr>
          <w:rFonts w:ascii="Times New Roman" w:hAnsi="Times New Roman"/>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240" w:after="283"/>
        <w:jc w:val="both"/>
        <w:rPr/>
      </w:pPr>
      <w:r>
        <w:rPr>
          <w:color w:val="000000"/>
        </w:rPr>
        <w:t>“</w:t>
      </w:r>
      <w:r>
        <w:rPr>
          <w:rFonts w:ascii="Times New Roman" w:hAnsi="Times New Roman"/>
          <w:i/>
          <w:color w:val="000000"/>
          <w:sz w:val="22"/>
        </w:rPr>
        <w:t>Term SOFR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2"/>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hAnsi="Times New Roman"/>
          <w:i/>
          <w:color w:val="000000"/>
          <w:sz w:val="22"/>
        </w:rPr>
        <w:t xml:space="preserve">provided </w:t>
      </w:r>
      <w:r>
        <w:rPr>
          <w:rFonts w:ascii="Times New Roman" w:hAnsi="Times New Roman"/>
          <w:color w:val="000000"/>
          <w:sz w:val="22"/>
        </w:rPr>
        <w:t>that if the rate is not published prior to 11:00 a.m. on such determination date then Term SOFR means the Term SOFR Screen Rate on the first U.S. Government Securities Business Day immediately prior thereto</w:t>
      </w:r>
      <w:r>
        <w:rPr>
          <w:rFonts w:ascii="Times New Roman" w:hAnsi="Times New Roman"/>
          <w:strike/>
          <w:color w:val="FF0000"/>
          <w:sz w:val="22"/>
        </w:rPr>
        <w:t xml:space="preserve">, in each case, </w:t>
      </w:r>
      <w:r>
        <w:rPr>
          <w:rFonts w:ascii="Times New Roman" w:hAnsi="Times New Roman"/>
          <w:i/>
          <w:strike/>
          <w:color w:val="FF0000"/>
          <w:sz w:val="22"/>
        </w:rPr>
        <w:t xml:space="preserve">plus </w:t>
      </w:r>
      <w:r>
        <w:rPr>
          <w:rFonts w:ascii="Times New Roman" w:hAnsi="Times New Roman"/>
          <w:strike/>
          <w:color w:val="FF0000"/>
          <w:sz w:val="22"/>
        </w:rPr>
        <w:t>the SOFR Adjustment for such Interest Period</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2"/>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hAnsi="Times New Roman"/>
          <w:i/>
          <w:color w:val="000000"/>
          <w:sz w:val="22"/>
        </w:rPr>
        <w:t xml:space="preserve">provided </w:t>
      </w:r>
      <w:r>
        <w:rPr>
          <w:rFonts w:ascii="Times New Roman" w:hAnsi="Times New Roman"/>
          <w:color w:val="000000"/>
          <w:sz w:val="22"/>
        </w:rPr>
        <w:t>that if the rate is not published prior to 11:00 a.m. on such determination date then Term SOFR means the Term SOFR Screen Rate on the first U.S. Government Securities Business Day immediately prior thereto</w:t>
      </w:r>
      <w:r>
        <w:rPr>
          <w:rFonts w:ascii="Times New Roman" w:hAnsi="Times New Roman"/>
          <w:strike/>
          <w:color w:val="FF0000"/>
          <w:sz w:val="22"/>
        </w:rPr>
        <w:t>, in each case, plus the SOFR Adjustment</w:t>
      </w:r>
      <w:r>
        <w:rPr>
          <w:color w:val="FF0000"/>
        </w:rPr>
        <w:t xml:space="preserve"> </w:t>
      </w:r>
      <w:r>
        <w:rPr>
          <w:rFonts w:ascii="Times New Roman" w:hAnsi="Times New Roman"/>
          <w:strike/>
          <w:color w:val="FF0000"/>
          <w:sz w:val="22"/>
        </w:rPr>
        <w:t>for such term</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that if Term SOFR determined in accordance with either of the foregoing provisions (a) or (b) of this definition would otherwise be less than zero, Term SOFR shall be deemed zero for purposes of this Agreement.</w:t>
      </w:r>
    </w:p>
    <w:p>
      <w:pPr>
        <w:pStyle w:val="TextBody"/>
        <w:bidi w:val="0"/>
        <w:spacing w:before="240" w:after="283"/>
        <w:jc w:val="both"/>
        <w:rPr/>
      </w:pPr>
      <w:r>
        <w:rPr>
          <w:color w:val="000000"/>
        </w:rPr>
        <w:t>“</w:t>
      </w:r>
      <w:r>
        <w:rPr>
          <w:rFonts w:ascii="Times New Roman" w:hAnsi="Times New Roman"/>
          <w:i/>
          <w:color w:val="000000"/>
          <w:sz w:val="22"/>
        </w:rPr>
        <w:t>Term SOFR Loan</w:t>
      </w:r>
      <w:r>
        <w:rPr>
          <w:rFonts w:ascii="Times New Roman" w:hAnsi="Times New Roman"/>
          <w:color w:val="000000"/>
          <w:sz w:val="20"/>
        </w:rPr>
        <w:t xml:space="preserve">” </w:t>
      </w:r>
      <w:r>
        <w:rPr>
          <w:rFonts w:ascii="Times New Roman" w:hAnsi="Times New Roman"/>
          <w:color w:val="000000"/>
          <w:sz w:val="22"/>
        </w:rPr>
        <w:t>means a Loan that bears interest at a rate based on clause (a) of the definition of Term SOFR.</w:t>
      </w:r>
    </w:p>
    <w:p>
      <w:pPr>
        <w:pStyle w:val="TextBody"/>
        <w:bidi w:val="0"/>
        <w:spacing w:before="240" w:after="283"/>
        <w:jc w:val="both"/>
        <w:rPr/>
      </w:pPr>
      <w:r>
        <w:rPr>
          <w:color w:val="000000"/>
        </w:rPr>
        <w:t>“</w:t>
      </w:r>
      <w:r>
        <w:rPr>
          <w:rFonts w:ascii="Times New Roman" w:hAnsi="Times New Roman"/>
          <w:i/>
          <w:color w:val="000000"/>
          <w:sz w:val="22"/>
        </w:rPr>
        <w:t>Term SOFR Screen Rate</w:t>
      </w:r>
      <w:r>
        <w:rPr>
          <w:rFonts w:ascii="Times New Roman" w:hAnsi="Times New Roman"/>
          <w:color w:val="000000"/>
          <w:sz w:val="20"/>
        </w:rPr>
        <w:t xml:space="preserve">” </w:t>
      </w:r>
      <w:r>
        <w:rPr>
          <w:rFonts w:ascii="Times New Roman" w:hAnsi="Times New Roman"/>
          <w:color w:val="000000"/>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FF"/>
          <w:u w:val="single"/>
        </w:rPr>
        <w:t>“</w:t>
      </w:r>
      <w:r>
        <w:rPr>
          <w:rFonts w:ascii="Times New Roman" w:hAnsi="Times New Roman"/>
          <w:i/>
          <w:color w:val="0000FF"/>
          <w:sz w:val="22"/>
          <w:u w:val="single"/>
        </w:rPr>
        <w:t xml:space="preserve">Term SOFR Replacement Date” </w:t>
      </w:r>
      <w:r>
        <w:rPr>
          <w:rFonts w:ascii="Times New Roman" w:hAnsi="Times New Roman"/>
          <w:color w:val="0000FF"/>
          <w:sz w:val="22"/>
          <w:u w:val="single"/>
        </w:rPr>
        <w:t>has the meaning specified in Section 3.03(b).</w:t>
      </w:r>
    </w:p>
    <w:p>
      <w:pPr>
        <w:pStyle w:val="TextBody"/>
        <w:bidi w:val="0"/>
        <w:spacing w:before="240" w:after="283"/>
        <w:jc w:val="both"/>
        <w:rPr/>
      </w:pPr>
      <w:r>
        <w:rPr>
          <w:color w:val="000000"/>
        </w:rPr>
        <w:t>“</w:t>
      </w:r>
      <w:r>
        <w:rPr>
          <w:rFonts w:ascii="Times New Roman" w:hAnsi="Times New Roman"/>
          <w:i/>
          <w:color w:val="000000"/>
          <w:sz w:val="22"/>
        </w:rPr>
        <w:t xml:space="preserve">TFSS Investment” </w:t>
      </w:r>
      <w:r>
        <w:rPr>
          <w:rFonts w:ascii="Times New Roman" w:hAnsi="Times New Roman"/>
          <w:color w:val="000000"/>
          <w:sz w:val="22"/>
        </w:rPr>
        <w:t>means the investment to be made by the U.S. Borrower in TF Semiconductor Solutions Inc. in the form of a secured revolving credit loan in an aggregate principal amount not to exceed $3,000,000.</w:t>
      </w:r>
    </w:p>
    <w:p>
      <w:pPr>
        <w:pStyle w:val="TextBody"/>
        <w:bidi w:val="0"/>
        <w:spacing w:before="240" w:after="283"/>
        <w:jc w:val="both"/>
        <w:rPr/>
      </w:pPr>
      <w:r>
        <w:rPr>
          <w:color w:val="000000"/>
        </w:rPr>
        <w:t>“</w:t>
      </w:r>
      <w:r>
        <w:rPr>
          <w:rFonts w:ascii="Times New Roman" w:hAnsi="Times New Roman"/>
          <w:i/>
          <w:color w:val="000000"/>
          <w:sz w:val="22"/>
        </w:rPr>
        <w:t xml:space="preserve">Threshold Amount” </w:t>
      </w:r>
      <w:r>
        <w:rPr>
          <w:rFonts w:ascii="Times New Roman" w:hAnsi="Times New Roman"/>
          <w:color w:val="000000"/>
          <w:sz w:val="22"/>
        </w:rPr>
        <w:t>means $25,000,000.</w:t>
      </w:r>
    </w:p>
    <w:p>
      <w:pPr>
        <w:pStyle w:val="TextBody"/>
        <w:bidi w:val="0"/>
        <w:spacing w:before="240" w:after="283"/>
        <w:jc w:val="both"/>
        <w:rPr/>
      </w:pPr>
      <w:r>
        <w:rPr>
          <w:color w:val="000000"/>
        </w:rPr>
        <w:t>“</w:t>
      </w:r>
      <w:r>
        <w:rPr>
          <w:rFonts w:ascii="Times New Roman" w:hAnsi="Times New Roman"/>
          <w:i/>
          <w:color w:val="000000"/>
          <w:sz w:val="22"/>
        </w:rPr>
        <w:t xml:space="preserve">Total Outstandings” </w:t>
      </w:r>
      <w:r>
        <w:rPr>
          <w:rFonts w:ascii="Times New Roman" w:hAnsi="Times New Roman"/>
          <w:color w:val="000000"/>
          <w:sz w:val="22"/>
        </w:rPr>
        <w:t>means the aggregate Outstanding Amount of all Loans and all L/C Obligations.</w:t>
      </w:r>
    </w:p>
    <w:p>
      <w:pPr>
        <w:pStyle w:val="TextBody"/>
        <w:bidi w:val="0"/>
        <w:spacing w:before="240" w:after="283"/>
        <w:jc w:val="both"/>
        <w:rPr/>
      </w:pPr>
      <w:r>
        <w:rPr>
          <w:color w:val="000000"/>
        </w:rPr>
        <w:t>“</w:t>
      </w:r>
      <w:r>
        <w:rPr>
          <w:rFonts w:ascii="Times New Roman" w:hAnsi="Times New Roman"/>
          <w:i/>
          <w:color w:val="000000"/>
          <w:sz w:val="22"/>
        </w:rPr>
        <w:t xml:space="preserve">Total Revolving Credit Outstandings” </w:t>
      </w:r>
      <w:r>
        <w:rPr>
          <w:rFonts w:ascii="Times New Roman" w:hAnsi="Times New Roman"/>
          <w:color w:val="000000"/>
          <w:sz w:val="22"/>
        </w:rPr>
        <w:t>means the aggregate Outstanding Amount of all Revolving Credit Loans, Swingline Loans and L/C Obligations.</w:t>
      </w:r>
    </w:p>
    <w:p>
      <w:pPr>
        <w:pStyle w:val="TextBody"/>
        <w:bidi w:val="0"/>
        <w:spacing w:before="240" w:after="283"/>
        <w:jc w:val="both"/>
        <w:rPr/>
      </w:pPr>
      <w:r>
        <w:rPr>
          <w:color w:val="000000"/>
        </w:rPr>
        <w:t>“</w:t>
      </w:r>
      <w:r>
        <w:rPr>
          <w:rFonts w:ascii="Times New Roman" w:hAnsi="Times New Roman"/>
          <w:i/>
          <w:color w:val="000000"/>
          <w:sz w:val="22"/>
        </w:rPr>
        <w:t>Transaction</w:t>
      </w:r>
      <w:r>
        <w:rPr>
          <w:rFonts w:ascii="Times New Roman" w:hAnsi="Times New Roman"/>
          <w:color w:val="000000"/>
          <w:sz w:val="20"/>
        </w:rPr>
        <w:t xml:space="preserve">” </w:t>
      </w:r>
      <w:r>
        <w:rPr>
          <w:rFonts w:ascii="Times New Roman" w:hAnsi="Times New Roman"/>
          <w:color w:val="000000"/>
          <w:sz w:val="22"/>
        </w:rPr>
        <w:t>means, collectively, (a) the entering into by the Loan Parties and their applicable Subsidiaries of the Loan Documents to which they are or are intended to be a party and (b) the payment of the fees and expenses incurred in connection with the consummation of the foregoing.</w:t>
      </w:r>
    </w:p>
    <w:p>
      <w:pPr>
        <w:pStyle w:val="TextBody"/>
        <w:bidi w:val="0"/>
        <w:spacing w:before="240" w:after="283"/>
        <w:jc w:val="both"/>
        <w:rPr/>
      </w:pPr>
      <w:r>
        <w:rPr>
          <w:color w:val="000000"/>
        </w:rPr>
        <w:t>“</w:t>
      </w:r>
      <w:r>
        <w:rPr>
          <w:rFonts w:ascii="Times New Roman" w:hAnsi="Times New Roman"/>
          <w:i/>
          <w:color w:val="000000"/>
          <w:sz w:val="22"/>
        </w:rPr>
        <w:t xml:space="preserve">Type” </w:t>
      </w:r>
      <w:r>
        <w:rPr>
          <w:rFonts w:ascii="Times New Roman" w:hAnsi="Times New Roman"/>
          <w:color w:val="000000"/>
          <w:sz w:val="22"/>
        </w:rPr>
        <w:t>means, with respect to a Loan, its character as a Base Rate Loan, a Term SOFR Loan, an Alternative Currency Daily Rate Loan or an Alternative Currency Term Rate Loan.</w:t>
      </w:r>
    </w:p>
    <w:p>
      <w:pPr>
        <w:pStyle w:val="TextBody"/>
        <w:bidi w:val="0"/>
        <w:spacing w:before="240" w:after="283"/>
        <w:jc w:val="both"/>
        <w:rPr/>
      </w:pPr>
      <w:r>
        <w:rPr>
          <w:color w:val="000000"/>
        </w:rPr>
        <w:t>“</w:t>
      </w:r>
      <w:r>
        <w:rPr>
          <w:rFonts w:ascii="Times New Roman" w:hAnsi="Times New Roman"/>
          <w:i/>
          <w:color w:val="000000"/>
          <w:sz w:val="22"/>
        </w:rPr>
        <w:t xml:space="preserve">UCC” </w:t>
      </w:r>
      <w:r>
        <w:rPr>
          <w:rFonts w:ascii="Times New Roman" w:hAnsi="Times New Roman"/>
          <w:color w:val="000000"/>
          <w:sz w:val="22"/>
        </w:rPr>
        <w:t xml:space="preserve">means the Uniform Commercial Code as in effect in the State of New York; </w:t>
      </w:r>
      <w:r>
        <w:rPr>
          <w:rFonts w:ascii="Times New Roman" w:hAnsi="Times New Roman"/>
          <w:i/>
          <w:color w:val="000000"/>
          <w:sz w:val="22"/>
        </w:rPr>
        <w:t xml:space="preserve">provided </w:t>
      </w:r>
      <w:r>
        <w:rPr>
          <w:rFonts w:ascii="Times New Roman" w:hAnsi="Times New Roman"/>
          <w:color w:val="000000"/>
          <w:sz w:val="22"/>
        </w:rPr>
        <w:t>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bidi w:val="0"/>
        <w:spacing w:before="240" w:after="283"/>
        <w:jc w:val="both"/>
        <w:rPr/>
      </w:pPr>
      <w:r>
        <w:rPr>
          <w:color w:val="000000"/>
        </w:rPr>
        <w:t>“</w:t>
      </w:r>
      <w:r>
        <w:rPr>
          <w:rFonts w:ascii="Times New Roman" w:hAnsi="Times New Roman"/>
          <w:i/>
          <w:color w:val="000000"/>
          <w:sz w:val="22"/>
        </w:rPr>
        <w:t xml:space="preserve">UCP” </w:t>
      </w:r>
      <w:r>
        <w:rPr>
          <w:rFonts w:ascii="Times New Roman" w:hAnsi="Times New Roman"/>
          <w:color w:val="000000"/>
          <w:sz w:val="22"/>
        </w:rPr>
        <w:t>means, with respect to any Letter of Credit, the Uniform Customs and Practice for Documentary Credits, International Chamber of Commerce (</w:t>
      </w:r>
      <w:r>
        <w:rPr>
          <w:rFonts w:ascii="Times New Roman" w:hAnsi="Times New Roman"/>
          <w:color w:val="000000"/>
          <w:sz w:val="20"/>
        </w:rPr>
        <w:t>“</w:t>
      </w:r>
      <w:r>
        <w:rPr>
          <w:rFonts w:ascii="Times New Roman" w:hAnsi="Times New Roman"/>
          <w:i/>
          <w:color w:val="000000"/>
          <w:sz w:val="22"/>
        </w:rPr>
        <w:t>ICC”</w:t>
      </w:r>
      <w:r>
        <w:rPr>
          <w:rFonts w:ascii="Times New Roman" w:hAnsi="Times New Roman"/>
          <w:color w:val="000000"/>
          <w:sz w:val="22"/>
        </w:rPr>
        <w:t>) Publication No. 600 (or such later version thereof as may be in effect at the time of issuance).</w:t>
      </w:r>
    </w:p>
    <w:p>
      <w:pPr>
        <w:pStyle w:val="TextBody"/>
        <w:bidi w:val="0"/>
        <w:spacing w:before="240" w:after="283"/>
        <w:jc w:val="both"/>
        <w:rPr/>
      </w:pPr>
      <w:r>
        <w:rPr>
          <w:color w:val="000000"/>
        </w:rPr>
        <w:t>“</w:t>
      </w:r>
      <w:r>
        <w:rPr>
          <w:rFonts w:ascii="Times New Roman" w:hAnsi="Times New Roman"/>
          <w:i/>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pPr>
      <w:r>
        <w:rPr>
          <w:color w:val="000000"/>
        </w:rPr>
        <w:t>“</w:t>
      </w:r>
      <w:r>
        <w:rPr>
          <w:rFonts w:ascii="Times New Roman" w:hAnsi="Times New Roman"/>
          <w:i/>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240" w:after="283"/>
        <w:jc w:val="both"/>
        <w:rPr/>
      </w:pPr>
      <w:r>
        <w:rPr>
          <w:color w:val="000000"/>
        </w:rPr>
        <w:t>“</w:t>
      </w:r>
      <w:r>
        <w:rPr>
          <w:rFonts w:ascii="Times New Roman" w:hAnsi="Times New Roman"/>
          <w:i/>
          <w:color w:val="000000"/>
          <w:sz w:val="22"/>
        </w:rPr>
        <w:t xml:space="preserve">United States” </w:t>
      </w:r>
      <w:r>
        <w:rPr>
          <w:rFonts w:ascii="Times New Roman" w:hAnsi="Times New Roman"/>
          <w:color w:val="000000"/>
          <w:sz w:val="22"/>
        </w:rPr>
        <w:t xml:space="preserve">and </w:t>
      </w:r>
      <w:r>
        <w:rPr>
          <w:rFonts w:ascii="Times New Roman" w:hAnsi="Times New Roman"/>
          <w:color w:val="000000"/>
          <w:sz w:val="20"/>
        </w:rPr>
        <w:t>“</w:t>
      </w:r>
      <w:r>
        <w:rPr>
          <w:rFonts w:ascii="Times New Roman" w:hAnsi="Times New Roman"/>
          <w:i/>
          <w:color w:val="000000"/>
          <w:sz w:val="22"/>
        </w:rPr>
        <w:t xml:space="preserve">U.S.” </w:t>
      </w:r>
      <w:r>
        <w:rPr>
          <w:rFonts w:ascii="Times New Roman" w:hAnsi="Times New Roman"/>
          <w:color w:val="000000"/>
          <w:sz w:val="22"/>
        </w:rPr>
        <w:t>mean the United States of America.</w:t>
      </w:r>
    </w:p>
    <w:p>
      <w:pPr>
        <w:pStyle w:val="TextBody"/>
        <w:bidi w:val="0"/>
        <w:spacing w:before="240" w:after="283"/>
        <w:jc w:val="both"/>
        <w:rPr/>
      </w:pPr>
      <w:r>
        <w:rPr>
          <w:color w:val="000000"/>
        </w:rPr>
        <w:t>“</w:t>
      </w:r>
      <w:r>
        <w:rPr>
          <w:rFonts w:ascii="Times New Roman" w:hAnsi="Times New Roman"/>
          <w:i/>
          <w:color w:val="000000"/>
          <w:sz w:val="22"/>
        </w:rPr>
        <w:t xml:space="preserve">Unreimbursed Amount” </w:t>
      </w:r>
      <w:r>
        <w:rPr>
          <w:rFonts w:ascii="Times New Roman" w:hAnsi="Times New Roman"/>
          <w:color w:val="000000"/>
          <w:sz w:val="22"/>
        </w:rPr>
        <w:t>has the meaning specified in Section 2.03(c)(i).</w:t>
      </w:r>
    </w:p>
    <w:p>
      <w:pPr>
        <w:pStyle w:val="TextBody"/>
        <w:bidi w:val="0"/>
        <w:spacing w:before="240" w:after="283"/>
        <w:jc w:val="both"/>
        <w:rPr/>
      </w:pPr>
      <w:r>
        <w:rPr>
          <w:color w:val="000000"/>
        </w:rPr>
        <w:t>“</w:t>
      </w:r>
      <w:r>
        <w:rPr>
          <w:rFonts w:ascii="Times New Roman" w:hAnsi="Times New Roman"/>
          <w:i/>
          <w:color w:val="000000"/>
          <w:sz w:val="22"/>
        </w:rPr>
        <w:t>U.S. Government Securities Business Day</w:t>
      </w:r>
      <w:r>
        <w:rPr>
          <w:rFonts w:ascii="Times New Roman" w:hAnsi="Times New Roman"/>
          <w:color w:val="000000"/>
          <w:sz w:val="20"/>
        </w:rPr>
        <w:t xml:space="preserve">” </w:t>
      </w:r>
      <w:r>
        <w:rPr>
          <w:rFonts w:ascii="Times New Roman" w:hAnsi="Times New Roman"/>
          <w:color w:val="000000"/>
          <w:sz w:val="22"/>
        </w:rPr>
        <w:t xml:space="preserve">means any </w:t>
      </w:r>
      <w:r>
        <w:rPr>
          <w:rFonts w:ascii="Times New Roman" w:hAnsi="Times New Roman"/>
          <w:strike/>
          <w:color w:val="FF0000"/>
          <w:sz w:val="22"/>
        </w:rPr>
        <w:t>Business Day,</w:t>
      </w:r>
      <w:r>
        <w:rPr>
          <w:rFonts w:ascii="Times New Roman" w:hAnsi="Times New Roman"/>
          <w:color w:val="0000FF"/>
          <w:sz w:val="22"/>
          <w:u w:val="single"/>
        </w:rPr>
        <w:t>day</w:t>
      </w:r>
      <w:r>
        <w:rPr>
          <w:rFonts w:ascii="Times New Roman" w:hAnsi="Times New Roman"/>
          <w:color w:val="0000FF"/>
          <w:sz w:val="20"/>
        </w:rPr>
        <w:t xml:space="preserve"> </w:t>
      </w:r>
      <w:r>
        <w:rPr>
          <w:rFonts w:ascii="Times New Roman" w:hAnsi="Times New Roman"/>
          <w:color w:val="000000"/>
          <w:sz w:val="22"/>
        </w:rPr>
        <w:t xml:space="preserve">except </w:t>
      </w:r>
      <w:r>
        <w:rPr>
          <w:rFonts w:ascii="Times New Roman" w:hAnsi="Times New Roman"/>
          <w:strike/>
          <w:color w:val="FF0000"/>
          <w:sz w:val="22"/>
        </w:rPr>
        <w:t>any Business</w:t>
      </w:r>
      <w:r>
        <w:rPr>
          <w:rFonts w:ascii="Times New Roman" w:hAnsi="Times New Roman"/>
          <w:color w:val="FF0000"/>
          <w:sz w:val="20"/>
        </w:rPr>
        <w:t xml:space="preserve"> </w:t>
      </w:r>
      <w:r>
        <w:rPr>
          <w:rFonts w:ascii="Times New Roman" w:hAnsi="Times New Roman"/>
          <w:strike/>
          <w:color w:val="FF0000"/>
          <w:sz w:val="22"/>
        </w:rPr>
        <w:t>Day</w:t>
      </w:r>
      <w:r>
        <w:rPr>
          <w:rFonts w:ascii="Times New Roman" w:hAnsi="Times New Roman"/>
          <w:color w:val="0000FF"/>
          <w:sz w:val="22"/>
          <w:u w:val="single"/>
        </w:rPr>
        <w:t>for (a) a Saturday, (b) a Sunday or (c) a day</w:t>
      </w:r>
      <w:r>
        <w:rPr>
          <w:rFonts w:ascii="Times New Roman" w:hAnsi="Times New Roman"/>
          <w:color w:val="0000FF"/>
          <w:sz w:val="20"/>
        </w:rPr>
        <w:t xml:space="preserve"> </w:t>
      </w:r>
      <w:r>
        <w:rPr>
          <w:rFonts w:ascii="Times New Roman" w:hAnsi="Times New Roman"/>
          <w:color w:val="000000"/>
          <w:sz w:val="22"/>
        </w:rPr>
        <w:t xml:space="preserve">on which </w:t>
      </w:r>
      <w:r>
        <w:rPr>
          <w:rFonts w:ascii="Times New Roman" w:hAnsi="Times New Roman"/>
          <w:strike/>
          <w:color w:val="FF0000"/>
          <w:sz w:val="22"/>
        </w:rPr>
        <w:t xml:space="preserve">any of </w:t>
      </w:r>
      <w:r>
        <w:rPr>
          <w:rFonts w:ascii="Times New Roman" w:hAnsi="Times New Roman"/>
          <w:color w:val="000000"/>
          <w:sz w:val="22"/>
        </w:rPr>
        <w:t>the Securities Industry and Financial Markets Association</w:t>
      </w:r>
      <w:r>
        <w:rPr>
          <w:rFonts w:ascii="Times New Roman" w:hAnsi="Times New Roman"/>
          <w:color w:val="FF0000"/>
          <w:sz w:val="22"/>
        </w:rPr>
        <w:t>,</w:t>
      </w:r>
      <w:r>
        <w:rPr>
          <w:rFonts w:ascii="Times New Roman" w:hAnsi="Times New Roman"/>
          <w:color w:val="0000FF"/>
          <w:sz w:val="20"/>
          <w:u w:val="single"/>
        </w:rPr>
        <w:t xml:space="preserve"> </w:t>
      </w:r>
      <w:r>
        <w:rPr>
          <w:rFonts w:ascii="Times New Roman" w:hAnsi="Times New Roman"/>
          <w:color w:val="0000FF"/>
          <w:sz w:val="22"/>
          <w:u w:val="single"/>
        </w:rPr>
        <w:t>recommends that</w:t>
      </w:r>
      <w:r>
        <w:rPr>
          <w:rFonts w:ascii="Times New Roman" w:hAnsi="Times New Roman"/>
          <w:color w:val="0000FF"/>
          <w:sz w:val="20"/>
        </w:rPr>
        <w:t xml:space="preserve"> </w:t>
      </w:r>
      <w:r>
        <w:rPr>
          <w:rFonts w:ascii="Times New Roman" w:hAnsi="Times New Roman"/>
          <w:color w:val="000000"/>
          <w:sz w:val="22"/>
        </w:rPr>
        <w:t xml:space="preserve">the </w:t>
      </w:r>
      <w:r>
        <w:rPr>
          <w:rFonts w:ascii="Times New Roman" w:hAnsi="Times New Roman"/>
          <w:strike/>
          <w:color w:val="FF0000"/>
          <w:sz w:val="22"/>
        </w:rPr>
        <w:t>New York Stock Exchange or the Federal Reserve Bank of New</w:t>
      </w:r>
      <w:r>
        <w:rPr>
          <w:rFonts w:ascii="Times New Roman" w:hAnsi="Times New Roman"/>
          <w:color w:val="FF0000"/>
          <w:sz w:val="20"/>
        </w:rPr>
        <w:t xml:space="preserve"> </w:t>
      </w:r>
      <w:r>
        <w:rPr>
          <w:rFonts w:ascii="Times New Roman" w:hAnsi="Times New Roman"/>
          <w:strike/>
          <w:color w:val="FF0000"/>
          <w:sz w:val="22"/>
        </w:rPr>
        <w:t>York is not open for business because such day is a legal holiday under the federal laws</w:t>
      </w:r>
      <w:r>
        <w:rPr>
          <w:rFonts w:ascii="Times New Roman" w:hAnsi="Times New Roman"/>
          <w:color w:val="0000FF"/>
          <w:sz w:val="22"/>
          <w:u w:val="single"/>
        </w:rPr>
        <w:t>fixed income</w:t>
      </w:r>
      <w:r>
        <w:rPr>
          <w:rFonts w:ascii="Times New Roman" w:hAnsi="Times New Roman"/>
          <w:color w:val="0000FF"/>
          <w:sz w:val="20"/>
        </w:rPr>
        <w:t xml:space="preserve"> </w:t>
      </w:r>
      <w:r>
        <w:rPr>
          <w:rFonts w:ascii="Times New Roman" w:hAnsi="Times New Roman"/>
          <w:color w:val="0000FF"/>
          <w:sz w:val="22"/>
          <w:u w:val="single"/>
        </w:rPr>
        <w:t>departments of its members be closed for the entire day for purposes</w:t>
      </w:r>
      <w:r>
        <w:rPr>
          <w:rFonts w:ascii="Times New Roman" w:hAnsi="Times New Roman"/>
          <w:color w:val="0000FF"/>
          <w:sz w:val="20"/>
        </w:rPr>
        <w:t xml:space="preserve"> </w:t>
      </w:r>
      <w:r>
        <w:rPr>
          <w:rFonts w:ascii="Times New Roman" w:hAnsi="Times New Roman"/>
          <w:color w:val="000000"/>
          <w:sz w:val="22"/>
        </w:rPr>
        <w:t xml:space="preserve">of </w:t>
      </w:r>
      <w:r>
        <w:rPr>
          <w:rFonts w:ascii="Times New Roman" w:hAnsi="Times New Roman"/>
          <w:strike/>
          <w:color w:val="FF0000"/>
          <w:sz w:val="22"/>
        </w:rPr>
        <w:t>the</w:t>
      </w:r>
      <w:r>
        <w:rPr>
          <w:rFonts w:ascii="Times New Roman" w:hAnsi="Times New Roman"/>
          <w:color w:val="0000FF"/>
          <w:sz w:val="22"/>
          <w:u w:val="single"/>
        </w:rPr>
        <w:t>trading in</w:t>
      </w:r>
      <w:r>
        <w:rPr>
          <w:rFonts w:ascii="Times New Roman" w:hAnsi="Times New Roman"/>
          <w:color w:val="0000FF"/>
          <w:sz w:val="20"/>
        </w:rPr>
        <w:t xml:space="preserve"> </w:t>
      </w:r>
      <w:r>
        <w:rPr>
          <w:rFonts w:ascii="Times New Roman" w:hAnsi="Times New Roman"/>
          <w:color w:val="000000"/>
          <w:sz w:val="22"/>
        </w:rPr>
        <w:t xml:space="preserve">United States </w:t>
      </w:r>
      <w:r>
        <w:rPr>
          <w:rFonts w:ascii="Times New Roman" w:hAnsi="Times New Roman"/>
          <w:strike/>
          <w:color w:val="FF0000"/>
          <w:sz w:val="22"/>
        </w:rPr>
        <w:t>or the</w:t>
      </w:r>
      <w:r>
        <w:rPr>
          <w:rFonts w:ascii="Times New Roman" w:hAnsi="Times New Roman"/>
          <w:color w:val="FF0000"/>
          <w:sz w:val="20"/>
        </w:rPr>
        <w:t xml:space="preserve"> </w:t>
      </w:r>
      <w:r>
        <w:rPr>
          <w:rFonts w:ascii="Times New Roman" w:hAnsi="Times New Roman"/>
          <w:strike/>
          <w:color w:val="FF0000"/>
          <w:sz w:val="22"/>
        </w:rPr>
        <w:t>laws of the State of New York, as applicable</w:t>
      </w:r>
      <w:r>
        <w:rPr>
          <w:rFonts w:ascii="Times New Roman" w:hAnsi="Times New Roman"/>
          <w:color w:val="0000FF"/>
          <w:sz w:val="22"/>
          <w:u w:val="single"/>
        </w:rPr>
        <w:t>government securities</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2"/>
        </w:rPr>
        <w:t xml:space="preserve">U.S. Loan Party” </w:t>
      </w:r>
      <w:r>
        <w:rPr>
          <w:rFonts w:ascii="Times New Roman" w:hAnsi="Times New Roman"/>
          <w:color w:val="000000"/>
          <w:sz w:val="22"/>
        </w:rPr>
        <w:t>means any Loan Party that is organized under the laws of one of the states of the United States of America.</w:t>
      </w:r>
    </w:p>
    <w:p>
      <w:pPr>
        <w:pStyle w:val="TextBody"/>
        <w:bidi w:val="0"/>
        <w:spacing w:before="240" w:after="283"/>
        <w:jc w:val="both"/>
        <w:rPr/>
      </w:pPr>
      <w:r>
        <w:rPr>
          <w:color w:val="000000"/>
        </w:rPr>
        <w:t>“</w:t>
      </w:r>
      <w:r>
        <w:rPr>
          <w:rFonts w:ascii="Times New Roman" w:hAnsi="Times New Roman"/>
          <w:i/>
          <w:color w:val="000000"/>
          <w:sz w:val="22"/>
        </w:rPr>
        <w:t xml:space="preserve">U.S. Person” </w:t>
      </w:r>
      <w:r>
        <w:rPr>
          <w:rFonts w:ascii="Times New Roman" w:hAnsi="Times New Roman"/>
          <w:color w:val="000000"/>
          <w:sz w:val="22"/>
        </w:rPr>
        <w:t xml:space="preserve">means any </w:t>
      </w:r>
      <w:r>
        <w:rPr>
          <w:rFonts w:ascii="Times New Roman" w:hAnsi="Times New Roman"/>
          <w:strike/>
          <w:color w:val="FF0000"/>
          <w:sz w:val="22"/>
        </w:rPr>
        <w:t>Person that is a “United States Person” as defined</w:t>
      </w:r>
      <w:r>
        <w:rPr>
          <w:rFonts w:ascii="Times New Roman" w:hAnsi="Times New Roman"/>
          <w:color w:val="0000FF"/>
          <w:sz w:val="22"/>
          <w:u w:val="single"/>
        </w:rPr>
        <w:t>United States citizen,</w:t>
      </w:r>
      <w:r>
        <w:rPr>
          <w:rFonts w:ascii="Times New Roman" w:hAnsi="Times New Roman"/>
          <w:color w:val="0000FF"/>
          <w:sz w:val="20"/>
        </w:rPr>
        <w:t xml:space="preserve"> </w:t>
      </w:r>
      <w:r>
        <w:rPr>
          <w:rFonts w:ascii="Times New Roman" w:hAnsi="Times New Roman"/>
          <w:color w:val="0000FF"/>
          <w:sz w:val="22"/>
          <w:u w:val="single"/>
        </w:rPr>
        <w:t>lawful permanent resident, entity organized under the laws of the United States or any jurisdiction within</w:t>
      </w:r>
      <w:r>
        <w:rPr>
          <w:rFonts w:ascii="Times New Roman" w:hAnsi="Times New Roman"/>
          <w:color w:val="0000FF"/>
          <w:sz w:val="20"/>
        </w:rPr>
        <w:t xml:space="preserve"> </w:t>
      </w:r>
      <w:r>
        <w:rPr>
          <w:rFonts w:ascii="Times New Roman" w:hAnsi="Times New Roman"/>
          <w:color w:val="0000FF"/>
          <w:sz w:val="22"/>
          <w:u w:val="single"/>
        </w:rPr>
        <w:t>the United States, including any foreign branch of any such entity, or any person in the United State.</w:t>
      </w:r>
    </w:p>
    <w:p>
      <w:pPr>
        <w:pStyle w:val="TextBody"/>
        <w:bidi w:val="0"/>
        <w:spacing w:before="240" w:after="283"/>
        <w:jc w:val="both"/>
        <w:rPr/>
      </w:pPr>
      <w:r>
        <w:rPr>
          <w:color w:val="0000FF"/>
          <w:u w:val="single"/>
        </w:rPr>
        <w:t>“</w:t>
      </w:r>
      <w:r>
        <w:rPr>
          <w:rFonts w:ascii="Times New Roman" w:hAnsi="Times New Roman"/>
          <w:i/>
          <w:color w:val="0000FF"/>
          <w:sz w:val="22"/>
          <w:u w:val="single"/>
        </w:rPr>
        <w:t xml:space="preserve">U.S. Special Resolution Regime” </w:t>
      </w:r>
      <w:r>
        <w:rPr>
          <w:rFonts w:ascii="Times New Roman" w:hAnsi="Times New Roman"/>
          <w:color w:val="0000FF"/>
          <w:sz w:val="22"/>
          <w:u w:val="single"/>
        </w:rPr>
        <w:t>has the meaning specified</w:t>
      </w:r>
      <w:r>
        <w:rPr>
          <w:rFonts w:ascii="Times New Roman" w:hAnsi="Times New Roman"/>
          <w:color w:val="0000FF"/>
          <w:sz w:val="20"/>
        </w:rPr>
        <w:t xml:space="preserve"> </w:t>
      </w:r>
      <w:r>
        <w:rPr>
          <w:rFonts w:ascii="Times New Roman" w:hAnsi="Times New Roman"/>
          <w:color w:val="000000"/>
          <w:sz w:val="22"/>
        </w:rPr>
        <w:t xml:space="preserve">in Section </w:t>
      </w:r>
      <w:r>
        <w:rPr>
          <w:rFonts w:ascii="Times New Roman" w:hAnsi="Times New Roman"/>
          <w:strike/>
          <w:color w:val="FF0000"/>
          <w:sz w:val="22"/>
        </w:rPr>
        <w:t>7701(a)(30) of the</w:t>
      </w:r>
      <w:r>
        <w:rPr>
          <w:rFonts w:ascii="Times New Roman" w:hAnsi="Times New Roman"/>
          <w:color w:val="FF0000"/>
          <w:sz w:val="20"/>
        </w:rPr>
        <w:t xml:space="preserve"> </w:t>
      </w:r>
      <w:r>
        <w:rPr>
          <w:rFonts w:ascii="Times New Roman" w:hAnsi="Times New Roman"/>
          <w:strike/>
          <w:color w:val="FF0000"/>
          <w:sz w:val="22"/>
        </w:rPr>
        <w:t>Code</w:t>
      </w:r>
      <w:r>
        <w:rPr>
          <w:rFonts w:ascii="Times New Roman" w:hAnsi="Times New Roman"/>
          <w:color w:val="0000FF"/>
          <w:sz w:val="22"/>
          <w:u w:val="single"/>
        </w:rPr>
        <w:t>11.23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i/>
          <w:color w:val="000000"/>
          <w:sz w:val="22"/>
        </w:rPr>
        <w:t xml:space="preserve">U.S. Tax Compliance Certificate” </w:t>
      </w:r>
      <w:r>
        <w:rPr>
          <w:rFonts w:ascii="Times New Roman" w:hAnsi="Times New Roman"/>
          <w:color w:val="000000"/>
          <w:sz w:val="22"/>
        </w:rPr>
        <w:t>has the meaning specified in Section 3.01(e)(ii)(B)(III).</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i/>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each Loan Party and the Administrative Agent.</w:t>
      </w:r>
    </w:p>
    <w:p>
      <w:pPr>
        <w:pStyle w:val="TextBody"/>
        <w:bidi w:val="0"/>
        <w:spacing w:before="240" w:after="283"/>
        <w:jc w:val="both"/>
        <w:rPr/>
      </w:pPr>
      <w:r>
        <w:rPr>
          <w:color w:val="000000"/>
        </w:rPr>
        <w:t>“</w:t>
      </w:r>
      <w:r>
        <w:rPr>
          <w:rFonts w:ascii="Times New Roman" w:hAnsi="Times New Roman"/>
          <w:i/>
          <w:color w:val="000000"/>
          <w:sz w:val="22"/>
        </w:rPr>
        <w:t xml:space="preserve">Write-Down and Conversion Powers”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to cancel, transfer or dilute shares issued by a person that is a bank or investment firm or other financial institution or affiliate of a bank, investment firm or other financial institution that are related to or ancillary to any of those powers.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1.02. Other Interpretive Provisions</w:t>
      </w:r>
      <w:r>
        <w:rPr>
          <w:rFonts w:ascii="Times New Roman" w:hAnsi="Times New Roman"/>
          <w:color w:val="000000"/>
          <w:sz w:val="22"/>
        </w:rPr>
        <w:t>. With reference to this Agreement and each other Loan Document, unless otherwise specified herein or in such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properties, including cash, securities, accounts and contract rights. Any and all references to “Borrower” regardless of whether preceded by the term a, any, each of, all, and/or, or any other similar term shall be deemed to refer, as the context requires, to each and every (and/or any one or all) parties constituting a Borrower, individually and/or in the aggregate.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reference herein to a merger, transfer, consolidation, amalgamation, assignment, sale, disposition, distribution, dividend, investment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distribution, dividend, investment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1.03. Accounting Terms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Generally</w:t>
      </w:r>
      <w:r>
        <w:rPr>
          <w:rFonts w:ascii="Times New Roman" w:hAnsi="Times New Roman"/>
          <w:color w:val="000000"/>
          <w:sz w:val="22"/>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Domestic Borrower and its Subsidiaries shall be deemed to be carried at 100% of the outstanding principal amount thereof, and the effects of FASB ASC 825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Borrowers or any Subsidiary at “fair value”, as defined therein. For purposes of determining the amount of any outstanding Indebtedness, no effect shall be given to (x) any election by the Borrowers to measure an item of Indebtedness using fair value (as permitted by Financial Accounting Standards Board Accounting Standards Codification 825–10–25 (formerly known as FASB 159) or any similar accounting standard) or (y) any change in accounting for leases pursuant to GAAP resulting from the implementation of Financial Accounting Standards Board ASU No. 2016–02, Leases (Topic 842), to the extent such adoption would require recognition of a lease liability where such lease (or similar arrangement) would not have required a lease liability under GAAP as in effect on December 31, 2015</w:t>
      </w:r>
      <w:r>
        <w:rPr>
          <w:rFonts w:ascii="Times New Roman" w:hAnsi="Times New Roman"/>
          <w:color w:val="0000FF"/>
          <w:sz w:val="22"/>
          <w:u w:val="single"/>
        </w:rPr>
        <w:t xml:space="preserve">. For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FF"/>
          <w:sz w:val="22"/>
          <w:u w:val="single"/>
        </w:rPr>
        <w:t>avoidance</w:t>
      </w:r>
      <w:r>
        <w:rPr>
          <w:color w:val="0000FF"/>
        </w:rPr>
        <w:t xml:space="preserve"> </w:t>
      </w:r>
      <w:r>
        <w:rPr>
          <w:rFonts w:ascii="Times New Roman" w:hAnsi="Times New Roman"/>
          <w:color w:val="0000FF"/>
          <w:sz w:val="22"/>
          <w:u w:val="single"/>
        </w:rPr>
        <w:t>of doubt, and without limitation of the foregoing, Permitted Convertible Indebtedness shall at all times be</w:t>
      </w:r>
      <w:r>
        <w:rPr>
          <w:color w:val="0000FF"/>
        </w:rPr>
        <w:t xml:space="preserve"> </w:t>
      </w:r>
      <w:r>
        <w:rPr>
          <w:rFonts w:ascii="Times New Roman" w:hAnsi="Times New Roman"/>
          <w:color w:val="0000FF"/>
          <w:sz w:val="22"/>
          <w:u w:val="single"/>
        </w:rPr>
        <w:t>valued at the full stated principal amount thereof and shall not include any reduction or appreciation in value</w:t>
      </w:r>
      <w:r>
        <w:rPr>
          <w:color w:val="0000FF"/>
        </w:rPr>
        <w:t xml:space="preserve"> </w:t>
      </w:r>
      <w:r>
        <w:rPr>
          <w:rFonts w:ascii="Times New Roman" w:hAnsi="Times New Roman"/>
          <w:color w:val="0000FF"/>
          <w:sz w:val="22"/>
          <w:u w:val="single"/>
        </w:rPr>
        <w:t>of the shares deliverable upon conversion thereof</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Changes in GAAP</w:t>
      </w:r>
      <w:r>
        <w:rPr>
          <w:rFonts w:ascii="Times New Roman" w:hAnsi="Times New Roman"/>
          <w:color w:val="000000"/>
          <w:sz w:val="22"/>
        </w:rPr>
        <w:t xml:space="preserve">. If at any time any change in GAAP (including the adoption of IFRS) would affect the computation of any financial ratio or requirement set forth in any Loan Document, and either the Domestic Borrower or the Required Lenders shall so request, the Administrative Agent, the Lenders and the Domestic Borrower shall negotiate in good faith to amend such ratio or requirement to preserve the original intent thereof in light of such change in GAAP (subject to the approval of the Required Lenders); </w:t>
      </w:r>
      <w:r>
        <w:rPr>
          <w:rFonts w:ascii="Times New Roman" w:hAnsi="Times New Roman"/>
          <w:i/>
          <w:color w:val="000000"/>
          <w:sz w:val="22"/>
        </w:rPr>
        <w:t xml:space="preserve">provided </w:t>
      </w:r>
      <w:r>
        <w:rPr>
          <w:rFonts w:ascii="Times New Roman" w:hAnsi="Times New Roman"/>
          <w:color w:val="000000"/>
          <w:sz w:val="22"/>
        </w:rPr>
        <w:t>that, until so amended, (i) such ratio or requirement shall continue to be computed in accordance with GAAP prior to such change therein and (ii) the Domestic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1.04. Rounding</w:t>
      </w:r>
      <w:r>
        <w:rPr>
          <w:rFonts w:ascii="Times New Roman" w:hAnsi="Times New Roman"/>
          <w:color w:val="000000"/>
          <w:sz w:val="22"/>
        </w:rPr>
        <w:t>. 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1.05. Exchange Rates; Currency Equivalents. </w:t>
      </w:r>
      <w:r>
        <w:rPr>
          <w:rFonts w:ascii="Times New Roman" w:hAnsi="Times New Roman"/>
          <w:color w:val="000000"/>
          <w:sz w:val="22"/>
        </w:rPr>
        <w:t>(a) The Administrative Agent or the L/C Issuers,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Issuers, as applicable.</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Alternative Currency L/C Issuer, as the case may be.</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(c)</w:t>
      </w:r>
    </w:p>
    <w:p>
      <w:pPr>
        <w:pStyle w:val="TextBody"/>
        <w:bidi w:val="0"/>
        <w:spacing w:before="240" w:after="283"/>
        <w:jc w:val="both"/>
        <w:rPr/>
      </w:pPr>
      <w:r>
        <w:rPr>
          <w:rFonts w:ascii="Times New Roman" w:hAnsi="Times New Roman"/>
          <w:color w:val="000000"/>
          <w:sz w:val="22"/>
        </w:rPr>
        <w:t>The Administrative Agent does not warrant, nor accept responsibility, nor shall the Administrative Agent have any liability with respect to the administration, submission or any other matter related to the rates in the definition of “Term SOFR”, “Alternative Currency Daily Rate”, Alternative Currency Term Rate” or with respect to any rate that is an alternative or replacement for or successor to any of such rate (including, without limitation, any Successor Rate or Alternative Currency Successor Rate) or the effect of any of the foregoing, or of any Conforming Changes or Alternative Currency Conforming Changes.</w:t>
      </w:r>
      <w:r>
        <w:rPr>
          <w:color w:val="0000FF"/>
          <w:u w:val="single"/>
        </w:rPr>
        <w:t xml:space="preserve"> </w:t>
      </w:r>
      <w:r>
        <w:rPr>
          <w:rFonts w:ascii="Times New Roman" w:hAnsi="Times New Roman"/>
          <w:color w:val="0000FF"/>
          <w:sz w:val="22"/>
          <w:u w:val="single"/>
        </w:rPr>
        <w:t>The Administrative Agent and its affiliates or other related entities may engage in transactions or</w:t>
      </w:r>
      <w:r>
        <w:rPr>
          <w:color w:val="0000FF"/>
        </w:rPr>
        <w:t xml:space="preserve"> </w:t>
      </w:r>
      <w:r>
        <w:rPr>
          <w:rFonts w:ascii="Times New Roman" w:hAnsi="Times New Roman"/>
          <w:color w:val="0000FF"/>
          <w:sz w:val="22"/>
          <w:u w:val="single"/>
        </w:rPr>
        <w:t>other activities that affect any reference rate referred to herein, or any alternative, successor or replacement</w:t>
      </w:r>
      <w:r>
        <w:rPr>
          <w:color w:val="0000FF"/>
        </w:rPr>
        <w:t xml:space="preserve"> </w:t>
      </w:r>
      <w:r>
        <w:rPr>
          <w:rFonts w:ascii="Times New Roman" w:hAnsi="Times New Roman"/>
          <w:color w:val="0000FF"/>
          <w:sz w:val="22"/>
          <w:u w:val="single"/>
        </w:rPr>
        <w:t>rate (including, without limitation, any Successor Rate or Alternative Currency Successor Rate) (or any</w:t>
      </w:r>
      <w:r>
        <w:rPr>
          <w:color w:val="0000FF"/>
        </w:rPr>
        <w:t xml:space="preserve"> </w:t>
      </w:r>
      <w:r>
        <w:rPr>
          <w:rFonts w:ascii="Times New Roman" w:hAnsi="Times New Roman"/>
          <w:color w:val="0000FF"/>
          <w:sz w:val="22"/>
          <w:u w:val="single"/>
        </w:rPr>
        <w:t>component of any of the foregoing) or any related spread or other adjustments thereto, in each case, in a</w:t>
      </w:r>
      <w:r>
        <w:rPr>
          <w:color w:val="0000FF"/>
        </w:rPr>
        <w:t xml:space="preserve"> </w:t>
      </w:r>
      <w:r>
        <w:rPr>
          <w:rFonts w:ascii="Times New Roman" w:hAnsi="Times New Roman"/>
          <w:color w:val="0000FF"/>
          <w:sz w:val="22"/>
          <w:u w:val="single"/>
        </w:rPr>
        <w:t>manner adverse to the Borrowers. The Administrative Agent may select information sources or services in</w:t>
      </w:r>
      <w:r>
        <w:rPr>
          <w:color w:val="0000FF"/>
        </w:rPr>
        <w:t xml:space="preserve"> </w:t>
      </w:r>
      <w:r>
        <w:rPr>
          <w:rFonts w:ascii="Times New Roman" w:hAnsi="Times New Roman"/>
          <w:color w:val="0000FF"/>
          <w:sz w:val="22"/>
          <w:u w:val="single"/>
        </w:rPr>
        <w:t>its reasonable discretion to ascertain any reference rate referred to herein or any alternative, successor or</w:t>
      </w:r>
      <w:r>
        <w:rPr>
          <w:color w:val="0000FF"/>
        </w:rPr>
        <w:t xml:space="preserve"> </w:t>
      </w:r>
      <w:r>
        <w:rPr>
          <w:rFonts w:ascii="Times New Roman" w:hAnsi="Times New Roman"/>
          <w:color w:val="0000FF"/>
          <w:sz w:val="22"/>
          <w:u w:val="single"/>
        </w:rPr>
        <w:t xml:space="preserve">replacement rate (including, without limitation, any Successor Rate or Alternative Currency Successor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FF"/>
          <w:sz w:val="22"/>
          <w:u w:val="single"/>
        </w:rPr>
        <w:t>Rate)</w:t>
      </w:r>
      <w:r>
        <w:rPr>
          <w:color w:val="0000FF"/>
        </w:rPr>
        <w:t xml:space="preserve"> </w:t>
      </w:r>
      <w:r>
        <w:rPr>
          <w:rFonts w:ascii="Times New Roman" w:hAnsi="Times New Roman"/>
          <w:color w:val="0000FF"/>
          <w:sz w:val="22"/>
          <w:u w:val="single"/>
        </w:rPr>
        <w:t>(or any component of any of the foregoing), in each case pursuant to the terms of this Agreement, and shall</w:t>
      </w:r>
      <w:r>
        <w:rPr>
          <w:color w:val="0000FF"/>
        </w:rPr>
        <w:t xml:space="preserve"> </w:t>
      </w:r>
      <w:r>
        <w:rPr>
          <w:rFonts w:ascii="Times New Roman" w:hAnsi="Times New Roman"/>
          <w:color w:val="0000FF"/>
          <w:sz w:val="22"/>
          <w:u w:val="single"/>
        </w:rPr>
        <w:t>have no liability to the Borrowers, any Lender or any other person or entity for damages of any kind,</w:t>
      </w:r>
      <w:r>
        <w:rPr>
          <w:color w:val="0000FF"/>
        </w:rPr>
        <w:t xml:space="preserve"> </w:t>
      </w:r>
      <w:r>
        <w:rPr>
          <w:rFonts w:ascii="Times New Roman" w:hAnsi="Times New Roman"/>
          <w:color w:val="0000FF"/>
          <w:sz w:val="22"/>
          <w:u w:val="single"/>
        </w:rPr>
        <w:t>including direct or indirect, special, punitive, incidental or consequential damages, costs, losses or expenses</w:t>
      </w:r>
      <w:r>
        <w:rPr>
          <w:color w:val="0000FF"/>
        </w:rPr>
        <w:t xml:space="preserve"> </w:t>
      </w:r>
      <w:r>
        <w:rPr>
          <w:rFonts w:ascii="Times New Roman" w:hAnsi="Times New Roman"/>
          <w:color w:val="0000FF"/>
          <w:sz w:val="22"/>
          <w:u w:val="single"/>
        </w:rPr>
        <w:t>(whether in tort, contract or otherwise and whether at law or in equity), for any error or other action or</w:t>
      </w:r>
      <w:r>
        <w:rPr>
          <w:color w:val="0000FF"/>
        </w:rPr>
        <w:t xml:space="preserve"> </w:t>
      </w:r>
      <w:r>
        <w:rPr>
          <w:rFonts w:ascii="Times New Roman" w:hAnsi="Times New Roman"/>
          <w:color w:val="0000FF"/>
          <w:sz w:val="22"/>
          <w:u w:val="single"/>
        </w:rPr>
        <w:t>omission related to or affecting the selection, determination, or calculation of any rate (or component thereof) provided by any such information source or service.</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(d)</w:t>
      </w:r>
    </w:p>
    <w:p>
      <w:pPr>
        <w:pStyle w:val="TextBody"/>
        <w:bidi w:val="0"/>
        <w:spacing w:before="240" w:after="283"/>
        <w:jc w:val="both"/>
        <w:rPr/>
      </w:pPr>
      <w:r>
        <w:rPr>
          <w:rFonts w:ascii="Times New Roman" w:hAnsi="Times New Roman"/>
          <w:color w:val="0000FF"/>
          <w:sz w:val="22"/>
          <w:u w:val="single"/>
        </w:rPr>
        <w:t>By agreeing to make Loans under this Agreement, each Lender is confirming it has all</w:t>
      </w:r>
      <w:r>
        <w:rPr>
          <w:color w:val="0000FF"/>
        </w:rPr>
        <w:t xml:space="preserve"> </w:t>
      </w:r>
      <w:r>
        <w:rPr>
          <w:rFonts w:ascii="Times New Roman" w:hAnsi="Times New Roman"/>
          <w:color w:val="0000FF"/>
          <w:sz w:val="22"/>
          <w:u w:val="single"/>
        </w:rPr>
        <w:t>licenses, permits and approvals necessary for use of the reference rates referred to herein as provided for in</w:t>
      </w:r>
      <w:r>
        <w:rPr>
          <w:color w:val="0000FF"/>
        </w:rPr>
        <w:t xml:space="preserve"> </w:t>
      </w:r>
      <w:r>
        <w:rPr>
          <w:rFonts w:ascii="Times New Roman" w:hAnsi="Times New Roman"/>
          <w:color w:val="0000FF"/>
          <w:sz w:val="22"/>
          <w:u w:val="single"/>
        </w:rPr>
        <w:t>this Agreement, and it will comply with, preserve, renew and keep in full force and effect such licenses,</w:t>
      </w:r>
      <w:r>
        <w:rPr>
          <w:color w:val="0000FF"/>
        </w:rPr>
        <w:t xml:space="preserve"> </w:t>
      </w:r>
      <w:r>
        <w:rPr>
          <w:rFonts w:ascii="Times New Roman" w:hAnsi="Times New Roman"/>
          <w:color w:val="0000FF"/>
          <w:sz w:val="22"/>
          <w:u w:val="single"/>
        </w:rPr>
        <w:t>permits and approvals for use of such rates under this Agreement.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1.06. Additional Alternative Currencies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Domestic Borrower may from time to time request that Loans be made and/or Letters of Credit be issued in a currency other than those specifically listed in the definition of “Alternative Currency”; </w:t>
      </w:r>
      <w:r>
        <w:rPr>
          <w:rFonts w:ascii="Times New Roman" w:hAnsi="Times New Roman"/>
          <w:i/>
          <w:color w:val="000000"/>
          <w:sz w:val="22"/>
        </w:rPr>
        <w:t xml:space="preserve">provided </w:t>
      </w:r>
      <w:r>
        <w:rPr>
          <w:rFonts w:ascii="Times New Roman" w:hAnsi="Times New Roman"/>
          <w:color w:val="000000"/>
          <w:sz w:val="22"/>
        </w:rPr>
        <w:t>that such requested currency is an Eligible Currency. In the case of any such request with respect to the making of Alternative Currency Loans, such request shall be subject to the approval of the Administrative Agent and each Lender with a Commitment under which such currency is requested to be made available; and in the case of any such request with respect to the issuance of Letters of Credit, such request shall be subject to the approval of the Administrative Agent and the Alternative Currency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Alternative Currency L/C Issuer, in each case in its sole discretion). In the case of any such request pertaining to Alternative Currency Loans, the Administrative Agent shall promptly notify each Appropriate Lender thereof; and in the case of any such request pertaining to Letters of Credit, the Administrative Agent shall promptly notify the Alternative Currency L/C Issuer thereof. Each Appropriate Lender (in the case of any such request pertaining to Alternative Currency Loans) or the Alternative Currency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failure by a Lender or the Alternative Currency L/C Issuer, as the case may be, to respond to such request within the time period specified in the preceding sentence shall be deemed to be a refusal by such Lender or the Alternative Currency L/C Issuer, as the case may be, to permit Alternative Currency Loans to be made or Letters of Credit to be issued in such requested currency. If the Administrative Agent and all the Appropriate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Domestic Borrower and (i) the Administrative Agent and such Lenders may amend the definitions of Alternative Currency Daily Rate or Alternative Currency Term Rate, as applicable, to the extent necessary to add the appropriate interest rate for such currency and any applicable adjustment for such rate and (ii) to the extent the definition of Alternative Currency Daily Rate or Alternative Currency Term Rate, as applicable, reflects the appropriate interest rate for such currency or has been amended to reflect the appropriate interest rate for such currency, such currency shall thereupon be deemed for all purposes to be an Alternative Currency for purposes of any Borrowings of Alternative Currency Loans. If the Administrative Agent and the Alternative Currency L/C Issuer consent to the issuance of Letters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in such requested currency, the Administrative Agent shall so notify the Domestic Borrower and (i) the Administrative Agent and the Alternative Currency L/C Issuer may amend the definition of Alternative Currency Daily Rate or Alternative Currency Term Rate, as applicable, to the extent necessary to add the appropriate interest rate for such currency and any applicable adjustment for such rate and (ii) to the extent the definition of Alternative Currency Daily Rate or Alternative Currency Term Rate, as applicable, reflects the appropriate interest rate for such currency or has been amended to reflect the appropriate rate for such currency, such currency shall thereupon be deemed for all purposes to be an Alternative Currency, for purposes of any Letter of Credit issuances. If the Administrative Agent shall fail to obtain consent to any request for an additional currency under this Section 1.06, the Administrative Agent shall promptly so notify the Domestic Borrower.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1.07. Change of Currency</w:t>
      </w:r>
      <w:r>
        <w:rPr>
          <w:rFonts w:ascii="Times New Roman" w:hAnsi="Times New Roman"/>
          <w:color w:val="000000"/>
          <w:sz w:val="22"/>
        </w:rPr>
        <w:t xml:space="preserve">. (a)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hAnsi="Times New Roman"/>
          <w:i/>
          <w:color w:val="000000"/>
          <w:sz w:val="22"/>
        </w:rPr>
        <w:t xml:space="preserve">provided </w:t>
      </w:r>
      <w:r>
        <w:rPr>
          <w:rFonts w:ascii="Times New Roman" w:hAnsi="Times New Roman"/>
          <w:color w:val="000000"/>
          <w:sz w:val="22"/>
        </w:rPr>
        <w:t>that if any Revolving Credit Borrowing in the currency of such member state is outstanding immediately prior to such date, such replacement shall take effect, with respect to such Revolving Credit Borrowing, at the end of the then current Interest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1.08. Times of Day</w:t>
      </w:r>
      <w:r>
        <w:rPr>
          <w:rFonts w:ascii="Times New Roman" w:hAnsi="Times New Roman"/>
          <w:color w:val="000000"/>
          <w:sz w:val="22"/>
        </w:rPr>
        <w:t>. Unless otherwise specified, all references herein to times of day shall be references to U.S. Eastern time (daylight or standard, as applicable).</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1.09. Letter of Credit Amounts</w:t>
      </w:r>
      <w:r>
        <w:rPr>
          <w:rFonts w:ascii="Times New Roman" w:hAnsi="Times New Roman"/>
          <w:color w:val="000000"/>
          <w:sz w:val="22"/>
        </w:rPr>
        <w:t xml:space="preserve">. Unless otherwise specified herein, the amount of a Letter of Credit at any time shall be deemed to be the Dollar Equivalent of the stated amount of such Letter of Credit in effect at such time; </w:t>
      </w:r>
      <w:r>
        <w:rPr>
          <w:rFonts w:ascii="Times New Roman" w:hAnsi="Times New Roman"/>
          <w:i/>
          <w:color w:val="000000"/>
          <w:sz w:val="22"/>
        </w:rPr>
        <w:t xml:space="preserve">provided </w:t>
      </w:r>
      <w:r>
        <w:rPr>
          <w:rFonts w:ascii="Times New Roman" w:hAnsi="Times New Roman"/>
          <w:color w:val="000000"/>
          <w:sz w:val="22"/>
        </w:rPr>
        <w:t>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Section 1.10. UCC Terms.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THE COMMITMENTS AND CREDIT EXTENSIONS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2.01. The Borrowings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Revolving Credit Borrowings</w:t>
      </w:r>
      <w:r>
        <w:rPr>
          <w:rFonts w:ascii="Times New Roman" w:hAnsi="Times New Roman"/>
          <w:color w:val="000000"/>
          <w:sz w:val="22"/>
        </w:rPr>
        <w:t xml:space="preserve">. Subject to the terms and conditions set forth herein, each Revolving Credit Lender severally agrees to make loans (each such loan, a </w:t>
      </w:r>
      <w:r>
        <w:rPr>
          <w:color w:val="000000"/>
        </w:rPr>
        <w:t>“</w:t>
      </w:r>
      <w:r>
        <w:rPr>
          <w:rFonts w:ascii="Times New Roman" w:hAnsi="Times New Roman"/>
          <w:i/>
          <w:color w:val="000000"/>
          <w:sz w:val="22"/>
        </w:rPr>
        <w:t>Revolving Credit Loan”</w:t>
      </w:r>
      <w:r>
        <w:rPr>
          <w:rFonts w:ascii="Times New Roman" w:hAnsi="Times New Roman"/>
          <w:color w:val="000000"/>
          <w:sz w:val="22"/>
        </w:rPr>
        <w:t xml:space="preserve">) to the Borrowers in Dollars or in an Alternative Currency from time to time, on any Business Day during the Availability Period, in an aggregate amount not to exceed at any time outstanding the amount of such Lender’s Revolving Credit Commitment; </w:t>
      </w:r>
      <w:r>
        <w:rPr>
          <w:rFonts w:ascii="Times New Roman" w:hAnsi="Times New Roman"/>
          <w:i/>
          <w:color w:val="000000"/>
          <w:sz w:val="22"/>
        </w:rPr>
        <w:t xml:space="preserve">provided </w:t>
      </w:r>
      <w:r>
        <w:rPr>
          <w:rFonts w:ascii="Times New Roman" w:hAnsi="Times New Roman"/>
          <w:color w:val="000000"/>
          <w:sz w:val="22"/>
        </w:rPr>
        <w:t>that after giving effect to any Revolving Credit Borrowing, (i) the Total Revolving Credit Outstandings shall not exceed the Revolving Credit Facility, (ii) the Revolving Credit Exposure of any Revolving Credit Lender shall not exceed such Lender’s Revolving Credit Commitment, and (iii) the aggregate Outstanding Amount of all Revolving Credit Loans denominated in Alternative Currencies plus the aggregate Outstanding Amount of all L/C Obligations denominated in Alternative Currencies shall not exceed the Alternative Currency Sublimit. Within the limits of each Revolving Credit Lender’s Revolving Credit Commitment, and subject to the other terms and conditions hereof, the Borrowers may borrow under this Section 2.01(b), prepay under Section 2.05, and reborrow under this Section 2.01(b). Revolving Credit Loans may be Base Rate Loans, Term SOFR Loans, Alternative Currency Daily Rate Loans, or Alternative Currency Term Rate Loans, as applicable and as further provided herein.</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2.02. Borrowings, Conversions and Continuations of Loans</w:t>
      </w:r>
      <w:r>
        <w:rPr>
          <w:rFonts w:ascii="Times New Roman" w:hAnsi="Times New Roman"/>
          <w:color w:val="000000"/>
          <w:sz w:val="22"/>
        </w:rPr>
        <w:t xml:space="preserve">. (a) Each Borrowing, each conversion of Incremental Term Loans or Revolving Credit Loans from one Type to another, and each continuation of Term SOFR Loans or Alternative Currency Term Rate Loans shall be made upon the Domestic Borrower’s irrevocable notice to the Administrative Agent, which may be given by (A) telephone or (B) a Committed Loan Notice; </w:t>
      </w:r>
      <w:r>
        <w:rPr>
          <w:rFonts w:ascii="Times New Roman" w:hAnsi="Times New Roman"/>
          <w:i/>
          <w:color w:val="000000"/>
          <w:sz w:val="22"/>
        </w:rPr>
        <w:t xml:space="preserve">provided </w:t>
      </w:r>
      <w:r>
        <w:rPr>
          <w:rFonts w:ascii="Times New Roman" w:hAnsi="Times New Roman"/>
          <w:color w:val="000000"/>
          <w:sz w:val="22"/>
        </w:rPr>
        <w:t>that any telephonic notice must be confirmed immediately by delivery to the Administrative Agent of a Committed Loan Notice. Each such Committed Loan Notice must be received by the Administrative Agent not later than 11:00 a.m. (i) three Business Days prior to the requested date of any Borrowing of, conversion to or continuation of Term SOFR Loans or of any conversion of Term SOFR Loans to Base Rate Loans, (ii) on the requested date of any Borrowing of Base Rate Loans, and (iii) four Business Days (or five Business Days in the case of a Special Notice Currency) prior to the requested date of any Borrowing or continuation of Alternative Currency Loans. Each Borrowing of, conversion to or continuation of Term SOFR Loans or Alternative Currency Loans shall be in a principal amount of $5,000,000 or a whole multiple of $1,000,000 in excess thereof (or, in connection with any conversion or continuation of an Incremental Term Loan, if less, the entire principal amount thereof then outstanding). Except as provided in Sections 2.03(c) and 2.04(c), each Borrowing of or conversion to Base Rate Loans shall be in a principal amount of $500,000 or a whole multiple of $100,000in excess thereof (or, in connection with any conversion or continuation of an Incremental Term Loan, if less, the entire principal amount thereof then outstanding). Each Committed Loan Notice and each telephonic notice shall specify (i) the name of the applicable Borrower, (ii) the applicable Facility and whether such Borrower is requesting a Borrowing, a conversion of Loans from one Type to another, or a continuation of Loans, as the case may be, under such Facility, (iii) the requested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date of the Borrowing, conversion or continuation, as the case may be (which shall be a Business Day), (iv) the principal amount of Loans to be borrowed, converted or continued, (v) the Type of Loans to be borrowed or to which existing Loans are to be converted, (vi) if applicable, the duration of the Interest Period with respect thereto, and (vii) the currency of the Loans to be borrowed, converted or continued. If the Domestic Borrower fails to specify a currency in a Committed Loan Notice requesting a Borrowing, then the Loans so requested shall be made in Dollars. If the Domestic Borrower fails to specify a Type of Loan in a Committed Loan Notice or if the Domestic Borrower fails to give a timely notice requesting a conversion or continuation, then the applicable Loans shall be made as, or converted to, Base Rate Loans; </w:t>
      </w:r>
      <w:r>
        <w:rPr>
          <w:rFonts w:ascii="Times New Roman" w:hAnsi="Times New Roman"/>
          <w:i/>
          <w:color w:val="000000"/>
          <w:sz w:val="22"/>
        </w:rPr>
        <w:t xml:space="preserve">provided, however, </w:t>
      </w:r>
      <w:r>
        <w:rPr>
          <w:rFonts w:ascii="Times New Roman" w:hAnsi="Times New Roman"/>
          <w:color w:val="000000"/>
          <w:sz w:val="22"/>
        </w:rPr>
        <w:t>that in the case of a failure to timely request a continuation of Alternative Currency Term Rate Loans, such Loans shall be continued as Alternative Currency Term Rate Loans in their original currency with an Interest Period of one month. No Revolving Credit Loan may be converted into or continued as a Revolving Credit Loan denominated in a different currency, but instead must be repaid in the original currency of such Revolving Credit Loan and reborrowed in the other currency. Any such automatic conversion to Base Rate Loans shall be effective as of the last day of the Interest Period then in effect with respect to the applicable Term SOFR Loans. If the Domestic Borrower requests a Borrowing of, conversion to, or continuation of Term SOFR Loans or Alternative Currency Term Rate Loans in any such Committed Loan Notice, but fails to specify an Interest Period, it will be deemed to have specified an Interest Period of one month. Notwithstanding anything to the contrary herein, a Swingline Loan may not be converted to a Term SOFR Loan and may only be in Dollars.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Following receipt of a Committed Loan Notice, the Administrative Agent shall promptly notify each Lender of the amount of its Applicable Percentage under such Facility of the applicable Loans, whether such Loan is to be denominated in Dollars or an Alternative Currency, and if no timely notice of a conversion or continuation is provided by the Domestic Borrower, the Administrative Agent shall notify each Lender of the details of any automatic conversion to Base Rate Loans or continuation of Loan denominated in a currency other than Dollars, in each case as described in the preceding subsection. In the case of a Revolving Credit Borrowing, each Appropriate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in an Alternative Currency, in each case on the Business Day specified in the applicable Committed Loan Notice. Upon satisfaction of the applicable conditions set forth in Section 4.02 (and, if such Borrowing is the initial Credit Extension, Section 4.01),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Domestic Borrower; </w:t>
      </w:r>
      <w:r>
        <w:rPr>
          <w:rFonts w:ascii="Times New Roman" w:hAnsi="Times New Roman"/>
          <w:i/>
          <w:color w:val="000000"/>
          <w:sz w:val="22"/>
        </w:rPr>
        <w:t xml:space="preserve">provided </w:t>
      </w:r>
      <w:r>
        <w:rPr>
          <w:rFonts w:ascii="Times New Roman" w:hAnsi="Times New Roman"/>
          <w:color w:val="000000"/>
          <w:sz w:val="22"/>
        </w:rPr>
        <w:t xml:space="preserve">that if, on the date the Committed Loan Notice with respect to a Revolving Credit Borrowing is given by the Domestic Borrower, there are L/C Borrowings outstanding with respect to the applicable Borrower, then the proceeds of such Revolving Credit Borrowing, </w:t>
      </w:r>
      <w:r>
        <w:rPr>
          <w:rFonts w:ascii="Times New Roman" w:hAnsi="Times New Roman"/>
          <w:i/>
          <w:color w:val="000000"/>
          <w:sz w:val="22"/>
        </w:rPr>
        <w:t>first</w:t>
      </w:r>
      <w:r>
        <w:rPr>
          <w:rFonts w:ascii="Times New Roman" w:hAnsi="Times New Roman"/>
          <w:color w:val="000000"/>
          <w:sz w:val="22"/>
        </w:rPr>
        <w:t xml:space="preserve">, shall be applied to the payment in full of any such L/C Borrowings, and </w:t>
      </w:r>
      <w:r>
        <w:rPr>
          <w:rFonts w:ascii="Times New Roman" w:hAnsi="Times New Roman"/>
          <w:i/>
          <w:color w:val="000000"/>
          <w:sz w:val="22"/>
        </w:rPr>
        <w:t>second</w:t>
      </w:r>
      <w:r>
        <w:rPr>
          <w:rFonts w:ascii="Times New Roman" w:hAnsi="Times New Roman"/>
          <w:color w:val="000000"/>
          <w:sz w:val="22"/>
        </w:rPr>
        <w:t>, shall be made available to such Borrower as provided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otherwise provided herein, a Term SOFR Loan or an Alternative Currency Term Rate Loan may be continued or converted only on the last day of an Interest Period for such Loan. During the existence of a Default, no Loans may be requested as, converted to or continued as Term SOFR Loans or Alternative Currency Term Rate Loans without the consent of the Required Lenders, and the Required Lenders may demand that any or all of the then outstanding Alternative Currency Loans be redenominated into Dollars in the amount of the Dollar Equivalent thereof, on the last day of the then current Interest Period with respect thereto.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determination of an interest rate by the Administrative Agent pursuant to any provision of this Agreement shall be conclusive and binding on the Borrower and the Lenders in the absence of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all Incremental Term Borrowings, all conversions of Incremental Term Loans from one Type to another, and all continuations of Incremental Term Loans as the same Type, there shall not be more than six (6) Interest Periods in effect in respect of the Incremental Term Facility. After giving effect to all Revolving Credit Borrowings, all conversions of Revolving Credit Loans from one Type to another, and all continuations of Revolving Credit Loans as the same Type, there shall not be more than 6 Interest Periods in effect in respect of the Revolving Credit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With respect to any Alternative Currency Daily Rate, Alternative Currency Term Rate, SOFR or Term SOFR, the Administrative Agent will have the right to make Alternative Currency Conforming Changes or Conforming Changes, as applicable, from time to time and, notwithstanding anything to the contrary herein or in any other Loan Document, any amendments implementing such Alternative Currency Conforming Changes or Conforming Changes, as applicable, will become effective without any further action or consent of any other party to this Agreement or any other Loan Document; </w:t>
      </w:r>
      <w:r>
        <w:rPr>
          <w:rFonts w:ascii="Times New Roman" w:hAnsi="Times New Roman"/>
          <w:i/>
          <w:color w:val="000000"/>
          <w:sz w:val="22"/>
          <w:u w:val="single"/>
        </w:rPr>
        <w:t>provided</w:t>
      </w:r>
      <w:r>
        <w:rPr>
          <w:color w:val="000000"/>
        </w:rPr>
        <w:t xml:space="preserve"> </w:t>
      </w:r>
      <w:r>
        <w:rPr>
          <w:rFonts w:ascii="Times New Roman" w:hAnsi="Times New Roman"/>
          <w:color w:val="000000"/>
          <w:sz w:val="22"/>
        </w:rPr>
        <w:t>that, with respect to any such amendment effected, the Administrative Agent shall post each such amendment implementing such Alternative Currency Conforming Changes or Conforming Changes, as applicable, to the Borrowers and the Lenders reasonably promptly after such amendment becomes effective.</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2.03. Letters of Credit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The Letter of Credit Commitment</w:t>
      </w:r>
      <w:r>
        <w:rPr>
          <w:rFonts w:ascii="Times New Roman" w:hAnsi="Times New Roman"/>
          <w:color w:val="000000"/>
          <w:sz w:val="22"/>
        </w:rPr>
        <w:t xml:space="preserve">. (i) Subject to the terms and conditions set forth herein, in addition to the Loans provided for in Section 2.01 (A) Bank of America, in its capacity as an L/C Issuer agrees, in reliance upon the agreements of the Revolving Credit Lenders set forth in this Section 2.03, (1) from time to time on any Business Day during the period from the Closing Date until the Letter of Credit Expiration Date, to issue Letters of Credit denominated in Dollars or, in its capacity as Alternative Currency L/C Issuer, in an Alternative Currency applicable to such L/C Issuer for the account of any Borrower or Loan Party, and to amend Letters of Credit previously issued by it, in accordance with subsection (b) below, and (2) to honor drawings under the Letters of Credit; (B) each other L/C Issuer agrees, in reliance upon the agreements of the Revolving Credit Lenders set forth in this Section 2.03, (1) from time to time on any Business Day during the period from the Closing Date until the Letter of Credit Expiration Date, to issue Letters of Credit denominated in Dollars for the account of any Borrower or Loan Party, and to amend Letters of Credit previously issued by it, in accordance with subsection (b) below, and (2) to honor drawings under the Letters of Credit; and (C) the Revolving Credit Lenders severally agree to participate in Letters of Credit issued for the account of the Borrowers or any Loan Party and any drawings thereunder; provided that after giving effect to any L/C Credit Extension with respect to any Letter of Credit, (w) the Total Revolving Credit Outstandings shall not exceed the Revolving Credit Facility, (x) the Revolving Credit Exposure of any Revolving Credit Lender shall not exceed such Lender’s Commitment, (y) the aggregate Outstanding Amount of all Revolving Credit Loans denominated in Alternative Currencies plus the aggregate Outstanding Amount of all L/C Obligations denominated in Alternative Currencies shall not exceed the Alternative Currency Sublimit, and (z)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L/C Issuer shall issue any Letter of Credit, if: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expiry date of the requested Letter of Credit would occur more than twelve months after the date of issuance or last extension, unless the Required Revolving Lenders have approved such expiry date;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expiry date of the requested Letter of Credit would occur after the Letter of Credit Expiration Date, unless all the Revolving Credit Lenders have approved such expiry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L/C Issuer shall be under any obligation to issue any Letter of Credit if: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issuance of the Letter of Credit would violate one or more policies of such L/C Issuer applicable to letters of credit generally;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otherwise agreed by the Administrative Agent and such L/C Issuer, the Letter of Credit is in an initial stated amount less than $100,000, in the case of a commercial Letter of Credit, or $500,000, in the case of a standby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agreed by the Administrative Agent and the Alternative Currency L/C Issuer, the Letter of Credit is to be denominated in a currency other than Dollars or an Alternative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L/C issuer does not as of the issuance date of such requested Letter of Credit issue letters of credit in the requested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Revolving Credit Lender is at that time a Defaulting Lender, unless such L/C Issuer has entered into arrangements, including the delivery of Cash Collateral, satisfactory to such L/C Issuer (in its sole discretion) with the Domestic Borrower or such Revolving Credit Lender to eliminate such L/C Issuer’s actual or potential Fronting Exposure (after giving effect to Section 2.16(a)(iv)) with respect to the Defaulting Lender arising from either the Letter of Credit then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proposed to be issued or that Letter of Credit and all other L/C Obligations as to which such L/C Issuer has actual or potential Fronting Exposure, as it may elect in its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Letter of Credit contains any provisions for automatic reinstatement of the stated amount after any drawing thereunder;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L/C Issuer does not as of the issuance date of the requested Letter of Credit issue Letters of Credit in the requested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L/C Issuer shall amend any Letter of Credit if such L/C Issuer would not be permitted at such time to issue the Letter of Credit in its amended form under the terms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L/C Issuer shall act on behalf of the Revolving Credit Lenders with respect to any Letters of Credit issued by it and the documents associated therewith, and each L/C Issuer shall have all of the benefits and immunities (A) provided to the Administrative Agent in Article IX with respect to any acts taken or omissions suffered by such L/C Issuer in connection with Letters of Credit issued by it or proposed to be issued by it and Issuer Documents pertaining to such Letters of Credit as fully as if the term “Administrative Agent” as used in Article IX included such L/C Issuer with respect to such acts or omissions, and (B) as additionally provided herein with respect to such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Procedures for Issuance and Amendment of Letters of Credit</w:t>
      </w:r>
      <w:r>
        <w:rPr>
          <w:rFonts w:ascii="Times New Roman" w:hAnsi="Times New Roman"/>
          <w:color w:val="000000"/>
          <w:sz w:val="22"/>
        </w:rPr>
        <w:t>. (i) Each Letter of Credit shall be issued or amended, as the case may be, upon the request of the applicable Borrower delivered to an L/C Issuer (with a copy to the Administrative Agent) in the form of a Letter of Credit Application, appropriately completed and signed by a Responsible Officer of the applicable Borrower. Such Letter of Credit Application may be sent</w:t>
      </w:r>
      <w:r>
        <w:rPr>
          <w:strike/>
          <w:color w:val="FF0000"/>
        </w:rPr>
        <w:t xml:space="preserve"> </w:t>
      </w:r>
      <w:r>
        <w:rPr>
          <w:rFonts w:ascii="Times New Roman" w:hAnsi="Times New Roman"/>
          <w:strike/>
          <w:color w:val="FF0000"/>
          <w:sz w:val="22"/>
        </w:rPr>
        <w:t>by facsimile,</w:t>
      </w:r>
      <w:r>
        <w:rPr>
          <w:color w:val="FF0000"/>
        </w:rPr>
        <w:t xml:space="preserve"> </w:t>
      </w:r>
      <w:r>
        <w:rPr>
          <w:rFonts w:ascii="Times New Roman" w:hAnsi="Times New Roman"/>
          <w:color w:val="000000"/>
          <w:sz w:val="22"/>
        </w:rPr>
        <w:t xml:space="preserve">by United States mail, by overnight courier, by electronic transmission using the system provided by the applicable L/C Issuer, by personal delivery or by any other means acceptable to such L/C Issuer. Such Letter of Credit Application must be received by the applicable L/C Issuer and the Administrative Agent not later than 11:00 a.m. at least two Business Days prior to the proposed issuance date or date of amendment, as the case may be, of any Letter of Credit denominated in Dollars, and not later than 12:00 noon at least ten Business Days prior to the proposed issuance date or date of amendment, as the case may be, of any Letter of Credit denominated in an Alternative Currency (or in each case such later date and time as the Administrative Agent and the applicable L/C Issuer may agree in a particular instance in their sole discretion).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and currency thereof and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the applicable L/C Issuer may require. Additionally, the applicable Borrower shall furnish to the applicable L/C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Issuer and the Administrative Agent such other documents and information pertaining to such requested Letter of Credit issuance or amendment, including any Issuer Documents, as such L/C Issuer or the Administrative Agent may require.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Promptly after receipt of any Letter of Credit Application, the applicable L/C Issuer will confirm with the Administrative Agent (by telephone or in writing) that the Administrative Agent has received a copy of such Letter of Credit Application from the applicable Borrower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L/C Issuer shall, on the requested date, issue a Letter of Credit for the account of the applicable Borrower (or the applicable Loan Party)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such L/C Issuer a risk participation in such Letter of Credit in an amount equal to the product of such Revolving Credit Lender’s Applicable Revolving Credit Percentage </w:t>
      </w:r>
      <w:r>
        <w:rPr>
          <w:rFonts w:ascii="Times New Roman" w:hAnsi="Times New Roman"/>
          <w:i/>
          <w:color w:val="000000"/>
          <w:sz w:val="22"/>
        </w:rPr>
        <w:t xml:space="preserve">times </w:t>
      </w:r>
      <w:r>
        <w:rPr>
          <w:rFonts w:ascii="Times New Roman" w:hAnsi="Times New Roman"/>
          <w:color w:val="000000"/>
          <w:sz w:val="22"/>
        </w:rPr>
        <w:t>the amount of such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its delivery of any Letter of Credit or any amendment to a Letter of Credit to an advising bank with respect thereto or to the beneficiary thereof, the applicable L/C Issuer will also deliver to the applicable Borrower and the Administrative Agent a true and complete copy of such Letter of Credit or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Drawings and Reimbursements; Funding of Participations</w:t>
      </w:r>
      <w:r>
        <w:rPr>
          <w:rFonts w:ascii="Times New Roman" w:hAnsi="Times New Roman"/>
          <w:color w:val="000000"/>
          <w:sz w:val="22"/>
        </w:rPr>
        <w:t xml:space="preserve">. (i) Upon receipt from the beneficiary of any Letter of Credit of any notice of a drawing under such Letter of Credit, the applicable L/C Issuer shall promptly notify the applicable Borrower and the Administrative Agent thereof. In the case of a Letter of Credit denominated in an Alternative Currency, the applicable Borrower shall reimburse the Alternative Currency L/C Issuer in such Alternative Currency, unless (A) the Alternative Currency L/C Issuer (at its option) shall have specified in such notice that it will require reimbursement in Dollars, or (B) in the absence of any such requirement for reimbursement in Dollars, the applicable Borrower shall have notified such L/C Issuer promptly following receipt of the notice of drawing that the applicable Borrower will reimburse such L/C Issuer in Dollars. In the case of any such reimbursement in Dollars of a drawing under a Letter of Credit denominated in an Alternative Currency, the Alternative Currency L/C Issuer shall notify the applicable Borrower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the Alternative Currency L/C Issuer under a Letter of Credit to be reimbursed in an Alternative Currency (each such date, an </w:t>
      </w:r>
      <w:r>
        <w:rPr>
          <w:color w:val="000000"/>
        </w:rPr>
        <w:t>“</w:t>
      </w:r>
      <w:r>
        <w:rPr>
          <w:rFonts w:ascii="Times New Roman" w:hAnsi="Times New Roman"/>
          <w:i/>
          <w:color w:val="000000"/>
          <w:sz w:val="22"/>
        </w:rPr>
        <w:t>Honor Date”</w:t>
      </w:r>
      <w:r>
        <w:rPr>
          <w:rFonts w:ascii="Times New Roman" w:hAnsi="Times New Roman"/>
          <w:color w:val="000000"/>
          <w:sz w:val="22"/>
        </w:rPr>
        <w:t xml:space="preserve">), the applicable Borrower shall reimburse the applicable L/C Issuer through the Administrative Agent in an amount equal to the amount of such drawing and in the applicable currency. In the event that (A) a drawing denominated in an Alternative Currency is to be reimbursed in Dollars pursuant to the second sentence in this Section 2.03(c)(i) and (B) the Dollar amount paid by the applicable Borrower, whether on or after the Honor Date, shall not be adequate on the date of that payment to purchase in accordance with normal banking procedures a sum denominated in the Alternative Currency equal to the drawing, such Borrower agrees, as a separate and independent obligation, to indemnify the Alternative Currency L/C Issuer for the loss resulting from its inability on that date to purchase the Alternative Currency in the full amount of the drawing. If the applicable Borrower fails to so reimburse such L/C Issuer by such time, the Administrative Agent shall promptly notify each Revolving Credit Lender of the Honor Date, the amount of the unreimbursed drawing (expressed in Dollars in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amount of the Dollar Equivalent thereof in the case of a Letter of Credit denominated in an Alternative Currency) (the </w:t>
      </w:r>
      <w:r>
        <w:rPr>
          <w:color w:val="000000"/>
        </w:rPr>
        <w:t>“</w:t>
      </w:r>
      <w:r>
        <w:rPr>
          <w:rFonts w:ascii="Times New Roman" w:hAnsi="Times New Roman"/>
          <w:i/>
          <w:color w:val="000000"/>
          <w:sz w:val="22"/>
        </w:rPr>
        <w:t>Unreimbursed Amount”</w:t>
      </w:r>
      <w:r>
        <w:rPr>
          <w:rFonts w:ascii="Times New Roman" w:hAnsi="Times New Roman"/>
          <w:color w:val="000000"/>
          <w:sz w:val="22"/>
        </w:rPr>
        <w:t xml:space="preserve">), and the amount of such Revolving Credit Lender’s Applicable Revolving Credit Percentage thereof. In such event, the applicable Borrower shall be deemed to have requested a Revolving Credit Borrowing of Base Rate Loans to be disbursed on the Honor Date in an amount equal to the Unreimbursed Amount, without regard to the minimum and multiples specified in Section 2.02 for the principal amount of Base Rate Loans, but subject to the amount of the unutilized portion of the Revolving Credit Commitments and the conditions set forth in Section 4.02 (other than the delivery of a Committed Loan Notice). Any notice given by an L/C Issuer or the Administrative Agent pursuant to this Section 2.03(c)(i) may be given by telephone if immediately confirmed in writing; </w:t>
      </w:r>
      <w:r>
        <w:rPr>
          <w:rFonts w:ascii="Times New Roman" w:hAnsi="Times New Roman"/>
          <w:i/>
          <w:color w:val="000000"/>
          <w:sz w:val="22"/>
        </w:rPr>
        <w:t xml:space="preserve">provided </w:t>
      </w:r>
      <w:r>
        <w:rPr>
          <w:rFonts w:ascii="Times New Roman" w:hAnsi="Times New Roman"/>
          <w:color w:val="000000"/>
          <w:sz w:val="22"/>
        </w:rPr>
        <w:t>that the lack of such an immediate confirmation shall not affect the conclusiveness or binding effect of such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Revolving Credit Lender shall upon any notice pursuant to Section 2.03(c)(i) make funds available (and the Administrative Agent may apply Cash Collateral provided for this purpose) for the account of the applicable L/C Issuer, in Dollars, at the Administrative Agent’s Office for Dollar denominated payments in an amount equal to its Applicable Revolving Credit Percentage of the Unreimbursed Amount not later than 1:00 p.m. on the Business Day specified in such notice by the Administrative Agent, whereupon, subject to the provisions of Section 2.03(c)(iii), each Revolving Credit Lender that so makes funds available shall be deemed to have made a Base Rate Loan to the applicable Borrower in such amount. The Administrative Agent shall remit the funds so received to the applicable L/C Issuer in Dollars.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any Unreimbursed Amount that is not fully refinanced by a Revolving Credit Borrowing of Base Rate Loans because the conditions set forth in Section 4.02 cannot be satisfied or for any other reason, the Domestic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Section 2.03(c)(ii) shall be deemed payment in respect of its participation in such L/C Borrowing and shall constitute an L/C Advance from such Lender in satisfaction of its participation obligation under this Section 2.03.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Until each Revolving Credit Lender funds its Revolving Credit Loan or L/C Advance pursuant to this Section 2.03(c) to reimburse the applicable L/C Issuer for any amount drawn under any Letter of Credit, interest in respect of such Lender’s Applicable Revolving Credit Percentage of such amount shall be solely for the account of such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color w:val="000000"/>
          <w:sz w:val="22"/>
        </w:rPr>
        <w:t xml:space="preserve">Each Revolving Credit Lender’s obligation to make Revolving Credit Loans or L/C Advances to reimburse an L/C Issuer for amounts drawn under Letters of Credit, as contemplated by this Section 2.03(c), shall be absolute and unconditional and shall not be affected by any circumstance, including (A) any setoff, counterclaim, recoupment, defense or other right which such Lender may have against any L/C Issuer, any Borrower, any Subsidiary or any other Person for any reason whatsoever; (B) the occurrence or continuance of a Default, or (C) any other occurrence, event or condition, whether or not similar to any of the foregoing; </w:t>
      </w:r>
      <w:r>
        <w:rPr>
          <w:rFonts w:ascii="Times New Roman" w:hAnsi="Times New Roman"/>
          <w:i/>
          <w:color w:val="000000"/>
          <w:sz w:val="22"/>
        </w:rPr>
        <w:t xml:space="preserve">provided </w:t>
      </w:r>
      <w:r>
        <w:rPr>
          <w:rFonts w:ascii="Times New Roman" w:hAnsi="Times New Roman"/>
          <w:color w:val="000000"/>
          <w:sz w:val="22"/>
        </w:rPr>
        <w:t xml:space="preserve">that each Revolving Credit Lender’s obligation to make Revolving Credit Loans pursuant to this Section 2.03(c) is subject to the conditions set forth in Section 4.02 (other than delivery by the applicable Borrower of a Committed Loan Notice). No such making of an L/C Advance shall relieve or otherwise impair the obligation of the applicable Borrower to reimburse the applicable L/C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Issuer for the amount of any payment made by such L/C Issuer under any Letter of Credit, together with interest as provided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Revolving Credit Lender fails to make available to the Administrative Agent for the account of the applicable L/C Issuer any amount required to be paid by such Lender pursuant to the foregoing provisions of this Section 2.03(c) by the time specified in Section 2.03(c)(ii), then, without limiting the other provisions of this Agreement, the applicable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clause (vi)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Repayment of Participations</w:t>
      </w:r>
      <w:r>
        <w:rPr>
          <w:rFonts w:ascii="Times New Roman" w:hAnsi="Times New Roman"/>
          <w:color w:val="000000"/>
          <w:sz w:val="22"/>
        </w:rPr>
        <w:t>. (i) At any time after the applicable L/C Issuer has made a payment under any Letter of Credit and has received from any Revolving Credit Lender such Lender’s L/C Advance in respect of such payment in accordance with Section 2.03(c), if the Administrative Agent receives for the account of such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payment received by the Administrative Agent for the account of an L/C Issuer pursuant to Section 2.03(c)(i) is required to be returned under any of the circumstances described in Section 11.05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Obligations Absolute</w:t>
      </w:r>
      <w:r>
        <w:rPr>
          <w:rFonts w:ascii="Times New Roman" w:hAnsi="Times New Roman"/>
          <w:color w:val="000000"/>
          <w:sz w:val="22"/>
        </w:rPr>
        <w:t>. The obligation of the applicable Borrower to reimburse the applicable L/C Issuer in each case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lack of validity or enforceability of such Letter of Credit, this Agreement, or any other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existence of any claim, counterclaim, setoff, defense or other right that any Borrower or any Subsidiary may have at any time against any beneficiary or any transferee of such Letter of Credit (or any Person for whom any such beneficiary or any such transferee may be acting), any L/C Issuer or any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Person, whether in connection with this Agreement, the transactions contemplated hereby or by such Letter of Credit or any agreement or instrument relating thereto, or any unrelated transaction;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waiver by any L/C Issuer of any requirement that exists for such L/C Issuer’s protection and not the protection of the applicable Borrower or any waiver by such L/C Issuer which does not in fact materially prejudice the applicable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honor of a demand for payment presented electronically even if such Letter of Credit requires that demand be in the form of a draft;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adverse change in the relevant exchange rates or in the availability of relevant Alternative Currency to any Borrower or any Subsidiary or in the relevant currency markets generally;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circumstance or happening whatsoever, whether or not similar to any of the foregoing, including any other circumstance that might otherwise constitute a defense available to, or a discharge of, the Domestic Borrower or any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applicable Borrower shall promptly examine a copy of each Letter of Credit and each amendment thereto that is delivered to it and, in the event of any claim of noncompliance with the applicable Borrower’s instructions or other irregularity, the applicable Borrower will immediately notify the applicable L/C Issuer. The applicable Borrower shall be conclusively deemed to have waived any such claim against each L/C Issuer and its correspondents unless such notice is given as aforesaid.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Role of L/C Issuer</w:t>
      </w:r>
      <w:r>
        <w:rPr>
          <w:rFonts w:ascii="Times New Roman" w:hAnsi="Times New Roman"/>
          <w:color w:val="000000"/>
          <w:sz w:val="22"/>
        </w:rPr>
        <w:t xml:space="preserve">. Each Lender and each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any L/C Issuer,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 w:hAnsi="Times New Roman"/>
          <w:i/>
          <w:color w:val="000000"/>
          <w:sz w:val="22"/>
        </w:rPr>
        <w:t xml:space="preserve">provided </w:t>
      </w:r>
      <w:r>
        <w:rPr>
          <w:rFonts w:ascii="Times New Roman" w:hAnsi="Times New Roman"/>
          <w:color w:val="000000"/>
          <w:sz w:val="22"/>
        </w:rPr>
        <w:t xml:space="preserve">that this assumption is not intended to, and shall not, preclude the applicable Borrower’s pursuing such rights and remedies as it may have against the beneficiary or transferee at law or under any other agreement. Neither any L/C Issuer, the Administrative Agent, any of their respective Related Parties nor any correspondent, participant or assignee of any L/C Issuer shall be liable or responsible for any of the matters described in Section 2.03(e); </w:t>
      </w:r>
      <w:r>
        <w:rPr>
          <w:rFonts w:ascii="Times New Roman" w:hAnsi="Times New Roman"/>
          <w:i/>
          <w:color w:val="000000"/>
          <w:sz w:val="22"/>
        </w:rPr>
        <w:t xml:space="preserve">provided, however, </w:t>
      </w:r>
      <w:r>
        <w:rPr>
          <w:rFonts w:ascii="Times New Roman" w:hAnsi="Times New Roman"/>
          <w:color w:val="000000"/>
          <w:sz w:val="22"/>
        </w:rPr>
        <w:t>that anything in such clauses to the contrary notwithstanding, the applicable Borrower may have a claim against the applicable L/C Issuer, and the applicable L/C Issuer may be liable to the applicable Borrower, to the extent, but only to the extent, of any direct, as opposed to consequential or exemplary, damages suffered by the applicable Borrower which the applicable Borrower proves, as determined by a final nonappealable judgment of a court of competent jurisdiction, were caused by the applicable L/C Issuer’s willful misconduct or gross negligence or the applicable L/C Issuer’s willful failure to pay under any Letter of Credit after the presentation to it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no L/C Issuer shall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i/>
          <w:color w:val="000000"/>
          <w:sz w:val="22"/>
        </w:rPr>
        <w:t>Applicability of ISP and UCP; Limitation of Liability</w:t>
      </w:r>
      <w:r>
        <w:rPr>
          <w:rFonts w:ascii="Times New Roman" w:hAnsi="Times New Roman"/>
          <w:color w:val="000000"/>
          <w:sz w:val="22"/>
        </w:rPr>
        <w:t>. Unless otherwise expressly agreed by the applicable L/C Issuer and the applicable Borrower when a Letter of Credit is issued, (i) the rules of the ISP shall apply to each standby Letter of Credit, and (ii) the rules of the UCP shall apply to each commercial Letter of Credit. Notwithstanding the foregoing, no L/C Issuer shall be responsible to any Borrower for, and no L/C Issuer’s rights and remedies against the applicable Borrower shall be impaired by, any action or inaction of any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i/>
          <w:color w:val="000000"/>
          <w:sz w:val="22"/>
        </w:rPr>
        <w:t>Letter of Credit Fees</w:t>
      </w:r>
      <w:r>
        <w:rPr>
          <w:rFonts w:ascii="Times New Roman" w:hAnsi="Times New Roman"/>
          <w:color w:val="000000"/>
          <w:sz w:val="22"/>
        </w:rPr>
        <w:t xml:space="preserve">. The applicable Borrower shall pay to the Administrative Agent for the account of each Revolving Credit Lender in accordance, subject to Section 2.16, with its Applicable Revolving Credit Percentage a Letter of Credit fee (the </w:t>
      </w:r>
      <w:r>
        <w:rPr>
          <w:color w:val="000000"/>
        </w:rPr>
        <w:t>“</w:t>
      </w:r>
      <w:r>
        <w:rPr>
          <w:rFonts w:ascii="Times New Roman" w:hAnsi="Times New Roman"/>
          <w:i/>
          <w:color w:val="000000"/>
          <w:sz w:val="22"/>
        </w:rPr>
        <w:t>Letter of Credit Fee”</w:t>
      </w:r>
      <w:r>
        <w:rPr>
          <w:rFonts w:ascii="Times New Roman" w:hAnsi="Times New Roman"/>
          <w:color w:val="000000"/>
          <w:sz w:val="22"/>
        </w:rPr>
        <w:t xml:space="preserve">) for each Letter of Credit equal to the Applicable Rate times the Dollar Equivalent of the daily amount available to be drawn under such Letter of Credit. For purposes of computing the daily amount available to be drawn under any Letter of Credit, the amount of such Letter of Credit shall be determined in accordance with Section 1.09.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contained herein, upon the request of the Required Revolving Lenders, while any Event of Default exists, all Letter of Credit Fees shall accrue at the Default Rate.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i/>
          <w:color w:val="000000"/>
          <w:sz w:val="22"/>
        </w:rPr>
        <w:t>Fronting Fee and Documentary and Processing Charges Payable to L/C Issuers</w:t>
      </w:r>
      <w:r>
        <w:rPr>
          <w:rFonts w:ascii="Times New Roman" w:hAnsi="Times New Roman"/>
          <w:color w:val="000000"/>
          <w:sz w:val="22"/>
        </w:rPr>
        <w:t>. The applicable Borrower shall pay directly to the applicable L/C Issuer for its own account, in Dollars, a fronting fee (i) with respect to each commercial Letter of Credit, at the rate specified in the Fee Letter, computed on the Dollar Equivalent of the amount of such Letter of Credit, and payable upon the issuance thereof, (ii) with respect to any amendment of a commercial Letter of Credit increasing the amount of such Letter of Credit, at a rate separately agreed between the applicable Borrower and such L/C Issuer, computed on the Dollar Equivalent of the amount of such increase, and payable upon the effectiveness of such amendment, and (iii) with respect to each standby Letter of Credit, at the rate per annum specified in the Fee Letter,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Section 1.09. In addition, the applicable Borrower shall pay directly to the applicable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i/>
          <w:color w:val="000000"/>
          <w:sz w:val="22"/>
        </w:rPr>
        <w:t>Conflict with Issuer Documents</w:t>
      </w:r>
      <w:r>
        <w:rPr>
          <w:rFonts w:ascii="Times New Roman" w:hAnsi="Times New Roman"/>
          <w:color w:val="000000"/>
          <w:sz w:val="22"/>
        </w:rPr>
        <w:t>. In the event of any conflict between the terms hereof and the terms of any Issuer Document, the terms hereof shall control.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i/>
          <w:color w:val="000000"/>
          <w:sz w:val="22"/>
        </w:rPr>
        <w:t>Letters of Credit Issued for Subsidiaries</w:t>
      </w:r>
      <w:r>
        <w:rPr>
          <w:rFonts w:ascii="Times New Roman" w:hAnsi="Times New Roman"/>
          <w:color w:val="000000"/>
          <w:sz w:val="22"/>
        </w:rPr>
        <w:t>. Notwithstanding that a Letter of Credit issued or outstanding hereunder is in support of any obligations of, or is for the account of, a Subsidiary, the applicable Borrower shall be obligated to reimburse the applicable L/C Issuer hereunder for any and all drawings under such Letter of Credit. Each Borrower hereby acknowledges that the issuance of Letters of Credit for the account of Subsidiaries inures to the benefit of the applicable Borrower, and that the applicable Borrower’s business derives substantial benefits from the businesses of such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i/>
          <w:color w:val="000000"/>
          <w:sz w:val="22"/>
        </w:rPr>
        <w:t>L/C Issuer Reports to the Administrative Agent</w:t>
      </w:r>
      <w:r>
        <w:rPr>
          <w:rFonts w:ascii="Times New Roman" w:hAnsi="Times New Roman"/>
          <w:color w:val="000000"/>
          <w:sz w:val="22"/>
        </w:rPr>
        <w:t>. Unless otherwise agreed by the Administrative Agent, each L/C Issuer shall, in addition to its notification obligations set forth elsewhere in this Section 2.03, provide the Administrative Agent a Letter of Credit Report, as set forth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each Business Day on which such L/C Issuer makes a payment pursuant to a Letter of Credit, the date and amount of such payment;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any Business Day on which a Borrower fails to reimburse a payment made pursuant to a Letter of Credit required to be reimbursed to such L/C Issuer on such day, the date of such failure and the amount of such payment;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any other Business Day, such other information as the Administrative Agent shall reasonably request as to the Letters of Credit issued by such L/C Issuer;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 (2) there is any expiration, cancellation and/or disbursement, in each case, with respect to any such Letter of Credit, a Letter of Credit Report appropriately completed with the information for every outstanding Letter of Credit issued by such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i/>
          <w:color w:val="000000"/>
          <w:sz w:val="22"/>
        </w:rPr>
        <w:t>Additional L/C Issuers</w:t>
      </w:r>
      <w:r>
        <w:rPr>
          <w:rFonts w:ascii="Times New Roman" w:hAnsi="Times New Roman"/>
          <w:color w:val="000000"/>
          <w:sz w:val="22"/>
        </w:rPr>
        <w:t>. Any Lender hereunder may become an L/C Issuer upon receipt by the Administrative Agent of a fully executed Notice of Additional L/C Issuer which shall be signed by the Borrowers, the Administrative Agent and each L/C Issuer. Such new L/C Issuer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2.04. Swingline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The Swingline</w:t>
      </w:r>
      <w:r>
        <w:rPr>
          <w:rFonts w:ascii="Times New Roman" w:hAnsi="Times New Roman"/>
          <w:color w:val="000000"/>
          <w:sz w:val="22"/>
        </w:rPr>
        <w:t xml:space="preserve">. Subject to the terms and conditions set forth herein, the Swingline Lender, in reliance upon the agreements of the other Lenders set forth in this Section 2.04, may in its sole discretion make loans in Dollars (each such loan, a </w:t>
      </w:r>
      <w:r>
        <w:rPr>
          <w:color w:val="000000"/>
        </w:rPr>
        <w:t>“</w:t>
      </w:r>
      <w:r>
        <w:rPr>
          <w:rFonts w:ascii="Times New Roman" w:hAnsi="Times New Roman"/>
          <w:i/>
          <w:color w:val="000000"/>
          <w:sz w:val="22"/>
        </w:rPr>
        <w:t>Swingline Loan”</w:t>
      </w:r>
      <w:r>
        <w:rPr>
          <w:rFonts w:ascii="Times New Roman" w:hAnsi="Times New Roman"/>
          <w:color w:val="000000"/>
          <w:sz w:val="22"/>
        </w:rPr>
        <w:t xml:space="preserve">) to the Borrowers from time to time on any Business Day during the Availability Period in an aggregate amount not to exceed at any time outstanding the amount of the Swingline Sublimit, notwithstanding the fact that such Swingline Loans, when aggregated with the Applicable Revolving Credit Percentage of the Outstanding Amount of Revolving Credit Loans and L/C Obligations of the Lender acting as Swingline Lender, may exceed the amount of such Lender’s Revolving Credit Commitment; </w:t>
      </w:r>
      <w:r>
        <w:rPr>
          <w:rFonts w:ascii="Times New Roman" w:hAnsi="Times New Roman"/>
          <w:i/>
          <w:color w:val="000000"/>
          <w:sz w:val="22"/>
        </w:rPr>
        <w:t xml:space="preserve">provided, however, </w:t>
      </w:r>
      <w:r>
        <w:rPr>
          <w:rFonts w:ascii="Times New Roman" w:hAnsi="Times New Roman"/>
          <w:color w:val="000000"/>
          <w:sz w:val="22"/>
        </w:rPr>
        <w:t>that (x) after giving effect to any Swingline Loan, (i) the Total Revolving Credit Outstandings shall not exceed the Revolving Credit Facility at such time, (ii) the Revolving Credit Exposure of any Revolving Credit Lender shall not exceed such Lender’s Revolving Credit Commitment and (iii) the aggregate amount of all Swingline Loans outstanding shall not exceed the Swingline Commitment of the Swingline Lender, (y) the applicable Borrower shall not use the proceeds of any Swingline Loan to refinance any outstanding Swingline Loan, and (z)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Section 2.04, prepay under Section 2.05, and reborrow under this Section 2.04. Each Swingline Loan shall be a Base Rate Loan. Immediately upon the making of a Swingline Loan, each Revolving Credit Lender shall be deemed to, and hereby irrevocably and unconditionally agrees to, purchase from the Swingline Lender a risk participation in such Swingline Loan in an amount equal to the product of such Revolving Credit Lender’s Applicable Revolving Credit Percentage times the amount of such Swingline Loan.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Borrowing Procedures</w:t>
      </w:r>
      <w:r>
        <w:rPr>
          <w:rFonts w:ascii="Times New Roman" w:hAnsi="Times New Roman"/>
          <w:color w:val="000000"/>
          <w:sz w:val="22"/>
        </w:rPr>
        <w:t xml:space="preserve">. Each Swingline Borrowing shall be made upon the applicable Borrower’s irrevocable notice to the Swingline Lender and the Administrative Agent, which may be given by: (A) telephone or (B) a Swingline Loan Notice; </w:t>
      </w:r>
      <w:r>
        <w:rPr>
          <w:rFonts w:ascii="Times New Roman" w:hAnsi="Times New Roman"/>
          <w:i/>
          <w:color w:val="000000"/>
          <w:sz w:val="22"/>
        </w:rPr>
        <w:t xml:space="preserve">provided </w:t>
      </w:r>
      <w:r>
        <w:rPr>
          <w:rFonts w:ascii="Times New Roman" w:hAnsi="Times New Roman"/>
          <w:color w:val="000000"/>
          <w:sz w:val="22"/>
        </w:rPr>
        <w:t>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(i) the amount to be borrowed, which shall be a minimum of $100,000, and (ii) the requested borrowing date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Credit Lender) prior to 2:00 p.m. on the date of the proposed Swingline Borrowing (A) directing the Swingline Lender not to make such Swingline Loan as a result of the limitations set forth in the first proviso to the first sentence of Section 2.04(a), or (B) that one or more of the applicable conditions specified in Article IV is not then satisfied, then, subject to the terms and conditions hereof, the Swingline Lender will, not later than 3:00 p.m. on the borrowing date specified in such Swingline Loan Notice, make the amount of its Swingline Loan available to the applicable Borrower at its office by crediting the account of the applicable Borrower on the books of the Swingline Lender in immediately available funds.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Refinancing of Swingline Loans</w:t>
      </w:r>
      <w:r>
        <w:rPr>
          <w:rFonts w:ascii="Times New Roman" w:hAnsi="Times New Roman"/>
          <w:color w:val="000000"/>
          <w:sz w:val="22"/>
        </w:rPr>
        <w:t>. (i) The Swingline Lender at any time in its sole discretion may request, on behalf of the applicable Borrower (which hereby irrevocably authorizes the Swingline Lender to so request on its behalf), that each Revolving Credit Lender make a Base Rate Loan in an amount equal to such Lender’s Applicable Revolving Credit Percentage of the amount of Swingline Loans then outstanding. Such request shall be made in writing (which written request shall be deemed to be a Committed Loan Notice for purposes hereof) and in accordance with the requirements of Section 2.02, without regard to the minimum and multiples specified therein for the principal amount of Base Rate Loans, but subject to the unutilized portion of the Revolving Credit Facility and the conditions set forth in Section 4.02. The Swingline Lender shall furnish the applicable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Swingline Loan) for the account of the Swingline Lender at the Administrative Agent’s Office for Dollar-denominated payments not later than 1:00 p.m. on the day specified in such Committed Loan Notice, whereupon, subject to Section 2.04(c)(ii), each Revolving Credit Lender that so makes funds available shall be deemed to have made a Base Rate Loan to the applicable Borrower in such amount. The Administrative Agent shall remit the funds so received to the Swingline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for any reason any Swingline Loan cannot be refinanced by such a Revolving Credit Borrowing in accordance with Section 2.04(c)(i), the request for Base Rate Loans submitted by the Swingline Lender as set forth herein shall be deemed to be a request by the Swingline Lender that each of the Revolving Credit Lenders fund its risk participation in the relevant Swingline Loan and each Revolving Credit Lender’s payment to the Administrative Agent for the account of the Swingline Lender pursuant to Section 2.04(c)(i) shall be deemed payment in respect of such participation.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any Revolving Credit Lender fails to make available to the Administrative Agent for the account of the Swingline Lender any amount required to be paid by such Lender pursuant to the foregoing provisions of this Section 2.04(c) by the time specified in Section 2.04(c)(i), the Swingline Lender shall be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plus any administrative, processing or similar fees customarily charged by the Swingline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Swingline Loan, as the case may be. A certificate of the Swingline Lender submitted to any Lender (through the Administrative Agent) with respect to any amounts owing under this clause (iii)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Each Revolving Credit Lender’s obligation to make Revolving Credit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applicable Borrower or any other Person for any reason whatsoever, (B) the occurrence or continuance of a Default, or (C) any other occurrence, event or condition, whether or not similar to any of the foregoing; </w:t>
      </w:r>
      <w:r>
        <w:rPr>
          <w:rFonts w:ascii="Times New Roman" w:hAnsi="Times New Roman"/>
          <w:i/>
          <w:color w:val="000000"/>
          <w:sz w:val="22"/>
        </w:rPr>
        <w:t xml:space="preserve">provided </w:t>
      </w:r>
      <w:r>
        <w:rPr>
          <w:rFonts w:ascii="Times New Roman" w:hAnsi="Times New Roman"/>
          <w:color w:val="000000"/>
          <w:sz w:val="22"/>
        </w:rPr>
        <w:t>that each Revolving Credit Lender’s obligation to make Revolving Credit Loans pursuant to this Section 2.04(c) is subject to the conditions set forth in Section 4.02. No such funding of risk participations shall relieve or otherwise impair the obligation of the applicable Borrower to repay Swingline Loans, together with interest as provided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Repayment of Participations</w:t>
      </w:r>
      <w:r>
        <w:rPr>
          <w:rFonts w:ascii="Times New Roman" w:hAnsi="Times New Roman"/>
          <w:color w:val="000000"/>
          <w:sz w:val="22"/>
        </w:rPr>
        <w:t>. (i) At any time after any Revolving Credit Lender has purchased and funded a risk participation in a Swingline Loan, if the Swingline Lender receives any payment on account of such Swingline Loan, the Swingline Lender will distribute to such Revolving Credit Lender its Applicable Revolving Credit Percentage thereof in the same funds as those received by the Swingline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payment received by the Swingline Lender in respect of principal or interest on any Swingline Loan is required to be returned by the Swingline Lender under any of the circumstances described in Section 11.05 (including pursuant to any settlement entered into by the Swingline Lender in its discretion), each Revolving Credit Lender shall pay to the Swingline Lender its Applicable Revolving Credit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Interest for Account of Swingline Lender</w:t>
      </w:r>
      <w:r>
        <w:rPr>
          <w:rFonts w:ascii="Times New Roman" w:hAnsi="Times New Roman"/>
          <w:color w:val="000000"/>
          <w:sz w:val="22"/>
        </w:rPr>
        <w:t>. The Swingline Lender shall be responsible for invoicing the applicable Borrower for interest on the Swingline Loans. Until each Revolving Credit Lender funds its Base Rate Loan or risk participation pursuant to this Section 2.04 to refinance such Revolving Credit Lender’s Applicable Revolving Credit Percentage of any Swingline Loan, interest in respect of such Applicable Revolving Credit Percentage shall be solely for the account of the Swingline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Payments Directly to Swingline Lender</w:t>
      </w:r>
      <w:r>
        <w:rPr>
          <w:rFonts w:ascii="Times New Roman" w:hAnsi="Times New Roman"/>
          <w:color w:val="000000"/>
          <w:sz w:val="22"/>
        </w:rPr>
        <w:t>. The applicable Borrower shall make all payments of principal and interest in respect of the Swingline Loans directly to the Swingline Lender.</w:t>
      </w:r>
    </w:p>
    <w:p>
      <w:pPr>
        <w:pStyle w:val="TextBody"/>
        <w:bidi w:val="0"/>
        <w:spacing w:before="240" w:after="283"/>
        <w:jc w:val="left"/>
        <w:rPr>
          <w:rFonts w:ascii="Times New Roman" w:hAnsi="Times New Roman"/>
          <w:sz w:val="20"/>
        </w:rPr>
      </w:pPr>
      <w:r>
        <w:rPr>
          <w:rFonts w:ascii="Times New Roman" w:hAnsi="Times New Roman"/>
          <w:i/>
          <w:color w:val="000000"/>
          <w:sz w:val="22"/>
        </w:rPr>
        <w:t>Section 2.05. Prepayments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Optional</w:t>
      </w:r>
      <w:r>
        <w:rPr>
          <w:rFonts w:ascii="Times New Roman" w:hAnsi="Times New Roman"/>
          <w:color w:val="000000"/>
          <w:sz w:val="22"/>
        </w:rPr>
        <w:t xml:space="preserve">. (i) Each Borrower may, upon notice to the Administrative Agent pursuant to delivery to the Administrative Agent of a Notice of Loan Prepayment, at any time or from time to time voluntarily prepay Incremental Term Loans and Revolving Credit Loans in whole or in part without premium or penalty; </w:t>
      </w:r>
      <w:r>
        <w:rPr>
          <w:rFonts w:ascii="Times New Roman" w:hAnsi="Times New Roman"/>
          <w:i/>
          <w:color w:val="000000"/>
          <w:sz w:val="22"/>
        </w:rPr>
        <w:t xml:space="preserve">provided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that, unless otherwise agreed by the Administrative Agent, (i) such notice must be received by the Administrative Agent not later than 11:00 a.m. (A) three Business Days prior to any date of prepayment of Term SOFR Loans denominated in Dollars, (B) on the date of prepayment of Base Rate Loans, and (C) four Business Days (or five, in the case of prepayment of Loans denominated in Special Notice Currencies) prior to any date of prepayment of Alternative Currency Loans; (ii) any prepayment of Term SOFR Loans and Alternative Currency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the Type(s) of Loans to be prepaid, the currency in which such Loan(s) to be prepaid is(are) denominated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a Borrower, the applicable Borrower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Section 3.05. Each prepayment of the outstanding Incremental Term Loans pursuant to this Section 2.05(a) shall be applied to the principal repayment installments thereof as directed by a Borrower in such notice, or if not so directed by the applicable Borrower, on a pro-rata basis. Subject to Section 2.16, each such prepayment shall be applied to the Loans of the Lenders in accordance with their respective Applicable Percentages in respect of each of the relevant Facilities.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The applicable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hAnsi="Times New Roman"/>
          <w:i/>
          <w:color w:val="000000"/>
          <w:sz w:val="22"/>
        </w:rPr>
        <w:t xml:space="preserve">provided </w:t>
      </w:r>
      <w:r>
        <w:rPr>
          <w:rFonts w:ascii="Times New Roman" w:hAnsi="Times New Roman"/>
          <w:color w:val="000000"/>
          <w:sz w:val="22"/>
        </w:rPr>
        <w:t>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the applicable Borrower shall make such prepayment and the payment amount specified in such notice shall be due and payable on the date specified therein. Any prepayment of principal shall be accompanied by all accrued interest on the amount prepaid, together with any additional amounts required pursuant to Section 3.05.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Mandatory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i/>
          <w:color w:val="000000"/>
          <w:sz w:val="22"/>
        </w:rPr>
        <w:t>Revolving Credit Outstandings</w:t>
      </w:r>
      <w:r>
        <w:rPr>
          <w:rFonts w:ascii="Times New Roman" w:hAnsi="Times New Roman"/>
          <w:color w:val="000000"/>
          <w:sz w:val="22"/>
        </w:rPr>
        <w:t>. If for any reason the Total Revolving Credit Outstandings at any time exceed the Revolving Credit Facility then in effect, the applicable Borrower shall immediately upon notice from the Administrative Agent prepay Revolving Credit Loans, Swingline Loans and L/C Borrowings and/or Cash Collateralize the L/C Obligations in an aggregate amount equal to such excess.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i/>
          <w:color w:val="000000"/>
          <w:sz w:val="22"/>
        </w:rPr>
        <w:t>Application of Other Payments</w:t>
      </w:r>
      <w:r>
        <w:rPr>
          <w:color w:val="000000"/>
        </w:rPr>
        <w:t xml:space="preserve"> </w:t>
      </w:r>
      <w:r>
        <w:rPr>
          <w:rFonts w:ascii="Times New Roman" w:hAnsi="Times New Roman"/>
          <w:color w:val="000000"/>
          <w:sz w:val="22"/>
        </w:rPr>
        <w:t>- Revolving Credit Facility. Except as otherwise provided in Section 2.16, prepayments of the Revolving Credit Facility made pursuant to this Section 2.05(b), first, shall be applied ratably to the L/C Borrowings and the Swingline Loans, second, shall be applied to the outstanding Revolving Credit Loans, and, third, shall be used to Cash Collateralize the remaining L/C Obligations. Upon the drawing of any Letter of Credit that has been Cash Collateralized, the funds held as Cash Collateral shall be applied (without any further action by or notice to or from a Borrower or any other Loan Party or any Defaulting Lender that has provided Cash Collateral) to reimburse the applicable L/C Issuers or the Revolving Credit Lenders,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i/>
          <w:color w:val="000000"/>
          <w:sz w:val="22"/>
        </w:rPr>
        <w:t>Alternative Currencies</w:t>
      </w:r>
      <w:r>
        <w:rPr>
          <w:rFonts w:ascii="Times New Roman" w:hAnsi="Times New Roman"/>
          <w:color w:val="000000"/>
          <w:sz w:val="22"/>
        </w:rPr>
        <w:t>. If the Administrative Agent notifies the Borrowers at any time that the Outstanding Amount of all Loans and L/C Obligations denominated in Alternative Currencies at such time exceeds an amount equal to 105% of the Alternative Currency Sublimit then in effect, then, within two Business Days after receipt of such notice, the Borrowers shall prepay Loans and/or Cash Collateralize the L/C Obligations in an aggregate amount sufficient to reduce such Outstanding Amount as of such date of payment to an amount not to exceed 100% of the Alternative Currency Sublimit then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the parameters of the applications set forth above, prepayments pursuant to this Section 2.05(b) shall be applied first to (i) Base Rate Loans and Alternative Currency Daily Rate Loans, and then (ii) Term SOFR Loans and Alternative Currency Term Rate Loans, in direct order of Interest Period maturities. All prepayments under this Section 2.05(b) shall be subject to Section 3.05, but otherwise without premium or penalty, and shall be accompanied by interest on the principal amount prepaid through the date of prepayment.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2.06. Termination or Reduction of Commitments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Optional. The Domestic Borrower may, upon notice to the Administrative Agent, terminate the Revolving Credit Facility, the Letter of Credit Sublimit, the Swingline Sublimit or the Alternative Currency Sublimit, or from time to time permanently reduce the Revolving Credit Facility, the Letter of Credit Sublimit, the Swingline Sublimit or the Alternative Currency Sublimit; provided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Domestic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(C) the Swingline Sublimit if, after giving effect thereto and to any concurrent prepayments hereunder, the Outstanding Amount of Swingline Loans would exceed the Swingline Sublimit or (D) the Alternative Currency Sublimit if, after giving effect thereto and to any concurrent prepayments hereunder, the Outstanding Amount of Revolving Credit Loans denominated in an Alternative Currency would exceed the Alternative Currency Sublimit.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Application of Commitment Reductions; Payment of Fees. The Administrative Agent will promptly notify the Lenders of any termination or reduction of the the Letter of Credit Sublimit, Swingline Sublimit, the Alternative Currency Sublimit or the Revolving Credit Facility under this Section 2.06. Upon any reduction of the Revolving Credit Facility,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2.07. Repayment of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Revolving Credit Loans</w:t>
      </w:r>
      <w:r>
        <w:rPr>
          <w:rFonts w:ascii="Times New Roman" w:hAnsi="Times New Roman"/>
          <w:color w:val="000000"/>
          <w:sz w:val="22"/>
        </w:rPr>
        <w:t>. Each Borrower shall repay to the Revolving Credit Lenders on the Maturity Date for the Revolving Credit Facility the aggregate principal amount of all Revolving Credit Loans outstanding on such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Swingline Loans</w:t>
      </w:r>
      <w:r>
        <w:rPr>
          <w:rFonts w:ascii="Times New Roman" w:hAnsi="Times New Roman"/>
          <w:color w:val="000000"/>
          <w:sz w:val="22"/>
        </w:rPr>
        <w:t>. Each Borrower shall repay each Swingline Loan on the earlier to occur of (i) the date ten (10) Business Days after such Loan is made and (ii) the Maturity Date for the Revolving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Incremental Term Loans</w:t>
      </w:r>
      <w:r>
        <w:rPr>
          <w:rFonts w:ascii="Times New Roman" w:hAnsi="Times New Roman"/>
          <w:color w:val="000000"/>
          <w:sz w:val="22"/>
        </w:rPr>
        <w:t>. Each Borrower shall repay to the Administrative Agent for the ratable account of the applicable Incremental Term Lenders the aggregate principal amount of each Incremental Term Loan outstanding on the dates in the respective amounts set forth in the applicable Incremental Term Assumption Agreement, with a final principal payment of all outstanding amounts on the applicable Maturity Date for such Incremental Term Loan.</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2.08. Interest</w:t>
      </w:r>
      <w:r>
        <w:rPr>
          <w:rFonts w:ascii="Times New Roman" w:hAnsi="Times New Roman"/>
          <w:color w:val="000000"/>
          <w:sz w:val="22"/>
        </w:rPr>
        <w:t xml:space="preserve">. (a) Subject to the provisions of subsection (b) below, (i) each Term SOFR Loan under a Facility shall bear interest on the outstanding principal amount thereof for each Interest Period at a rate per annum equal to Term SOFR for such Interest Period </w:t>
      </w:r>
      <w:r>
        <w:rPr>
          <w:rFonts w:ascii="Times New Roman" w:hAnsi="Times New Roman"/>
          <w:i/>
          <w:color w:val="000000"/>
          <w:sz w:val="22"/>
        </w:rPr>
        <w:t xml:space="preserve">plus </w:t>
      </w:r>
      <w:r>
        <w:rPr>
          <w:rFonts w:ascii="Times New Roman" w:hAnsi="Times New Roman"/>
          <w:color w:val="000000"/>
          <w:sz w:val="22"/>
        </w:rPr>
        <w:t xml:space="preserve">the Applicable Rate for such Facility; (ii) each Alternative Currency Loan under the Revolving Credit Facility shall bear interest on the outstanding principal amount thereof for each Interest Period at a rate per annum equal to the Alternative Currency Daily Rate or the Alternative Currency Term Rate, as applicable, for the relevant currency, plus, in each case, the Applicable Rate for such Type, (iii) each Base Rate Loan under a Facility shall bear interest on the outstanding principal amount thereof from the applicable borrowing date at a rate per annum equal to the Base Rate </w:t>
      </w:r>
      <w:r>
        <w:rPr>
          <w:rFonts w:ascii="Times New Roman" w:hAnsi="Times New Roman"/>
          <w:i/>
          <w:color w:val="000000"/>
          <w:sz w:val="22"/>
        </w:rPr>
        <w:t xml:space="preserve">plus </w:t>
      </w:r>
      <w:r>
        <w:rPr>
          <w:rFonts w:ascii="Times New Roman" w:hAnsi="Times New Roman"/>
          <w:color w:val="000000"/>
          <w:sz w:val="22"/>
        </w:rPr>
        <w:t xml:space="preserve">the Applicable Rate for such Facility; and (iv) each Swingline Loan shall bear interest on the outstanding principal amount thereof from the applicable borrowing date at a rate per annum equal to the Base Rate </w:t>
      </w:r>
      <w:r>
        <w:rPr>
          <w:rFonts w:ascii="Times New Roman" w:hAnsi="Times New Roman"/>
          <w:i/>
          <w:color w:val="000000"/>
          <w:sz w:val="22"/>
        </w:rPr>
        <w:t xml:space="preserve">plus </w:t>
      </w:r>
      <w:r>
        <w:rPr>
          <w:rFonts w:ascii="Times New Roman" w:hAnsi="Times New Roman"/>
          <w:color w:val="000000"/>
          <w:sz w:val="22"/>
        </w:rPr>
        <w:t>the Applicable Rate for the Revolving Credit Facility. To the extent that any calculation of interest or any fee required to be paid under this Agreement shall be based on (or result in) a calculation that is less than zero, such calculation shall be deemed zero for purposes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bear interest at a fluctuating interest rate per annum at all times equal to the Default Rate to the fullest extent permitted by applicable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request of the Required Lenders, while any Event of Default exists (including a payment default), all outstanding Obligations (including Letter of Credit Fees) may accrue at a fluctuating interest rate per annum at all times equal to the Default Rate to the fullest extent permitted by Applicable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Accrued and unpaid interest on past due amounts (including interest on past due interest) shall be due and payable upon demand.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240" w:after="283"/>
        <w:jc w:val="both"/>
        <w:rPr>
          <w:rFonts w:ascii="Times New Roman" w:hAnsi="Times New Roman"/>
          <w:sz w:val="20"/>
        </w:rPr>
      </w:pPr>
      <w:r>
        <w:rPr>
          <w:rFonts w:ascii="Times New Roman" w:hAnsi="Times New Roman"/>
          <w:i/>
          <w:color w:val="000000"/>
          <w:sz w:val="22"/>
        </w:rPr>
        <w:t>Section 2.09. Fees</w:t>
      </w:r>
      <w:r>
        <w:rPr>
          <w:rFonts w:ascii="Times New Roman" w:hAnsi="Times New Roman"/>
          <w:color w:val="000000"/>
          <w:sz w:val="22"/>
        </w:rPr>
        <w:t>. In addition to certain fees described in subsections (h) and (i) of Section 2.03: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Commitment Fee</w:t>
      </w:r>
      <w:r>
        <w:rPr>
          <w:rFonts w:ascii="Times New Roman" w:hAnsi="Times New Roman"/>
          <w:color w:val="000000"/>
          <w:sz w:val="22"/>
        </w:rPr>
        <w:t>. The Domestic Borrower shall pay to the Administrative Agent for the account of each Revolving Credit Lender in accordance with its Applicable Revolving Credit Percentage, a commitment fee in Dollars equal to the Applicable Rate times the actual daily amount by which the Revolving Credit Facility exceeds the sum of (i) the Outstanding Amount of Revolving Credit Loans and (ii) the Outstanding Amount of L/C Obligations subject to adjustment as provided in Section 2.16. For the avoidance of doubt, the Outstanding Amount of Swingline Loans shall not be counted toward or considered usage of the Revolving Credit Commitments for purposes of determining the commitment fee. The commitment fee shall accrue at all times during the Availability Period, including at any time during which one or more of the conditions in Article IV is not met, and shall be due and payable quarterly in arrears on the last Business Day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Other Fees</w:t>
      </w:r>
      <w:r>
        <w:rPr>
          <w:rFonts w:ascii="Times New Roman" w:hAnsi="Times New Roman"/>
          <w:color w:val="000000"/>
          <w:sz w:val="22"/>
        </w:rPr>
        <w:t>. (i) The Domestic Borrower shall pay to the Arrangers and the Administrative Agent for their own respective accounts fees in the amounts and at the times specified in the Fee Letters. Such fees shall be fully earned when paid and shall not be refundable for any reason whatsoever.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2.10. Computation of Interest and Fees; Retroactive Adjustments of Applicable Rate</w:t>
      </w:r>
      <w:r>
        <w:rPr>
          <w:rFonts w:ascii="Times New Roman" w:hAnsi="Times New Roman"/>
          <w:color w:val="000000"/>
          <w:sz w:val="22"/>
        </w:rPr>
        <w:t>. (a) All computations of interest for Base Rate Loans (including Base Rate Loans determined by reference to Term SOFR) and all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All other computations of fees and interest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i/>
          <w:color w:val="000000"/>
          <w:sz w:val="22"/>
        </w:rPr>
        <w:t xml:space="preserve">provided </w:t>
      </w:r>
      <w:r>
        <w:rPr>
          <w:rFonts w:ascii="Times New Roman" w:hAnsi="Times New Roman"/>
          <w:color w:val="000000"/>
          <w:sz w:val="22"/>
        </w:rPr>
        <w:t>that any Loan that is repaid on the same day on which it is made shall, subject to Section 2.12(a), bear interest for one day. Each determination by the Administrative Agent of an interest rate or fee hereunder shall be conclusive and binding for all purposes,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If, as a result of any restatement of or other adjustment to the financial statements of the Domestic Borrower or for any other reason, the Domestic Borrower or the Lenders determine that (i) the Consolidated </w:t>
      </w:r>
      <w:r>
        <w:rPr>
          <w:rFonts w:ascii="Times New Roman" w:hAnsi="Times New Roman"/>
          <w:color w:val="0000FF"/>
          <w:sz w:val="22"/>
          <w:u w:val="single"/>
        </w:rPr>
        <w:t xml:space="preserve">Secured Net </w:t>
      </w:r>
      <w:r>
        <w:rPr>
          <w:rFonts w:ascii="Times New Roman" w:hAnsi="Times New Roman"/>
          <w:color w:val="000000"/>
          <w:sz w:val="22"/>
        </w:rPr>
        <w:t>Leverage Ratio as calculated by the Domestic Borrower as of any applicable date was inaccurate and (ii) a proper calculation of the Consolidated</w:t>
      </w:r>
      <w:r>
        <w:rPr>
          <w:color w:val="0000FF"/>
          <w:u w:val="single"/>
        </w:rPr>
        <w:t xml:space="preserve"> </w:t>
      </w:r>
      <w:r>
        <w:rPr>
          <w:rFonts w:ascii="Times New Roman" w:hAnsi="Times New Roman"/>
          <w:color w:val="0000FF"/>
          <w:sz w:val="22"/>
          <w:u w:val="single"/>
        </w:rPr>
        <w:t>Secured Net</w:t>
      </w:r>
      <w:r>
        <w:rPr>
          <w:color w:val="0000FF"/>
        </w:rPr>
        <w:t xml:space="preserve"> </w:t>
      </w:r>
      <w:r>
        <w:rPr>
          <w:rFonts w:ascii="Times New Roman" w:hAnsi="Times New Roman"/>
          <w:color w:val="000000"/>
          <w:sz w:val="22"/>
        </w:rPr>
        <w:t>Leverage Ratio would have resulted in higher pricing for such period, each Borrower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Section 2.03(c)(iii), Section 2.03(h) or Section 2.08(b) or under Article VIII. Each Borrower’s obligations under this paragraph shall survive the termination of the Aggregate Commitments and the repayment of all other Obligations hereunder.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2.11. Evidence of Debt</w:t>
      </w:r>
      <w:r>
        <w:rPr>
          <w:rFonts w:ascii="Times New Roman" w:hAnsi="Times New Roman"/>
          <w:color w:val="000000"/>
          <w:sz w:val="22"/>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such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2.12. Payments Generally; Administrative Agent’s Clawback</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General</w:t>
      </w:r>
      <w:r>
        <w:rPr>
          <w:rFonts w:ascii="Times New Roman" w:hAnsi="Times New Roman"/>
          <w:color w:val="000000"/>
          <w:sz w:val="22"/>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Except as otherwise specifically provided for in this Agreement, 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 </w:t>
      </w:r>
      <w:r>
        <w:rPr>
          <w:rFonts w:ascii="Times New Roman" w:hAnsi="Times New Roman"/>
          <w:i/>
          <w:color w:val="000000"/>
          <w:sz w:val="22"/>
        </w:rPr>
        <w:t>Funding by Lenders; Presumption by Administrative Agent</w:t>
      </w:r>
      <w:r>
        <w:rPr>
          <w:rFonts w:ascii="Times New Roman" w:hAnsi="Times New Roman"/>
          <w:color w:val="000000"/>
          <w:sz w:val="22"/>
        </w:rPr>
        <w:t>. Unless the Administrative Agent shall have received notice from a Lender prior to the proposed date of any Borrowing of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Base Rate Loans, that such Lender has made such share available in accordance with and at the time required by Section 2.02)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a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i/>
          <w:color w:val="000000"/>
          <w:sz w:val="22"/>
        </w:rPr>
        <w:t>Payments by Borrowers; Presumptions by Administrative Agent</w:t>
      </w:r>
      <w:r>
        <w:rPr>
          <w:rFonts w:ascii="Times New Roman" w:hAnsi="Times New Roman"/>
          <w:color w:val="000000"/>
          <w:sz w:val="22"/>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Appropriate Lenders or the applicable L/C Issuer, as the case may be, the amount due. 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 w:hAnsi="Times New Roman"/>
          <w:i/>
          <w:color w:val="000000"/>
          <w:sz w:val="22"/>
          <w:u w:val="single"/>
        </w:rPr>
        <w:t>Rescindable Amount</w:t>
      </w:r>
      <w:r>
        <w:rPr>
          <w:color w:val="000000"/>
        </w:rPr>
        <w:t>”</w:t>
      </w:r>
      <w:r>
        <w:rPr>
          <w:rFonts w:ascii="Times New Roman" w:hAnsi="Times New Roman"/>
          <w:color w:val="000000"/>
          <w:sz w:val="22"/>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Appropriate Lenders or the applicable L/C Issuers,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Overnight Rate.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such event, if such Borrower has not in fact made such payment, then each of the Appropriate Lenders or the applicable L/C Issuer, as the case may be, severally agrees to repay to the Administrative Agent forthwith on demand the amount so distributed to such Lender or such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L/C Issuer, in Same Day Funds with interest thereon, for each day from and including the date such amount is distributed to it to but excluding the date of payment to the Administrative Agent, at the Overnight Rate.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notice of the Administrative Agent to any Lender or any Borrower with respect to any amount owing under this subsection (b) shall be conclusive, absent manifest error.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Failure to Satisfy Conditions Precedent</w:t>
      </w:r>
      <w:r>
        <w:rPr>
          <w:rFonts w:ascii="Times New Roman" w:hAnsi="Times New Roman"/>
          <w:color w:val="000000"/>
          <w:sz w:val="22"/>
        </w:rPr>
        <w:t>. If any Lender makes available to the Administrative Agent funds for any Loan to be made by such Lender as provided in the foregoing provisions of this Article II, and such funds are not made available to any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without interest.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Obligations of Lenders Several</w:t>
      </w:r>
      <w:r>
        <w:rPr>
          <w:rFonts w:ascii="Times New Roman" w:hAnsi="Times New Roman"/>
          <w:color w:val="000000"/>
          <w:sz w:val="22"/>
        </w:rPr>
        <w:t>. The obligations of the Lenders hereunder to make Loans, to fund participations in Letters of Credit and Swingline Loans and to make payments pursuant to Section 11.04(c) are several and not joint. The failure of any Lender to make any Loan, to fund any such participation or to make any payment under Section 11.04(c)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11.04(c).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Funding Source</w:t>
      </w:r>
      <w:r>
        <w:rPr>
          <w:rFonts w:ascii="Times New Roman" w:hAnsi="Times New Roman"/>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2.13. Sharing of Payments by Lenders</w:t>
      </w:r>
      <w:r>
        <w:rPr>
          <w:rFonts w:ascii="Times New Roman" w:hAnsi="Times New Roman"/>
          <w:color w:val="000000"/>
          <w:sz w:val="22"/>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Section 2.15, or (z)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Section shall apply).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2.14. [Reserved]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2.15. Cash Collateral</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Certain Credit Support Events</w:t>
      </w:r>
      <w:r>
        <w:rPr>
          <w:rFonts w:ascii="Times New Roman" w:hAnsi="Times New Roman"/>
          <w:color w:val="000000"/>
          <w:sz w:val="22"/>
        </w:rPr>
        <w:t>. If (i) any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Section 8.02(c), or (iv) there shall exist a Defaulting Lender, each Borrower shall immediately (in the case of clause (iii) above) or within one Business Day (in all other cases) following any request by the Administrative Agent or the applicable L/C Issuer, provide Cash Collateral in an amount not less than the applicable Minimum Collateral Amount attributable to Letters of Credit issued at the request of such Borrower (determined in the case of Cash Collateral provided pursuant to clause (iv) above, after giving effect to Section 2.16(a)(iv) and any Cash Collateral provided by the Defaulting Lender).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Grant of Security Interest</w:t>
      </w:r>
      <w:r>
        <w:rPr>
          <w:rFonts w:ascii="Times New Roman" w:hAnsi="Times New Roman"/>
          <w:color w:val="000000"/>
          <w:sz w:val="22"/>
        </w:rPr>
        <w:t>. Each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by it as collateral pursuant hereto, and in all proceeds of the foregoing, all as security for the obligations to which such Cash Collateral may be applied pursuant to Section 2.15(c).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each Borrower will, promptly upon demand by the Administrative Agent, pay or provide to the Administrative Agent additional Cash Collateral in an amount sufficient to eliminate such deficiency with respect to Letters of Credit issued for such Borrower’s account. All Cash Collateral (other than credit support not constituting funds subject to deposit) shall be maintained in one or more Controlled Accounts at Bank of America. The Borrowers shall pay on demand therefor from time to time all customary account opening, activity and other administrative fees and charges in connection with the maintenance and disbursement of Cash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Application</w:t>
      </w:r>
      <w:r>
        <w:rPr>
          <w:rFonts w:ascii="Times New Roman" w:hAnsi="Times New Roman"/>
          <w:color w:val="000000"/>
          <w:sz w:val="22"/>
        </w:rPr>
        <w:t>. Notwithstanding anything to the contrary contained in this Agreement, Cash Collateral provided under any of this Section 2.15 or Sections 2.03, 2.04, 2.05, 2.16 or 8.02 in respect of Letters of Credit shall be held and applied to the satisfaction of the specific L/C Obligations,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otherwise be provided for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Release</w:t>
      </w:r>
      <w:r>
        <w:rPr>
          <w:rFonts w:ascii="Times New Roman" w:hAnsi="Times New Roman"/>
          <w:color w:val="000000"/>
          <w:sz w:val="22"/>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Section 11.06(b)(vi))) or (ii) the determination by the Administrative Agent and the applicable L/C Issuer that there exists excess Cash Collateral; </w:t>
      </w:r>
      <w:r>
        <w:rPr>
          <w:rFonts w:ascii="Times New Roman" w:hAnsi="Times New Roman"/>
          <w:i/>
          <w:color w:val="000000"/>
          <w:sz w:val="22"/>
        </w:rPr>
        <w:t xml:space="preserve">provided, however, </w:t>
      </w:r>
      <w:r>
        <w:rPr>
          <w:rFonts w:ascii="Times New Roman" w:hAnsi="Times New Roman"/>
          <w:color w:val="000000"/>
          <w:sz w:val="22"/>
        </w:rPr>
        <w:t>(x)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2.16. Defaulting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Adjustments</w:t>
      </w:r>
      <w:r>
        <w:rPr>
          <w:rFonts w:ascii="Times New Roman" w:hAnsi="Times New Roman"/>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i/>
          <w:color w:val="000000"/>
          <w:sz w:val="22"/>
        </w:rPr>
        <w:t>Waivers and Amendments</w:t>
      </w:r>
      <w:r>
        <w:rPr>
          <w:rFonts w:ascii="Times New Roman" w:hAnsi="Times New Roman"/>
          <w:color w:val="000000"/>
          <w:sz w:val="22"/>
        </w:rPr>
        <w:t>. Such Defaulting Lender’s right to approve or disapprove any amendment, waiver or consent with respect to this Agreement shall be restricted as set forth in the definition of “Required Lenders” and Section 11.01.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i/>
          <w:color w:val="000000"/>
          <w:sz w:val="22"/>
        </w:rPr>
        <w:t>Defaulting Lender Waterfall</w:t>
      </w:r>
      <w:r>
        <w:rPr>
          <w:rFonts w:ascii="Times New Roman" w:hAnsi="Times New Roman"/>
          <w:color w:val="000000"/>
          <w:sz w:val="22"/>
        </w:rPr>
        <w:t xml:space="preserve">.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Section 11.08 shall be applied at such time or times as may be determined by the Administrative Agent as follows: first, to the payment of any amounts owing by such Defaulting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Lender to the Administrative Agent hereunder; second, to the payment on a pro rata basis of any amounts owing by such Defaulting Lender to any L/C Issuer or Swingline Lender hereunder; third, to Cash Collateralize the L/C Issuers’ Fronting Exposure with respect to such Defaulting Lender in accordance with Section 2.15; fourth, as the applicable Borrower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applicable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Section 2.15; sixth, to the payment of any amounts owing to the Lenders, the L/C Issuers or Swingline Lender as a result of any judgment of a court of competent jurisdiction obtained by any Lender, any L/C Issuer or the Swingline Lender against such Defaulting Lender as a result of such Defaulting Lender’s breach of its obligations under this Agreement; seventh, so long as no Default or Event of Default exists, to the payment of any amounts owing to the applicable Borrower as a result of any judgment of a court of competent jurisdiction obtained by such Borrower against such Defaulting Lender as a result of such Defaulting Lender’s breach of its obligations under this Agreement; and eighth, to such Defaulting Lender or as otherwise as may be required under the Loan Documents in connection with any Lien conferred thereunder or directed by a court of competent jurisdiction; </w:t>
      </w:r>
      <w:r>
        <w:rPr>
          <w:rFonts w:ascii="Times New Roman" w:hAnsi="Times New Roman"/>
          <w:i/>
          <w:color w:val="000000"/>
          <w:sz w:val="22"/>
        </w:rPr>
        <w:t xml:space="preserve">provided </w:t>
      </w:r>
      <w:r>
        <w:rPr>
          <w:rFonts w:ascii="Times New Roman" w:hAnsi="Times New Roman"/>
          <w:color w:val="000000"/>
          <w:sz w:val="22"/>
        </w:rPr>
        <w:t>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Section 2.16(a)(iv). Any payments, prepayments or other amounts paid or payable to a Defaulting Lender that are applied (or held) to pay amounts owed by a Defaulting Lender or to post Cash Collateral pursuant to this Section 2.16(a)(ii) shall be deemed paid to and redirected by such Defaulting Lender, and each Lender irrevocably consents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i/>
          <w:color w:val="000000"/>
          <w:sz w:val="22"/>
        </w:rPr>
        <w:t>Certain Fees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Defaulting Lender shall be entitled to receive any fee payable under Section 2.09(a) for any period during which that Lender is a Defaulting Lender (and the Borrowers shall not be required to pay any such fee that otherwise would have been required to have been paid to that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2.15.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any Letter of Credit Fee not required to be paid to any Defaulting Lender pursuant to clause (A) or (B)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and Swingline Lender, as applicable, the amount of any such fee otherwise payable to such Defaulting Lender to the extent allocable to such L/C Issuer’s or Swingline Lender’s Fronting Exposure to such Defaulting Lender, and (z) not be required to pay the remaining amount of any such fee.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i/>
          <w:color w:val="000000"/>
          <w:sz w:val="22"/>
        </w:rPr>
        <w:t>Reallocation of Applicable Percentages to Reduce Fronting Exposure</w:t>
      </w:r>
      <w:r>
        <w:rPr>
          <w:rFonts w:ascii="Times New Roman" w:hAnsi="Times New Roman"/>
          <w:color w:val="000000"/>
          <w:sz w:val="22"/>
        </w:rPr>
        <w:t>. All or any part of such Defaulting Lender’s participation in L/C Obligations and Swingline Loans shall be reallocated among the Non-Defaulting Lenders in accordance with their respective Applicable Revolving Credit Percentages (calculated without regard to such Defaulting Lender’s Commitment) but only to the extent that (x) the conditions set forth in Section 4.02 are satisfied at the time of such reallocation (and, unless the Domestic Borrower shall have otherwise notified the Administrative Agent at such time, the Domestic Borrower shall be deemed to have represented and warranted that such conditions are satisfied at such time), and (y) such reallocation does not cause the aggregate Revolving Credit Exposure of any Non-Defaulting Lender to exceed such Non-Defaulting Lender’s Commitment. Subject to Section 11.23,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i/>
          <w:color w:val="000000"/>
          <w:sz w:val="22"/>
        </w:rPr>
        <w:t>Cash Collateral, Repayment of Swingline Loans</w:t>
      </w:r>
      <w:r>
        <w:rPr>
          <w:rFonts w:ascii="Times New Roman" w:hAnsi="Times New Roman"/>
          <w:color w:val="000000"/>
          <w:sz w:val="22"/>
        </w:rPr>
        <w:t>. If the reallocation described in clause (a)(iv) above cannot, or can only partially, be effected, the Domestic Borrower shall, without prejudice to any right or remedy available to it hereunder or under applicable Law, (x) first, prepay Swingline Loans in an amount equal to the Swingline Lenders’ Fronting Exposure and (y) second, Cash Collateralize the L/C Issuers’ Fronting Exposure in accordance with the procedures set forth in Section 2.15.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Defaulting Lender Cure</w:t>
      </w:r>
      <w:r>
        <w:rPr>
          <w:rFonts w:ascii="Times New Roman" w:hAnsi="Times New Roman"/>
          <w:color w:val="000000"/>
          <w:sz w:val="22"/>
        </w:rPr>
        <w:t xml:space="preserve">. If the Domestic Borrower, the Administrative Agent, the Swingline Lender and each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Section 2.16(a)(iv)), whereupon such Lender will cease to be a Defaulting Lender; </w:t>
      </w:r>
      <w:r>
        <w:rPr>
          <w:rFonts w:ascii="Times New Roman" w:hAnsi="Times New Roman"/>
          <w:i/>
          <w:color w:val="000000"/>
          <w:sz w:val="22"/>
        </w:rPr>
        <w:t xml:space="preserve">provided </w:t>
      </w:r>
      <w:r>
        <w:rPr>
          <w:rFonts w:ascii="Times New Roman" w:hAnsi="Times New Roman"/>
          <w:color w:val="000000"/>
          <w:sz w:val="22"/>
        </w:rPr>
        <w:t xml:space="preserve">that no adjustments will be made retroactively with respect to fees accrued or payments made by or on behalf of the applicable Borrower while that Lender was a Defaulting Lender; and </w:t>
      </w:r>
      <w:r>
        <w:rPr>
          <w:rFonts w:ascii="Times New Roman" w:hAnsi="Times New Roman"/>
          <w:i/>
          <w:color w:val="000000"/>
          <w:sz w:val="22"/>
        </w:rPr>
        <w:t xml:space="preserve">provided, further, </w:t>
      </w:r>
      <w:r>
        <w:rPr>
          <w:rFonts w:ascii="Times New Roman" w:hAnsi="Times New Roman"/>
          <w:color w:val="000000"/>
          <w:sz w:val="22"/>
        </w:rPr>
        <w:t>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240" w:after="283"/>
        <w:jc w:val="left"/>
        <w:rPr>
          <w:rFonts w:ascii="Times New Roman" w:hAnsi="Times New Roman"/>
          <w:sz w:val="20"/>
        </w:rPr>
      </w:pPr>
      <w:r>
        <w:rPr>
          <w:rFonts w:ascii="Times New Roman" w:hAnsi="Times New Roman"/>
          <w:i/>
          <w:color w:val="000000"/>
          <w:sz w:val="22"/>
        </w:rPr>
        <w:t>Section 2.17. Increase in Revolving Credit Facility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Request for Increase</w:t>
      </w:r>
      <w:r>
        <w:rPr>
          <w:rFonts w:ascii="Times New Roman" w:hAnsi="Times New Roman"/>
          <w:color w:val="000000"/>
          <w:sz w:val="22"/>
        </w:rPr>
        <w:t xml:space="preserve">. Provided there exists no Default, upon notice to the Administrative Agent (which shall promptly notify the Revolving Credit Lenders and other Eligible Assignees selected by the Domestic Borrower with the approval of the Administrative Agent, each L/C Issuer and the Swingline Lender (which approvals shall not be unreasonably withheld) (any such Eligible Assignees, </w:t>
      </w:r>
      <w:r>
        <w:rPr>
          <w:color w:val="000000"/>
        </w:rPr>
        <w:t>“</w:t>
      </w:r>
      <w:r>
        <w:rPr>
          <w:rFonts w:ascii="Times New Roman" w:hAnsi="Times New Roman"/>
          <w:i/>
          <w:color w:val="000000"/>
          <w:sz w:val="22"/>
        </w:rPr>
        <w:t xml:space="preserve">Potential Revolving Credit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i/>
          <w:color w:val="000000"/>
          <w:sz w:val="22"/>
        </w:rPr>
        <w:t>Lenders”</w:t>
      </w:r>
      <w:r>
        <w:rPr>
          <w:rFonts w:ascii="Times New Roman" w:hAnsi="Times New Roman"/>
          <w:color w:val="000000"/>
          <w:sz w:val="22"/>
        </w:rPr>
        <w:t xml:space="preserve">)), the Borrowers may from time to time, request an increase in the Revolving Credit Facility (subject to item (iii) in the below proviso) by an aggregate amount of increases in the Revolving Credit Facility (for all such requests, but excluding all portions of such increase requests that are allocated as Incremental Term Loans pursuant to item (iii) of the proviso in this Section 2.17(a)) not greater than (x) $350,000,000 </w:t>
      </w:r>
      <w:r>
        <w:rPr>
          <w:rFonts w:ascii="Times New Roman" w:hAnsi="Times New Roman"/>
          <w:i/>
          <w:color w:val="000000"/>
          <w:sz w:val="22"/>
        </w:rPr>
        <w:t xml:space="preserve">less </w:t>
      </w:r>
      <w:r>
        <w:rPr>
          <w:rFonts w:ascii="Times New Roman" w:hAnsi="Times New Roman"/>
          <w:color w:val="000000"/>
          <w:sz w:val="22"/>
        </w:rPr>
        <w:t xml:space="preserve">(y) the amount of all Incremental Term Loans made pursuant to Section 2.18 (whether pursuant to a direct Borrower request under such Section or the operation of item (iii) in the following proviso); </w:t>
      </w:r>
      <w:r>
        <w:rPr>
          <w:rFonts w:ascii="Times New Roman" w:hAnsi="Times New Roman"/>
          <w:i/>
          <w:color w:val="000000"/>
          <w:sz w:val="22"/>
        </w:rPr>
        <w:t xml:space="preserve">provided </w:t>
      </w:r>
      <w:r>
        <w:rPr>
          <w:rFonts w:ascii="Times New Roman" w:hAnsi="Times New Roman"/>
          <w:color w:val="000000"/>
          <w:sz w:val="22"/>
        </w:rPr>
        <w:t>that (i) any such request for an increase shall be in a minimum amount of $25,000,000, (ii) the Borrowers may make a maximum of five such requests (inclusive of any direct requests made for Incremental Term Loans pursuant to Section 2.18) and (iii) no more than 50% of the aggregate amount requested pursuant to this Section 2.17 (A) by the applicable Borrower may be an increase to the Revolving Credit Facility and the remaining portion of such requested increase under this Section 2.17 shall be deemed a request for an Incremental Term Loan in such amount under, and in accordance with, the terms of Section 2.18. At the time of sending such notice, the applicable Borrower (in consultation with the Administrative Agent) shall specify the time period within which each Revolving Credit Lender or Potential Revolving Credit Lender is requested to respond (which shall in no event be less than ten Business Days from the date of delivery of such notice to the Revolving Credit Lenders and Potential Revolving Credit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Lender Elections to Increase</w:t>
      </w:r>
      <w:r>
        <w:rPr>
          <w:rFonts w:ascii="Times New Roman" w:hAnsi="Times New Roman"/>
          <w:color w:val="000000"/>
          <w:sz w:val="22"/>
        </w:rPr>
        <w:t>. Each Revolving Credit Lender or Potential Revolving Credit Lender shall notify the Administrative Agent within such time period whether or not it agrees to increase its Revolving Credit Commitment or provide a new Revolving Credit Commitment, as applicable, and, if so, the amount thereof. Any Revolving Credit Lender or Potential Revolving Credit Lender not responding within such time period shall be deemed to have declined to increase its Revolving Credit Commitment or to provide a new Revolving Credit Commitment, as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Notification by Administrative Agent; Additional Revolving Credit Lenders</w:t>
      </w:r>
      <w:r>
        <w:rPr>
          <w:rFonts w:ascii="Times New Roman" w:hAnsi="Times New Roman"/>
          <w:color w:val="000000"/>
          <w:sz w:val="22"/>
        </w:rPr>
        <w:t xml:space="preserve">. The Administrative Agent shall notify the applicable Borrower and each Revolving Credit Lender of the Revolving Credit Lenders’ and Potential Revolving Credit Lenders’ responses to each request made hereunder. Each Potential Revolving Credit Lender that elects to participate in such requested increase (a </w:t>
      </w:r>
      <w:r>
        <w:rPr>
          <w:color w:val="000000"/>
        </w:rPr>
        <w:t>“</w:t>
      </w:r>
      <w:r>
        <w:rPr>
          <w:rFonts w:ascii="Times New Roman" w:hAnsi="Times New Roman"/>
          <w:i/>
          <w:color w:val="000000"/>
          <w:sz w:val="22"/>
        </w:rPr>
        <w:t>New Revolving Credit Lender”</w:t>
      </w:r>
      <w:r>
        <w:rPr>
          <w:rFonts w:ascii="Times New Roman" w:hAnsi="Times New Roman"/>
          <w:color w:val="000000"/>
          <w:sz w:val="22"/>
        </w:rPr>
        <w:t>) shall become a Revolving Credit Lender hereunder pursuant to a joinder agreement in form and substance satisfactory to the Administrative Agent and its counsel.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Effective Date and Allocations</w:t>
      </w:r>
      <w:r>
        <w:rPr>
          <w:rFonts w:ascii="Times New Roman" w:hAnsi="Times New Roman"/>
          <w:color w:val="000000"/>
          <w:sz w:val="22"/>
        </w:rPr>
        <w:t xml:space="preserve">. If the Revolving Credit Facility is increased in accordance with this Section, the Administrative Agent and the applicable Borrower shall determine the effective date (the </w:t>
      </w:r>
      <w:r>
        <w:rPr>
          <w:color w:val="000000"/>
        </w:rPr>
        <w:t>“</w:t>
      </w:r>
      <w:r>
        <w:rPr>
          <w:rFonts w:ascii="Times New Roman" w:hAnsi="Times New Roman"/>
          <w:i/>
          <w:color w:val="000000"/>
          <w:sz w:val="22"/>
        </w:rPr>
        <w:t>Revolving Credit Increase Effective Date”</w:t>
      </w:r>
      <w:r>
        <w:rPr>
          <w:rFonts w:ascii="Times New Roman" w:hAnsi="Times New Roman"/>
          <w:color w:val="000000"/>
          <w:sz w:val="22"/>
        </w:rPr>
        <w:t>) and the final allocation of such increase. The Administrative Agent shall promptly notify the applicable Borrower and the Revolving Credit Lenders and New Revolving Credit Lenders of the final allocation of such increase and the Revolving Credit Increase Effective Date. Upon the effectiveness of any such increase, this Agreement shall be amended to the extent (but only to the extent) necessary to reflect the existence and terms of the increased Revolving Credit Facility. Any such amendment may be memorialized in writing by the Administrative Agent with the Borrowers’ consent and furnished to the other parties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Conditions to Effectiveness of Increase</w:t>
      </w:r>
      <w:r>
        <w:rPr>
          <w:rFonts w:ascii="Times New Roman" w:hAnsi="Times New Roman"/>
          <w:color w:val="000000"/>
          <w:sz w:val="22"/>
        </w:rPr>
        <w:t xml:space="preserve">. As a condition precedent to such increase, the Domestic Borrower shall deliver to the Administrative Agent a certificate of each Loan Party dated as of the Revolving Credit Increase Effective Date (in sufficient copies for each Lender) signed by a Responsible Officer of such Loan Party (x) certifying and attaching the resolutions adopted by such Loan Party approving or consenting to such increase, and (y) certifying that, before and after giving effect to such increase, (A) no Default or Event of Default exists, (B) the representations and warranties contained in Article V and the other Loan Documents are true and correct in all material respects (or, with respect to representations and warranties modified by materiality standards, in all respects) on and as of the Revolving Credit Increase Effective Date, except to the extent that such representations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and warranties specifically refer to an earlier date, in which case they are true and correct as of such earlier date, and except that for purposes of this Section 2.17, the representations and warranties contained in subsections (a) and (b) of Section 5.05 shall be deemed to refer to the most recent statements furnished pursuant to subsections (a) and (b), respectively, of Section 6.01, (C) on a </w:t>
      </w:r>
      <w:r>
        <w:rPr>
          <w:rFonts w:ascii="Times New Roman" w:hAnsi="Times New Roman"/>
          <w:i/>
          <w:color w:val="000000"/>
          <w:sz w:val="22"/>
        </w:rPr>
        <w:t xml:space="preserve">pro forma </w:t>
      </w:r>
      <w:r>
        <w:rPr>
          <w:rFonts w:ascii="Times New Roman" w:hAnsi="Times New Roman"/>
          <w:color w:val="000000"/>
          <w:sz w:val="22"/>
        </w:rPr>
        <w:t>basis after giving effect to the incurrence of any Revolving Credit Loans made on the Revolving Credit Increase Effective Date or the incurrence of any Incremental Term Loans made on the Incremental Term Loan Date, the Borrowers and their respective Subsidiaries shall be in pro forma compliance with all of the covenants set forth in Section 7.11, such compliance to be determined on the basis of the financial information most recently delivered to the Administrative Agent and the Lenders pursuant to Section 6.01(a) or (b), (D) no less than 50% of the aggregate amount of the increase requested pursuant to Section 2.17(a) shall have been fully subscribed for as an Incremental Term Loan by existing or new Incremental Term Lenders, and (E) the other conditions set forth in this Section 2.17 have been satisfied. The Administrative Agent shall have received legal opinions relating to such increase and other closing certificates and documentation as may be reasonably requested and consistent with those delivered on the Closing Date under Section 4.01. The Borrowers shall prepay any Revolving Credit Loans outstanding on the Revolving Credit Increase Effective Date (and pay any additional amounts required pursuant to Section 3.05) to the extent necessary to keep the outstanding Revolving Credit Loans ratable with any revised Applicable Revolving Credit Percentages arising from any nonratable increase in the Revolving Credit Commitments under this Section.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Conflicting Provisions</w:t>
      </w:r>
      <w:r>
        <w:rPr>
          <w:rFonts w:ascii="Times New Roman" w:hAnsi="Times New Roman"/>
          <w:color w:val="000000"/>
          <w:sz w:val="22"/>
        </w:rPr>
        <w:t>. This Section shall supersede any provisions in Section 2.13 or 11.01 to the contrary.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i/>
          <w:color w:val="000000"/>
          <w:sz w:val="22"/>
        </w:rPr>
        <w:t>Pari Passu</w:t>
      </w:r>
      <w:r>
        <w:rPr>
          <w:rFonts w:ascii="Times New Roman" w:hAnsi="Times New Roman"/>
          <w:color w:val="000000"/>
          <w:sz w:val="22"/>
        </w:rPr>
        <w:t>. All increases to the Revolving Credit Commitment shall be guaranteed and secured on a pari passu basis with the existing Revolving Credit Facility and any existing Incremental Term Facility.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2.18. Incremental Term Loans</w:t>
      </w:r>
      <w:r>
        <w:rPr>
          <w:rFonts w:ascii="Times New Roman" w:hAnsi="Times New Roman"/>
          <w:color w:val="000000"/>
          <w:sz w:val="22"/>
        </w:rPr>
        <w:t xml:space="preserve">. (a) Provided there exists no Default or Event of Default, upon notice to the Administrative Agent (which shall promptly notify the Lenders and other Eligible Assignees selected by the Domestic Borrower with the approval of the Administrative Agent (which approval shall not be unreasonably withheld) (any such Eligible Assignees, </w:t>
      </w:r>
      <w:r>
        <w:rPr>
          <w:rFonts w:ascii="Times New Roman" w:hAnsi="Times New Roman"/>
          <w:color w:val="000000"/>
          <w:sz w:val="20"/>
        </w:rPr>
        <w:t>“</w:t>
      </w:r>
      <w:r>
        <w:rPr>
          <w:rFonts w:ascii="Times New Roman" w:hAnsi="Times New Roman"/>
          <w:i/>
          <w:color w:val="000000"/>
          <w:sz w:val="22"/>
        </w:rPr>
        <w:t>Potential Incremental Term Lenders”</w:t>
      </w:r>
      <w:r>
        <w:rPr>
          <w:rFonts w:ascii="Times New Roman" w:hAnsi="Times New Roman"/>
          <w:color w:val="000000"/>
          <w:sz w:val="22"/>
        </w:rPr>
        <w:t xml:space="preserve">)), the Borrowers may from time to time, request Incremental Term Commitments in Dollars in an aggregate amount (for all such requests including all portions of such increase requests that are allocated as Incremental Term Loans pursuant to item (iii) of the proviso in Section 2.17(a)) not greater than (x) $350,000,000 </w:t>
      </w:r>
      <w:r>
        <w:rPr>
          <w:rFonts w:ascii="Times New Roman" w:hAnsi="Times New Roman"/>
          <w:i/>
          <w:color w:val="000000"/>
          <w:sz w:val="22"/>
        </w:rPr>
        <w:t xml:space="preserve">less </w:t>
      </w:r>
      <w:r>
        <w:rPr>
          <w:rFonts w:ascii="Times New Roman" w:hAnsi="Times New Roman"/>
          <w:color w:val="000000"/>
          <w:sz w:val="22"/>
        </w:rPr>
        <w:t xml:space="preserve">(y) the aggregate amount of increases in the Revolving Credit Facility made pursuant to Section 2.17; </w:t>
      </w:r>
      <w:r>
        <w:rPr>
          <w:rFonts w:ascii="Times New Roman" w:hAnsi="Times New Roman"/>
          <w:i/>
          <w:color w:val="000000"/>
          <w:sz w:val="22"/>
        </w:rPr>
        <w:t xml:space="preserve">provided </w:t>
      </w:r>
      <w:r>
        <w:rPr>
          <w:rFonts w:ascii="Times New Roman" w:hAnsi="Times New Roman"/>
          <w:color w:val="000000"/>
          <w:sz w:val="22"/>
        </w:rPr>
        <w:t>that (A) any such request for Incremental Term Commitments shall be in a minimum amount of $25,000,000 and (B) the Borrowers may make a maximum of five such direct requests (inclusive of any requests made pursuant to Section 2.17). At the time of sending such notice, the applicable Borrower (in consultation with the Administrative Agent) shall specify (x) the time period within which each Lender or Potential Incremental Term Lender is requested to respond (which shall in no event be less than fifteen Business Days from the date of delivery of such notice to the Lenders and Potential Incremental Term Lenders), (y) the pricing and the amortization terms with respect to such Incremental Term Commitments and (z) the applicable Incremental Term Loan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Lender Elections; Additional Lenders</w:t>
      </w:r>
      <w:r>
        <w:rPr>
          <w:rFonts w:ascii="Times New Roman" w:hAnsi="Times New Roman"/>
          <w:color w:val="000000"/>
          <w:sz w:val="22"/>
        </w:rPr>
        <w:t xml:space="preserve">. Each Lender and Potential Incremental Term Lender shall notify the Administrative Agent within such time period of its Incremental Term Commitment, if any. Any Lender or Potential Incremental Term Lender not responding within such time period shall be deemed to have declined to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provide an Incremental Term Commitment. The Administrative Agent shall notify the applicable Borrower of the Lenders’ and Potential Incremental Term Lenders’ responses to each request made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Incremental Term Assumption Agreement</w:t>
      </w:r>
      <w:r>
        <w:rPr>
          <w:rFonts w:ascii="Times New Roman" w:hAnsi="Times New Roman"/>
          <w:color w:val="000000"/>
          <w:sz w:val="22"/>
        </w:rPr>
        <w:t xml:space="preserve">. The Borrowers and each Incremental Term Lender shall execute and deliver to the Administrative Agent an Incremental Term Assumption Agreement and such other documentation as the Administrative Agent shall reasonably specify to evidence the Incremental Term Commitment of such Incremental Term Lender. Each Incremental Term Assumption Agreement shall specify the terms of the Incremental Term Loans to be made thereunder; </w:t>
      </w:r>
      <w:r>
        <w:rPr>
          <w:rFonts w:ascii="Times New Roman" w:hAnsi="Times New Roman"/>
          <w:i/>
          <w:color w:val="000000"/>
          <w:sz w:val="22"/>
        </w:rPr>
        <w:t xml:space="preserve">provided </w:t>
      </w:r>
      <w:r>
        <w:rPr>
          <w:rFonts w:ascii="Times New Roman" w:hAnsi="Times New Roman"/>
          <w:color w:val="000000"/>
          <w:sz w:val="22"/>
        </w:rPr>
        <w:t>that the final maturity date of any Incremental Term Loans shall be no earlier than the later of the Maturity Date in respect of the Revolving Credit Facility and the latest maturity date for any Incremental Term Loans then outstanding. The Administrative Agent shall promptly notify each Lender and each Potential Incremental Term Lender that has elected to provide an Incremental Term Commitment as to the effectiveness of each Incremental Term Assumption Agreement. Upon the effectiveness of any Incremental Term Assumption Agreement, this Agreement shall be amended to the extent (but only to the extent) necessary to reflect the existence and terms of the Incremental Term Commitments evidenced thereby. Any such amendment may be memorialized in writing by the Administrative Agent with the Borrowers’ consent and furnished to the other parties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Conditions to Effectiveness of Incremental Term Loan</w:t>
      </w:r>
      <w:r>
        <w:rPr>
          <w:rFonts w:ascii="Times New Roman" w:hAnsi="Times New Roman"/>
          <w:color w:val="000000"/>
          <w:sz w:val="22"/>
        </w:rPr>
        <w:t xml:space="preserve">. As a condition precedent to any Incremental Term Commitment becoming effective under this Section 2.18, the Domestic Borrower shall deliver to the Administrative Agent a certificate of each Loan Party dated as of the Incremental Term Loan Date (in sufficient copies for each Lender requesting the same) signed by a Responsible Officer of such Loan Party (x) certifying and attaching the resolutions adopted by such Loan Party approving or consenting to such Incremental Term Loan, and (y) certifying that, before and after giving effect to such increase, (A) no Default or Event of Default Exists, (B) the representations and warranties contained in Article V and the other Loan Documents are true and correct in all material respects (or, with respect to representations and warranties modified by materiality standards, in all respects) on and as of the Incremental Term Loan Date, except to the extent that such representations and warranties specifically refer to an earlier date, in which case they are true and correct as of such earlier date, and except that for purposes of this Section 2.18, the representations and warranties contained in subsections (a) and (b) of Section 5.05 shall be deemed to refer to the most recent statements furnished pursuant to subsections (a) and (b), respectively, of Section 6.01, (C) on a </w:t>
      </w:r>
      <w:r>
        <w:rPr>
          <w:rFonts w:ascii="Times New Roman" w:hAnsi="Times New Roman"/>
          <w:i/>
          <w:color w:val="000000"/>
          <w:sz w:val="22"/>
        </w:rPr>
        <w:t xml:space="preserve">pro forma </w:t>
      </w:r>
      <w:r>
        <w:rPr>
          <w:rFonts w:ascii="Times New Roman" w:hAnsi="Times New Roman"/>
          <w:color w:val="000000"/>
          <w:sz w:val="22"/>
        </w:rPr>
        <w:t>basis after giving effect to the incurrence of any Incremental Term Loans made on the Incremental Term Loan Date or the incurrence of any Revolving Credit Loans made on the Revolving Credit Increase Effective Date, the Borrowers and their respective Subsidiaries shall be in pro forma compliance with all of the covenants set forth in Section 7.11, such compliance to be determined on the basis of the financial information most recently delivered to the Administrative Agent and the Lenders pursuant to Section 6.01(a) or (b) and (D) the other conditions set forth in this Section 2.18 have been satisfied. The Administrative Agent shall have received legal opinions relating to such Incremental Term Loans and other closing certificates and documentation as required by the relevant Incremental Assumption Agreement and consistent with those delivered on the Closing Date under Section 4.01.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pPr>
      <w:r>
        <w:rPr>
          <w:rFonts w:ascii="Times New Roman" w:hAnsi="Times New Roman"/>
          <w:i/>
          <w:color w:val="000000"/>
          <w:sz w:val="22"/>
        </w:rPr>
        <w:t>Conflicting Provisions</w:t>
      </w:r>
      <w:r>
        <w:rPr>
          <w:rFonts w:ascii="Times New Roman" w:hAnsi="Times New Roman"/>
          <w:color w:val="000000"/>
          <w:sz w:val="22"/>
        </w:rPr>
        <w:t>. This Section shall supersede any provisions in Section 2.13 or 11.01 to the contrary.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pPr>
      <w:r>
        <w:rPr>
          <w:rFonts w:ascii="Times New Roman" w:hAnsi="Times New Roman"/>
          <w:i/>
          <w:color w:val="000000"/>
          <w:sz w:val="22"/>
        </w:rPr>
        <w:t>Pari Passu</w:t>
      </w:r>
      <w:r>
        <w:rPr>
          <w:rFonts w:ascii="Times New Roman" w:hAnsi="Times New Roman"/>
          <w:color w:val="000000"/>
          <w:sz w:val="22"/>
        </w:rPr>
        <w:t>. All Incremental Term Loans shall be guaranteed and secured on a pari passu basis with the existing Revolving Credit Facility, and any existing Incremental Term Facility.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2.19. Designated Lenders</w:t>
      </w:r>
      <w:r>
        <w:rPr>
          <w:rFonts w:ascii="Times New Roman" w:hAnsi="Times New Roman"/>
          <w:color w:val="000000"/>
          <w:sz w:val="22"/>
        </w:rPr>
        <w:t xml:space="preserve">. Each of the Administrative Agent, each L/C Issuer, the Swingline Lender and each Lender at its option may make any Credit Extension or otherwise perform its obligations hereunder through any Lending Office (each, a </w:t>
      </w:r>
      <w:r>
        <w:rPr>
          <w:rFonts w:ascii="Times New Roman" w:hAnsi="Times New Roman"/>
          <w:color w:val="000000"/>
          <w:sz w:val="20"/>
        </w:rPr>
        <w:t>“</w:t>
      </w:r>
      <w:r>
        <w:rPr>
          <w:rFonts w:ascii="Times New Roman" w:hAnsi="Times New Roman"/>
          <w:i/>
          <w:color w:val="000000"/>
          <w:sz w:val="22"/>
        </w:rPr>
        <w:t>Designated Lender”</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any exercise of such option shall not affect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obligation of such Borrower to repay any Credit Extension in accordance with the terms of this Agreement. Any Designated Lender shall be considered a Lender; </w:t>
      </w:r>
      <w:r>
        <w:rPr>
          <w:rFonts w:ascii="Times New Roman" w:hAnsi="Times New Roman"/>
          <w:i/>
          <w:color w:val="000000"/>
          <w:sz w:val="22"/>
        </w:rPr>
        <w:t xml:space="preserve">provided </w:t>
      </w:r>
      <w:r>
        <w:rPr>
          <w:rFonts w:ascii="Times New Roman" w:hAnsi="Times New Roman"/>
          <w:color w:val="000000"/>
          <w:sz w:val="22"/>
        </w:rPr>
        <w:t xml:space="preserve">that in the case of an Affiliate or branch of a Lender, such provisions that would be applicable with respect to Credit Extensions actually provided by such Affiliate or branch of such Lender shall apply to such Affiliate or branch of such Lender to the same extent as such Lender; </w:t>
      </w:r>
      <w:r>
        <w:rPr>
          <w:rFonts w:ascii="Times New Roman" w:hAnsi="Times New Roman"/>
          <w:i/>
          <w:color w:val="000000"/>
          <w:sz w:val="22"/>
        </w:rPr>
        <w:t xml:space="preserve">provided </w:t>
      </w:r>
      <w:r>
        <w:rPr>
          <w:rFonts w:ascii="Times New Roman" w:hAnsi="Times New Roman"/>
          <w:color w:val="000000"/>
          <w:sz w:val="22"/>
        </w:rPr>
        <w:t>that for the purposes only of voting in connection with any Loan Document, any participation by any Designated Lender in any outstanding Credit Extension shall be deemed a participation of such Lender.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2.20. Sustainability Adjustments; Successor Sustainability Structuring Agent</w:t>
      </w:r>
      <w:r>
        <w:rPr>
          <w:rFonts w:ascii="Times New Roman" w:hAnsi="Times New Roman"/>
          <w:color w:val="000000"/>
          <w:sz w:val="22"/>
        </w:rPr>
        <w:t>. (a) After the Closing Date, the Domestic Borrower may appoint a sustainability structuring agent (in such capacity, the “</w:t>
      </w:r>
      <w:r>
        <w:rPr>
          <w:rFonts w:ascii="Times New Roman" w:hAnsi="Times New Roman"/>
          <w:i/>
          <w:color w:val="000000"/>
          <w:sz w:val="22"/>
        </w:rPr>
        <w:t>Sustainability Structuring Agent”</w:t>
      </w:r>
      <w:r>
        <w:rPr>
          <w:rFonts w:ascii="Times New Roman" w:hAnsi="Times New Roman"/>
          <w:color w:val="000000"/>
          <w:sz w:val="22"/>
        </w:rPr>
        <w:t>) and, in consultation with the Sustainability Structuring Agent and the Administrative Agent, may establish specified Key Performance Indicators (</w:t>
      </w:r>
      <w:r>
        <w:rPr>
          <w:rFonts w:ascii="Times New Roman" w:hAnsi="Times New Roman"/>
          <w:color w:val="000000"/>
          <w:sz w:val="20"/>
        </w:rPr>
        <w:t>“</w:t>
      </w:r>
      <w:r>
        <w:rPr>
          <w:rFonts w:ascii="Times New Roman" w:hAnsi="Times New Roman"/>
          <w:i/>
          <w:color w:val="000000"/>
          <w:sz w:val="22"/>
        </w:rPr>
        <w:t>KPIs”</w:t>
      </w:r>
      <w:r>
        <w:rPr>
          <w:rFonts w:ascii="Times New Roman" w:hAnsi="Times New Roman"/>
          <w:color w:val="000000"/>
          <w:sz w:val="22"/>
        </w:rPr>
        <w:t>) with respect to certain Environmental, Social and Governance (</w:t>
      </w:r>
      <w:r>
        <w:rPr>
          <w:rFonts w:ascii="Times New Roman" w:hAnsi="Times New Roman"/>
          <w:color w:val="000000"/>
          <w:sz w:val="20"/>
        </w:rPr>
        <w:t>“</w:t>
      </w:r>
      <w:r>
        <w:rPr>
          <w:rFonts w:ascii="Times New Roman" w:hAnsi="Times New Roman"/>
          <w:i/>
          <w:color w:val="000000"/>
          <w:sz w:val="22"/>
        </w:rPr>
        <w:t>ESG”</w:t>
      </w:r>
      <w:r>
        <w:rPr>
          <w:rFonts w:ascii="Times New Roman" w:hAnsi="Times New Roman"/>
          <w:color w:val="000000"/>
          <w:sz w:val="22"/>
        </w:rPr>
        <w:t xml:space="preserve">) targets of the Borrowers and their respective Subsidiaries. The Loan Parties, the Administrative Agent and the Required Lenders may amend this Agreement (such amendment, the </w:t>
      </w:r>
      <w:r>
        <w:rPr>
          <w:rFonts w:ascii="Times New Roman" w:hAnsi="Times New Roman"/>
          <w:color w:val="000000"/>
          <w:sz w:val="20"/>
        </w:rPr>
        <w:t>“</w:t>
      </w:r>
      <w:r>
        <w:rPr>
          <w:rFonts w:ascii="Times New Roman" w:hAnsi="Times New Roman"/>
          <w:i/>
          <w:color w:val="000000"/>
          <w:sz w:val="22"/>
        </w:rPr>
        <w:t>ESG Amendment”</w:t>
      </w:r>
      <w:r>
        <w:rPr>
          <w:rFonts w:ascii="Times New Roman" w:hAnsi="Times New Roman"/>
          <w:color w:val="000000"/>
          <w:sz w:val="22"/>
        </w:rPr>
        <w:t xml:space="preserve">) solely for the purpose of incorporating the KPIs and other related provisions (including the ESG Pricing Provisions as defined below) into this Agreement. Any such ESG Amendment shall become effective upon (i) receipt by the Lenders of a lender presentation in regard to the KPIs from the Borrowers no later than ten (10) Business Days before the proposed effective date of such proposed ESG Amendment, (ii) the posting of such proposed ESG Amendment to all Lenders and the Borrowers, (iii) the identification, and engagement at the Borrowers’ cost and expense, of a sustainability metric auditor, which shall be a qualified external reviewer of nationally recognized standing, independent of the Borrowers and their Affiliates and (iv) the receipt by the Administrative Agent of executed signature pages and consents to such ESG Amendment from the Loan Parties, the Administrative Agent and Lenders comprising the Required Lenders. Upon effectiveness of any such ESG Amendment, based on the Borrowers’ performance against the KPIs, certain adjustments to the Applicable Rate for Revolving Credit Loans, Incremental Term Loans and Letters of Credit and the Commitment Fee Rate may be made; </w:t>
      </w:r>
      <w:r>
        <w:rPr>
          <w:rFonts w:ascii="Times New Roman" w:hAnsi="Times New Roman"/>
          <w:i/>
          <w:color w:val="000000"/>
          <w:sz w:val="22"/>
        </w:rPr>
        <w:t xml:space="preserve">provided </w:t>
      </w:r>
      <w:r>
        <w:rPr>
          <w:rFonts w:ascii="Times New Roman" w:hAnsi="Times New Roman"/>
          <w:color w:val="000000"/>
          <w:sz w:val="22"/>
        </w:rPr>
        <w:t xml:space="preserve">that the amount of any such adjustments made pursuant to an ESG Amendment shall not result in an increase or decrease of more than (a) 1.00 basis point in the Commitment Fee Rate and/or (b) 5.00 basis points in the Applicable Rate for Revolving Credit Loans, Incremental Term Loans or Letters of Credit, and such adjustments shall not be cumulative year-over-year (such adjustments, the </w:t>
      </w:r>
      <w:r>
        <w:rPr>
          <w:rFonts w:ascii="Times New Roman" w:hAnsi="Times New Roman"/>
          <w:color w:val="000000"/>
          <w:sz w:val="20"/>
        </w:rPr>
        <w:t>“</w:t>
      </w:r>
      <w:r>
        <w:rPr>
          <w:rFonts w:ascii="Times New Roman" w:hAnsi="Times New Roman"/>
          <w:i/>
          <w:color w:val="000000"/>
          <w:sz w:val="22"/>
        </w:rPr>
        <w:t>ESG Pricing Provisions”</w:t>
      </w:r>
      <w:r>
        <w:rPr>
          <w:rFonts w:ascii="Times New Roman" w:hAnsi="Times New Roman"/>
          <w:color w:val="000000"/>
          <w:sz w:val="22"/>
        </w:rPr>
        <w:t>). The pricing adjustments in the ESG Amendment will require, among other things, reporting and validation of the measurement of the KPIs in a manner that is aligned with the Sustainability Linked Loan Principles (as published from time to time by the Loan Market Association, Asia Pacific Loan Market Association and Loan Syndications &amp; Trading Association). Following the effectiveness of the ESG Amendment, any modification to the ESG Pricing Provisions which does not have the effect of reducing the Applicable Rate for Revolving Credit Loans, Incremental Term Loans or Letters of Credit or the Commitment Fee Rate to a level not otherwise permitted by this paragraph shall be subject only to the consent of the Domestic Borrower and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Sustainability Structuring Agent will assist the Domestic Borrower in preparing informational materials focused on ESG to be used in connection with the ESG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Section 2.20 shall supersede any provisions in Section 11.01 to the contrary.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Sustainability Structuring Agent shall have the benefit of the provisions in Section 9.01, 9.02, 9.03, 9.04, 9.05, 9.07, 9.08, 11.02 and 11.17 in each case to the same effect as the Administrative Agent thereunder.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Successor Sustainability Structuring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The Sustainability Structuring Agent may at any time give notice of its resignation to the Administrative Agent, the Lenders and the Domestic Borrower. Upon receipt of any such notice of resignation, the Domestic Borrower, with the consent of the Required Lenders (not to be unreasonably withheld or delayed), shall have the right to appoint a successor. If no such successor shall have been so appointed and shall have accepted such appointment within 30 days after the retiring Sustainability Structuring Agent gives notice of its resignation (or such earlier day as shall be agreed by the Required Lenders) (the </w:t>
      </w:r>
      <w:r>
        <w:rPr>
          <w:color w:val="000000"/>
        </w:rPr>
        <w:t>“</w:t>
      </w:r>
      <w:r>
        <w:rPr>
          <w:rFonts w:ascii="Times New Roman" w:hAnsi="Times New Roman"/>
          <w:i/>
          <w:color w:val="000000"/>
          <w:sz w:val="22"/>
        </w:rPr>
        <w:t>Sustainability Resignation Effective Date”</w:t>
      </w:r>
      <w:r>
        <w:rPr>
          <w:rFonts w:ascii="Times New Roman" w:hAnsi="Times New Roman"/>
          <w:color w:val="000000"/>
          <w:sz w:val="22"/>
        </w:rPr>
        <w:t>), then the retiring Sustainability Structuring Agent may (but shall not be obligated to) on behalf of the Lenders, appoint a successor Sustainability Structuring Agent subject to the consents set forth above. Whether or not a successor has been appointed, such resignation shall become effective in accordance with such notice on the Sustainability Resignation 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effect from the Sustainability Resignation Effective Date (1) the retiring or removed Sustainability Structuring Agent shall be discharged from its duties and obligations hereunder and (2) except for any indemnity payments or other amounts then owed to the retiring or removed Sustainability Structuring Agent, all determinations to be made by the Sustainability Structuring Agent shall instead be made by the Required Lenders directly, until such time, if any, as a successor Sustainability Structuring Agent has been appointed as provided for above. Upon the acceptance of a successor’s appointment as Sustainability Structuring Agent hereunder, such successor shall succeed to and become vested with all of the rights, powers, privileges and duties of the retiring Sustainability Structuring Agent (other than any rights to indemnity payments or other amounts owed to the retiring Sustainability Structuring Agent as of the Sustainability Resignation Effective Date), and the retiring Sustainability Structuring Agent shall be discharged from all of its duties and obligations hereunder (if not already discharged therefrom as provided above in this Section 2.20(e)). The fees payable by the Domestic Borrower to a successor Sustainability Structuring Agent (if any) shall be the same as those payable to its predecessor unless otherwise agreed between the Domestic Borrower and such successor. After the retiring Sustainability Structuring Agent’s resignation hereunder, the provisions of this Section 2.20(e) and Section 11.04 shall continue in effect for the benefit of such retiring Sustainability Structuring Agent and its Related Parties in respect of any actions taken or omitted to be taken by any of them (i) while the Sustainability Structuring Agent was acting as Sustainability Structuring Agent and (ii) after such resignation for as long as any of them continues to act in any capacity hereunder, including in respect of any actions taken in connection with transferring the agency to any successor Sustainability Structuring Agent.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III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TAXES, YIELD PROTECTION AND ILLEGALITY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3.01. Taxes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Defined Terms</w:t>
      </w:r>
      <w:r>
        <w:rPr>
          <w:rFonts w:ascii="Times New Roman" w:hAnsi="Times New Roman"/>
          <w:color w:val="000000"/>
          <w:sz w:val="22"/>
        </w:rPr>
        <w:t>. For purposes of this Section 3.01, the term “</w:t>
      </w:r>
      <w:r>
        <w:rPr>
          <w:rFonts w:ascii="Times New Roman" w:hAnsi="Times New Roman"/>
          <w:i/>
          <w:color w:val="000000"/>
          <w:sz w:val="22"/>
        </w:rPr>
        <w:t>Applicable Law</w:t>
      </w:r>
      <w:r>
        <w:rPr>
          <w:color w:val="000000"/>
        </w:rPr>
        <w:t xml:space="preserve">” </w:t>
      </w:r>
      <w:r>
        <w:rPr>
          <w:rFonts w:ascii="Times New Roman" w:hAnsi="Times New Roman"/>
          <w:color w:val="000000"/>
          <w:sz w:val="22"/>
        </w:rPr>
        <w:t>includes FATCA and the term “</w:t>
      </w:r>
      <w:r>
        <w:rPr>
          <w:rFonts w:ascii="Times New Roman" w:hAnsi="Times New Roman"/>
          <w:i/>
          <w:color w:val="000000"/>
          <w:sz w:val="22"/>
        </w:rPr>
        <w:t>Lender</w:t>
      </w:r>
      <w:r>
        <w:rPr>
          <w:color w:val="000000"/>
        </w:rPr>
        <w:t xml:space="preserve">” </w:t>
      </w:r>
      <w:r>
        <w:rPr>
          <w:rFonts w:ascii="Times New Roman" w:hAnsi="Times New Roman"/>
          <w:color w:val="000000"/>
          <w:sz w:val="22"/>
        </w:rPr>
        <w:t>includes each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Payments Free of Taxes; Obligation to Withhold; Payments on Account of Taxes</w:t>
      </w:r>
      <w:r>
        <w:rPr>
          <w:rFonts w:ascii="Times New Roman" w:hAnsi="Times New Roman"/>
          <w:color w:val="000000"/>
          <w:sz w:val="22"/>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Section 3.01) the applicable Recipient receives an amount equal to the sum it would have received had no such withholding or deduction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Payment of Other Taxes by the Loan Parties</w:t>
      </w:r>
      <w:r>
        <w:rPr>
          <w:rFonts w:ascii="Times New Roman" w:hAnsi="Times New Roman"/>
          <w:color w:val="000000"/>
          <w:sz w:val="22"/>
        </w:rPr>
        <w:t>. The Loan Parties shall timely pay to the relevant Governmental Authority in accordance with Applicable Law, or at the option of the Administrative Agent timely reimburse it for the payment of, any Other Taxes.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Tax Indemnifications</w:t>
      </w:r>
      <w:r>
        <w:rPr>
          <w:rFonts w:ascii="Times New Roman" w:hAnsi="Times New Roman"/>
          <w:color w:val="000000"/>
          <w:sz w:val="22"/>
        </w:rPr>
        <w:t>. (i) 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Section 3.01)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such Loan Party by a Lender (with a copy to the Administrative Agent), or by the Administrative Agent on its own behalf or on behalf of a Lender, shall be conclusive absent manifest error. Each Loan Party shall, and does hereby, jointly and severally indemnify the Administrative Agent, and shall make payment in respect thereof within 10 days after demand therefor, for any amount which a Lender for any reason fails to pay indefeasibly to the Administrative Agent as required pursuant to Section 3.01(d)(ii)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shall, and does hereby, severally indemnify, and shall make payment in respect thereof within 10 days after demand therefor, (x) the Administrative Agent against any Indemnified Taxes attributable to such Lender (but only to the extent that any Loan Party has not already indemnified the Administrative Agent for such Indemnified Taxes and without limiting the obligation of such Loan Party to do so), (y) the Administrative Agent and each Loan Party, as applicable, against any Taxes attributable to such Lender’s failure to comply with the provisions of Section 11.06(d) relating to the maintenance of a Participant Register and (z) the Administrative Agent and each Loan Party, as applicable, against any Excluded Taxes attributable to such Lender, in each case, that are payable or paid by the Administrative Agent or any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clause (ii).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Evidence of Payments</w:t>
      </w:r>
      <w:r>
        <w:rPr>
          <w:rFonts w:ascii="Times New Roman" w:hAnsi="Times New Roman"/>
          <w:color w:val="000000"/>
          <w:sz w:val="22"/>
        </w:rPr>
        <w:t>. As soon as practicable after any payment of Taxes by any Loan Party to a Governmental Authority, as provided in this Section 3.01, the Domestic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Status of Lenders; Tax Documentation</w:t>
      </w:r>
      <w:r>
        <w:rPr>
          <w:rFonts w:ascii="Times New Roman" w:hAnsi="Times New Roman"/>
          <w:color w:val="000000"/>
          <w:sz w:val="22"/>
        </w:rPr>
        <w:t>. (i) Any Lender that is entitled to an exemption from or reduction of withholding Tax with respect to payments made under any Loan Document shall deliver to the Domestic Borrower or the Foreign Borrower and the Administrative Agent, at the time or times reasonably requested by the Domestic Borrower, the Foreign Borrower or the Administrative Agent, such properly completed and executed documentation reasonably requested by the Domestic Borrower, the Foreign Borrower or the Administrative Agent as will permit such payments to be made without withholding or at a reduced rate of withholding. In addition, any Lender, if reasonably requested by the Domestic Borrower, the Foreign Borrower or the Administrative Agent, shall deliver such other documentation prescribed by Applicable Law or reasonably requested by the Domestic Borrower, the Foreign Borrower or the Administrative Agent as will enable Domestic Borrower or the Administrative Agent to determine whether or not such Lender is subject to backup withholding or information reporting requirements or any other applicable withholding tax. Notwithstanding anything to the contrary in the preceding two sentences, the completion, execution and submission of such documentation (other than such documentation set forth in Section 3.01(e)(ii)(A),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the foregoing, in the event that a Borrower is a U.S.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Lender that is a U.S. Person shall deliver to the Domestic Borrower and the Administrative Agent on or prior to the date on which such Lender becomes a Lender under this Agreement (and from time to time thereafter upon the reasonable request of the Domestic Borrower or the Administrative Agent), executed copies of IRS Form W-9 certifying that such Lender is exempt from U.S. federal backup withholding tax;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the Domestic Borrower and the Administrative Agent (in such number of copies as shall be requested by the recipient) on or prior to the date on which such Foreign Lender becomes a Lender under this Agreement (and from time to time thereafter upon the reasonable request of the Domestic Borrower or the Administrative Agent), whichever of the following is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executed copies of IRS Form W-8ECI;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color w:val="000000"/>
          <w:sz w:val="22"/>
        </w:rPr>
        <w:t xml:space="preserve">in the case of a Foreign Lender claiming the benefits of the exemption for portfolio interest under Section 881(c) of the Code, (x) a certificate substantially in the form of </w:t>
      </w:r>
      <w:r>
        <w:rPr>
          <w:rFonts w:ascii="Times New Roman" w:hAnsi="Times New Roman"/>
          <w:i/>
          <w:color w:val="000000"/>
          <w:sz w:val="22"/>
        </w:rPr>
        <w:t xml:space="preserve">Exhibit F-1 </w:t>
      </w:r>
      <w:r>
        <w:rPr>
          <w:rFonts w:ascii="Times New Roman" w:hAnsi="Times New Roman"/>
          <w:color w:val="000000"/>
          <w:sz w:val="22"/>
        </w:rPr>
        <w:t xml:space="preserve">to the effect that such Foreign Lender is not a “bank” within the meaning of Section 881(c)(3)(A) of the Code, a “10 percent shareholder” of such Borrower within the meaning of Section 871(h)(3)(B) of the Code, or a “controlled foreign corporation” described in Section 881(c)(3)(C) of the Code (a </w:t>
      </w:r>
      <w:r>
        <w:rPr>
          <w:color w:val="000000"/>
        </w:rPr>
        <w:t>“</w:t>
      </w:r>
      <w:r>
        <w:rPr>
          <w:rFonts w:ascii="Times New Roman" w:hAnsi="Times New Roman"/>
          <w:i/>
          <w:color w:val="000000"/>
          <w:sz w:val="22"/>
        </w:rPr>
        <w:t xml:space="preserve">U.S. Tax Compliance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i/>
          <w:color w:val="000000"/>
          <w:sz w:val="22"/>
        </w:rPr>
        <w:t>Certificate”</w:t>
      </w:r>
      <w:r>
        <w:rPr>
          <w:rFonts w:ascii="Times New Roman" w:hAnsi="Times New Roman"/>
          <w:color w:val="000000"/>
          <w:sz w:val="22"/>
        </w:rPr>
        <w:t>) and (y) executed copies of IRS Form W-8BEN-E (or W-8BEN, as applicable);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color w:val="000000"/>
          <w:sz w:val="22"/>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hAnsi="Times New Roman"/>
          <w:i/>
          <w:color w:val="000000"/>
          <w:sz w:val="22"/>
        </w:rPr>
        <w:t xml:space="preserve">Exhibit F-2 </w:t>
      </w:r>
      <w:r>
        <w:rPr>
          <w:rFonts w:ascii="Times New Roman" w:hAnsi="Times New Roman"/>
          <w:color w:val="000000"/>
          <w:sz w:val="22"/>
        </w:rPr>
        <w:t xml:space="preserve">or </w:t>
      </w:r>
      <w:r>
        <w:rPr>
          <w:rFonts w:ascii="Times New Roman" w:hAnsi="Times New Roman"/>
          <w:i/>
          <w:color w:val="000000"/>
          <w:sz w:val="22"/>
        </w:rPr>
        <w:t>Exhibit F-3</w:t>
      </w:r>
      <w:r>
        <w:rPr>
          <w:rFonts w:ascii="Times New Roman" w:hAnsi="Times New Roman"/>
          <w:color w:val="000000"/>
          <w:sz w:val="22"/>
        </w:rPr>
        <w:t xml:space="preserve">, IRS Form W-9, and/or other certification documents from each beneficial owner, as applicable; </w:t>
      </w:r>
      <w:r>
        <w:rPr>
          <w:rFonts w:ascii="Times New Roman" w:hAnsi="Times New Roman"/>
          <w:i/>
          <w:color w:val="000000"/>
          <w:sz w:val="22"/>
        </w:rPr>
        <w:t xml:space="preserve">provided </w:t>
      </w:r>
      <w:r>
        <w:rPr>
          <w:rFonts w:ascii="Times New Roman" w:hAnsi="Times New Roman"/>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i/>
          <w:color w:val="000000"/>
          <w:sz w:val="22"/>
        </w:rPr>
        <w:t xml:space="preserve">Exhibit F-4 </w:t>
      </w:r>
      <w:r>
        <w:rPr>
          <w:rFonts w:ascii="Times New Roman" w:hAnsi="Times New Roman"/>
          <w:color w:val="000000"/>
          <w:sz w:val="22"/>
        </w:rPr>
        <w:t>on behalf of each such direct and indirect partner;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Foreign Lender shall, to the extent it is legally entitled to do so, deliver to the Domestic Borrower and the Administrative Agent (in such number of copies as shall be requested by the recipient) on or prior to the date on which such Foreign Lender becomes a Lender under this Agreement (and from time to time thereafter upon the reasonable request of the Domestic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Domestic Borrower or the Administrative Agent to determine the withholding or deduction required to be made;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Domestic Borrower and the Administrative Agent at the time or times prescribed by law and at such time or times reasonably requested by the Domestic Borrower or the Administrative Agent such documentation prescribed by Applicable Law (including as prescribed by Section 1471(b)(3)(C)(i) of the Code) and such additional documentation reasonably requested by the Domestic Borrower or the Administrative Agent as may be necessary for the Domestic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agrees that if any form or certification it previously delivered pursuant to this Section 3.01 expires or becomes obsolete or inaccurate in any respect, it shall update such form or certification or promptly notify the Domestic Borrower and the Administrative Agent in writing of its legal inability to do so.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i/>
          <w:color w:val="000000"/>
          <w:sz w:val="22"/>
        </w:rPr>
        <w:t>Treatment of Certain Refunds</w:t>
      </w:r>
      <w:r>
        <w:rPr>
          <w:rFonts w:ascii="Times New Roman" w:hAnsi="Times New Roman"/>
          <w:color w:val="000000"/>
          <w:sz w:val="22"/>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Section 3.01, it shall pay to such Loan Party an amount equal to such refund (but only to the extent of indemnity payments made, or additional amounts paid, by such Loan Party under this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Section 3.01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i/>
          <w:color w:val="000000"/>
          <w:sz w:val="22"/>
        </w:rPr>
        <w:t xml:space="preserve">provided </w:t>
      </w:r>
      <w:r>
        <w:rPr>
          <w:rFonts w:ascii="Times New Roman" w:hAnsi="Times New Roman"/>
          <w:color w:val="000000"/>
          <w:sz w:val="22"/>
        </w:rPr>
        <w:t>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i/>
          <w:color w:val="000000"/>
          <w:sz w:val="22"/>
        </w:rPr>
        <w:t>Survival</w:t>
      </w:r>
      <w:r>
        <w:rPr>
          <w:rFonts w:ascii="Times New Roman" w:hAnsi="Times New Roman"/>
          <w:color w:val="000000"/>
          <w:sz w:val="22"/>
        </w:rPr>
        <w:t>. Each party’s obligations under this Section 3.01 shall survive the resignation or replacement of the Administrative Agent or any assignment of rights by, or the replacement of, a Lender, the termination of the Commitments and the repayment, satisfaction or discharge of all other Obligations.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3.02. Illegality</w:t>
      </w:r>
      <w:r>
        <w:rPr>
          <w:rFonts w:ascii="Times New Roman" w:hAnsi="Times New Roman"/>
          <w:color w:val="000000"/>
          <w:sz w:val="22"/>
        </w:rPr>
        <w:t>. (a) If any Lender reasonably determines that any Law has made it unlawful, or that any Governmental Authority has asserted that it is unlawful, for such Lender or its applicable Lending Office to make, maintain or fund Credit Extensions whose interest is determined by reference to a Relevant Rate or to determine or charge interest rates based upon a Relevant Rate or to purchase or sell, or to take deposits of, any Alternative Currency in the applicable interbank market, then, upon notice thereof by such Lender to the Borrowers (through the Administrative Agent), (a) any obligation of such Lender to make or maintain Alternative Currency Loans in the affected currency or currencies or, in the case of Loans denominated in Dollars, any obligation of such Lender to make or continue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Borrowers that the circumstances giving rise to such determination no longer exist. Upon receipt of such notice, (i) the Borrowers (or the applicable Borrower) shall, upon demand from such Lender (with a copy to the Administrative Agent), (A) prepay all Alternative Currency Loans in the affected currency or currencies or all Term SOFR Loans, as applicable, of such Lender, or (B)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or Alternative Currency Term Rate Loans, as applicable, on the last day of the Interest Period therefor if such Lender may lawfully continue to maintain such Term SOFR Loans or Alternative Currency Term Rate Loans, as applicable, to such day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upon Term SOFR. Upon any such prepayment or conversion, the Borrowers shall also pay accrued interest on the amount so prepaid or converted, together with any additional amounts required pursuant to Section 3.05.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If, in any applicable jurisdiction, the Administrative Agent, any L/C Issuer or any Lender or any Designated Lender (the </w:t>
      </w:r>
      <w:r>
        <w:rPr>
          <w:color w:val="000000"/>
        </w:rPr>
        <w:t>“</w:t>
      </w:r>
      <w:r>
        <w:rPr>
          <w:rFonts w:ascii="Times New Roman" w:hAnsi="Times New Roman"/>
          <w:i/>
          <w:color w:val="000000"/>
          <w:sz w:val="22"/>
        </w:rPr>
        <w:t>Determining Party”</w:t>
      </w:r>
      <w:r>
        <w:rPr>
          <w:rFonts w:ascii="Times New Roman" w:hAnsi="Times New Roman"/>
          <w:color w:val="000000"/>
          <w:sz w:val="22"/>
        </w:rPr>
        <w:t>) determines that any Law has made it unlawful, or that any Governmental Authority has asserted that it is unlawful, for the Administrative Agent, any L/C Issuer or any Lender or its Designated Lender to (i) perform any of its obligations hereunder or under any other Loan Document, (ii) fund or maintain its participation in any Loan or (iii) issue, make, maintain, fund or charge interest or fees with respect to any Credit Extension to the Foreign Borrower such Determining Party shall promptly notify the Administrative Agent and, upon the Administrative Agent notifying the Domestic Borrower of such determination, and until such notice by such Determining Party is revoked, any obligation of such Person to issue, make, maintain, fund or charge interest or fees with respect to any such Credit Extension shall be suspended, and to the extent required by applicable Law, cancelled. Upon receipt of such notice, the Loan Parties shall, (A) repay such Determining Party’s participation in the Loans or other applicable Obligations on the last day of the Interest Period for each Loan or other Obligation occurring after the Administrative Agent has notified the Domestic Borrower or, if earlier, the date specified by such Determining Party in the notice delivered to the Administrative Agent (being no earlier than the last day of any applicable grace period permitted by applicable Law), (B) to the extent applicable to any L/C Issuer, Cash Collateralize that portion of applicable L/C Obligations comprised of the aggregate undrawn amount of Letters of Credit to the extent not otherwise Cash Collateralized and (C) take all reasonable actions requested by such Determining Party to mitigate or avoid such illegality.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3.03. Inability to Determine Rates</w:t>
      </w:r>
      <w:r>
        <w:rPr>
          <w:rFonts w:ascii="Times New Roman" w:hAnsi="Times New Roman"/>
          <w:color w:val="000000"/>
          <w:sz w:val="22"/>
        </w:rPr>
        <w:t>. (a) If in connection with any request for a Term SOFR Loan or an Alternative Currency Loan or a conversion of Base Rate Loans to Term SOFR Loans or a continuation of any of such Loans, as applicable, (i) the Administrative Agent determines (which determination shall be conclusive absent manifest error) that (A) no Successor Rate or Alternative Currency Successor Rate, as applicable, for the Relevant Rate for the applicable Agreed Currency has been determined in accordance with Section 3.03(b) or Section 3.03(c), as applicable, and the circumstances under Section 3.03(b)(i) or the Scheduled Unavailability Date or Alternative Currency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Borrowers and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Thereafter, (x) the obligation of the Lenders to make or maintain Term SOFR Loans or Alternative Currency Loans in the affected currencies, as applicable, or to convert Base Rate Loans to Term SOFR Loans, shall be suspended to the extent of the affected Loans, Interest Period(s) or determination date(s), as applicable and (y) in the event of a determination described in clause (x) with respect to the Term SOFR component of the Base Rate, the utilization of the Term SOFR component in determining the Base Rate shall be suspended, in each case, until the Administrative Agent (or, in the case of a determination by the Required Lenders described in Section 3.03(a)(ii), until the Administrative Agent upon instruction of the Required Lenders) revokes such notice.</w:t>
      </w:r>
    </w:p>
    <w:p>
      <w:pPr>
        <w:pStyle w:val="TextBody"/>
        <w:bidi w:val="0"/>
        <w:spacing w:before="240" w:after="283"/>
        <w:jc w:val="both"/>
        <w:rPr>
          <w:rFonts w:ascii="Times New Roman" w:hAnsi="Times New Roman"/>
          <w:sz w:val="20"/>
        </w:rPr>
      </w:pPr>
      <w:r>
        <w:rPr>
          <w:rFonts w:ascii="Times New Roman" w:hAnsi="Times New Roman"/>
          <w:color w:val="000000"/>
          <w:sz w:val="22"/>
        </w:rPr>
        <w:t>Upon receipt of such notice, (i) the Borrowers may revoke any pending request for a Borrowing of, conversion to or continuation of Term SOFR Loans, or Borrowing of, or continuation of Alternative Currency Loans, in each case to the extent of the affected Loans, Interest Periods or determination date(s), as applicable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at the end of their respective applicable Interest Period, if such notice relates to Term SOFR Loans and (B) any outstanding affected Alternative Currency Loans, at the Borrowers’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hAnsi="Times New Roman"/>
          <w:i/>
          <w:color w:val="000000"/>
          <w:sz w:val="22"/>
        </w:rPr>
        <w:t>provided</w:t>
      </w:r>
      <w:r>
        <w:rPr>
          <w:rFonts w:ascii="Times New Roman" w:hAnsi="Times New Roman"/>
          <w:color w:val="000000"/>
          <w:sz w:val="22"/>
        </w:rPr>
        <w:t>, that, if no election is made by the Borrowers (x) in the case of an Alternative Currency Daily Rate Loan, by the date that is three (3) Business Days after receipt by the Borrowers of such notice or (y) in the case of an Alternative Currency Term Rate Loan, by the last day of the current Interest Period for the applicable Alternative Currency Term Rate Loan, the Borrowers shall be deemed to have elected clause (1)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herein or in any other Loan Document,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hAnsi="Times New Roman"/>
          <w:i/>
          <w:color w:val="000000"/>
          <w:sz w:val="22"/>
        </w:rPr>
        <w:t>Scheduled Unavailability Date</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then, on a date and time determined by the Administrative Agent (any such date, the “</w:t>
      </w:r>
      <w:r>
        <w:rPr>
          <w:rFonts w:ascii="Times New Roman" w:hAnsi="Times New Roman"/>
          <w:i/>
          <w:color w:val="000000"/>
          <w:sz w:val="22"/>
        </w:rPr>
        <w:t>Term SOFR Replacement Date</w:t>
      </w:r>
      <w:r>
        <w:rPr>
          <w:rFonts w:ascii="Times New Roman" w:hAnsi="Times New Roman"/>
          <w:color w:val="000000"/>
          <w:sz w:val="20"/>
        </w:rPr>
        <w:t>”</w:t>
      </w:r>
      <w:r>
        <w:rPr>
          <w:rFonts w:ascii="Times New Roman" w:hAnsi="Times New Roman"/>
          <w:color w:val="000000"/>
          <w:sz w:val="22"/>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w:t>
      </w:r>
      <w:r>
        <w:rPr>
          <w:rFonts w:ascii="Times New Roman" w:hAnsi="Times New Roman"/>
          <w:strike/>
          <w:color w:val="FF0000"/>
          <w:sz w:val="20"/>
        </w:rPr>
        <w:t xml:space="preserve"> </w:t>
      </w:r>
      <w:r>
        <w:rPr>
          <w:rFonts w:ascii="Times New Roman" w:hAnsi="Times New Roman"/>
          <w:i/>
          <w:strike/>
          <w:color w:val="FF0000"/>
          <w:sz w:val="22"/>
        </w:rPr>
        <w:t xml:space="preserve">plus </w:t>
      </w:r>
      <w:r>
        <w:rPr>
          <w:rFonts w:ascii="Times New Roman" w:hAnsi="Times New Roman"/>
          <w:strike/>
          <w:color w:val="FF0000"/>
          <w:sz w:val="22"/>
        </w:rPr>
        <w:t>the SOFR Adjustment</w:t>
      </w:r>
      <w:r>
        <w:rPr>
          <w:rFonts w:ascii="Times New Roman" w:hAnsi="Times New Roman"/>
          <w:color w:val="FF0000"/>
          <w:sz w:val="20"/>
        </w:rPr>
        <w:t xml:space="preserve"> </w:t>
      </w:r>
      <w:r>
        <w:rPr>
          <w:rFonts w:ascii="Times New Roman" w:hAnsi="Times New Roman"/>
          <w:color w:val="000000"/>
          <w:sz w:val="22"/>
        </w:rPr>
        <w:t>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i/>
          <w:color w:val="000000"/>
          <w:sz w:val="22"/>
        </w:rPr>
        <w:t>Successor Rate</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If the Successor Rate is Daily Simple SOFR</w:t>
      </w:r>
      <w:r>
        <w:rPr>
          <w:rFonts w:ascii="Times New Roman" w:hAnsi="Times New Roman"/>
          <w:strike/>
          <w:color w:val="FF0000"/>
          <w:sz w:val="20"/>
        </w:rPr>
        <w:t xml:space="preserve"> </w:t>
      </w:r>
      <w:r>
        <w:rPr>
          <w:rFonts w:ascii="Times New Roman" w:hAnsi="Times New Roman"/>
          <w:i/>
          <w:strike/>
          <w:color w:val="FF0000"/>
          <w:sz w:val="22"/>
        </w:rPr>
        <w:t xml:space="preserve">plus </w:t>
      </w:r>
      <w:r>
        <w:rPr>
          <w:rFonts w:ascii="Times New Roman" w:hAnsi="Times New Roman"/>
          <w:strike/>
          <w:color w:val="FF0000"/>
          <w:sz w:val="22"/>
        </w:rPr>
        <w:t>the SOFR Adjustment</w:t>
      </w:r>
      <w:r>
        <w:rPr>
          <w:rFonts w:ascii="Times New Roman" w:hAnsi="Times New Roman"/>
          <w:color w:val="000000"/>
          <w:sz w:val="22"/>
        </w:rPr>
        <w:t>, all interest payments will be payable on a quarterly 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Borrowers may amend this Agreement solely for the purpose of replacing Term SOFR or any then current Successor Rate in accordance with this Section 3.03 at the end of any Interest Period, relevant interest payment date or payment period for interest calculated, as applicable, with an alternative benchmark rate giving due consideration to any evolving or then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will promptly (in one or more notices) notify the Borrowers and each Lender of the implementation of any Successor Rate.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Successor Rate shall be applied in a manner consistent with market practice; </w:t>
      </w:r>
      <w:r>
        <w:rPr>
          <w:rFonts w:ascii="Times New Roman" w:hAnsi="Times New Roman"/>
          <w:i/>
          <w:color w:val="000000"/>
          <w:sz w:val="22"/>
        </w:rPr>
        <w:t xml:space="preserve">provided </w:t>
      </w:r>
      <w:r>
        <w:rPr>
          <w:rFonts w:ascii="Times New Roman" w:hAnsi="Times New Roman"/>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else herein, if at any time any Successor Rate as so determined would otherwise be less than 0.00%, the Successor Rate will be deemed to be 0.00% for the purposes of this Agreement and the other Loan Documents.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i/>
          <w:color w:val="000000"/>
          <w:sz w:val="22"/>
        </w:rPr>
        <w:t xml:space="preserve">provided </w:t>
      </w:r>
      <w:r>
        <w:rPr>
          <w:rFonts w:ascii="Times New Roman" w:hAnsi="Times New Roman"/>
          <w:color w:val="000000"/>
          <w:sz w:val="22"/>
        </w:rPr>
        <w:t>that, with respect to any such amendment effected, the Administrative Agent shall post each such amendment implementing such Conforming Changes to the Borrowers and the Lenders reasonably promptly after such amendment becomes effective.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Section 3.03(b), those Lenders that either have not made, or do not have an obligation under this Agreement to make, the relevant Loans in Dollars shall be excluded from any determination of Required Lenders.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the Borrowers) that the Borrowers or Required Lenders (as applicable) have determined (which determination likewise shall be conclusive and binding upon all parties hereto absent manifest error),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Applicable Alternative Currency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“Alternative Currency Scheduled Unavailability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or if the events or circumstances of the type described in </w:t>
      </w:r>
      <w:r>
        <w:rPr>
          <w:rFonts w:ascii="Times New Roman" w:hAnsi="Times New Roman"/>
          <w:color w:val="000000"/>
          <w:sz w:val="22"/>
          <w:u w:val="single"/>
        </w:rPr>
        <w:t>Section 3.03(c)(i)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have occurred with respect to the Alternative Currency Successor Rate for an Alternative Currency then in effect, then, the Administrative Agent and the Borrowers may amend this Agreement solely for the purpose of replacing the Relevant Rate for an Alternative Currency or any then current Alternative Currency Successor Rate for an Alternative Currency in accordance with this </w:t>
      </w:r>
      <w:r>
        <w:rPr>
          <w:rFonts w:ascii="Times New Roman" w:hAnsi="Times New Roman"/>
          <w:color w:val="000000"/>
          <w:sz w:val="22"/>
          <w:u w:val="single"/>
        </w:rPr>
        <w:t>Section 3.03</w:t>
      </w:r>
      <w:r>
        <w:rPr>
          <w:rFonts w:ascii="Times New Roman" w:hAnsi="Times New Roman"/>
          <w:color w:val="000000"/>
          <w:sz w:val="20"/>
        </w:rPr>
        <w:t xml:space="preserve"> </w:t>
      </w:r>
      <w:r>
        <w:rPr>
          <w:rFonts w:ascii="Times New Roman" w:hAnsi="Times New Roman"/>
          <w:color w:val="000000"/>
          <w:sz w:val="22"/>
        </w:rPr>
        <w:t>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(any such proposed rate, including for the avoidance of doubt, any adjustment thereto, a “</w:t>
      </w:r>
      <w:r>
        <w:rPr>
          <w:rFonts w:ascii="Times New Roman" w:hAnsi="Times New Roman"/>
          <w:i/>
          <w:color w:val="000000"/>
          <w:sz w:val="22"/>
        </w:rPr>
        <w:t>Alternative Currency Successor Rate</w:t>
      </w:r>
      <w:r>
        <w:rPr>
          <w:rFonts w:ascii="Times New Roman" w:hAnsi="Times New Roman"/>
          <w:color w:val="000000"/>
          <w:sz w:val="20"/>
        </w:rPr>
        <w:t>”</w:t>
      </w:r>
      <w:r>
        <w:rPr>
          <w:rFonts w:ascii="Times New Roman" w:hAnsi="Times New Roman"/>
          <w:color w:val="000000"/>
          <w:sz w:val="22"/>
        </w:rPr>
        <w:t>), and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The Administrative Agent will promptly (in one or more notices) notify the Borrowers and each Lender of the implementation of any Alternative Currency Successor Rate.</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Any Alternative Currency Successor Rate shall be applied in a manner consistent with market practice; </w:t>
      </w:r>
      <w:r>
        <w:rPr>
          <w:rFonts w:ascii="Times New Roman" w:hAnsi="Times New Roman"/>
          <w:i/>
          <w:color w:val="000000"/>
          <w:sz w:val="22"/>
        </w:rPr>
        <w:t xml:space="preserve">provided that </w:t>
      </w:r>
      <w:r>
        <w:rPr>
          <w:rFonts w:ascii="Times New Roman" w:hAnsi="Times New Roman"/>
          <w:color w:val="000000"/>
          <w:sz w:val="22"/>
        </w:rPr>
        <w:t>to the extent such market practice is not administratively feasible for the Administrative Agent, such Alternative Currency Successor Rate shall be applied in a manner as otherwise reasonably determined by the Administrative Agent.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Notwithstanding anything else herein, if at any time any Alternative Currency Successor Rate as so determined would otherwise be less than 0.00%, the Alternative Currency Successor Rate will be deemed to be 0.00% for the purposes of this Agreement and the other Loan Documents.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connection with the implementation of a Alternative Currency Successor Rate, the Administrative Agent will have the right to make Alternative Currency Conforming Changes from time to time and, notwithstanding anything to the contrary herein or in any other Loan Document, any amendments implementing such Alternative Currency Conforming Changes will become effective without any further action or consent of any other party to this Agreement; </w:t>
      </w:r>
      <w:r>
        <w:rPr>
          <w:rFonts w:ascii="Times New Roman" w:hAnsi="Times New Roman"/>
          <w:i/>
          <w:color w:val="000000"/>
          <w:sz w:val="22"/>
        </w:rPr>
        <w:t>provided that</w:t>
      </w:r>
      <w:r>
        <w:rPr>
          <w:rFonts w:ascii="Times New Roman" w:hAnsi="Times New Roman"/>
          <w:color w:val="000000"/>
          <w:sz w:val="22"/>
        </w:rPr>
        <w:t>, with respect to any such amendment effected, the Administrative Agent shall post each such amendment implementing such Alternative Currency Conforming Changes to the Borrowers and the Lenders reasonably promptly after such amendment becomes effective.</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For purposes of this Section 3.03(c), those Lenders that either have not made, or do not have an obligation under this Agreement to make, the relevant Loans in the Alternative Currency shall be excluded from any determination of Required Lenders.</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3.04. Increased Costs; Reserves on Term SOFR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Increased Costs Generally</w:t>
      </w:r>
      <w:r>
        <w:rPr>
          <w:rFonts w:ascii="Times New Roman" w:hAnsi="Times New Roman"/>
          <w:color w:val="000000"/>
          <w:sz w:val="22"/>
        </w:rPr>
        <w:t>. If any Change in Law shall: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 modify or deem applicable any reserve, special deposit, compulsory loan, insurance charge or similar requirement against assets of, deposits with or for the account of, or credit extended or participated in by, any Lender or any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 on any Lender or any L/C Issuer or any applicable interbank market any other condition, cost or expense affecting this Agreement, Term SOFR Loans or Alternative Currency Loans made by such Lender or any Letter of Credit or participation therein;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of making, converting to, continuing or maintaining any Loan (or of maintaining its obligation to make any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Domestic Borrower will pay (or cause the Foreign Borrower to pay) to such Lender or such L/C Issuer, as the case may be, such additional amount or amounts as will compensate such Lender or such L/C Issuer, as the case may be, for such additional costs incurred or reduction suffered.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Capital Requirements</w:t>
      </w:r>
      <w:r>
        <w:rPr>
          <w:rFonts w:ascii="Times New Roman" w:hAnsi="Times New Roman"/>
          <w:color w:val="000000"/>
          <w:sz w:val="22"/>
        </w:rPr>
        <w:t xml:space="preserve">.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adequacy and liquidity), then from time to time the Domestic Borrower will pay (or cause the Foreign Borrower to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Mandatory Costs</w:t>
      </w:r>
      <w:r>
        <w:rPr>
          <w:rFonts w:ascii="Times New Roman" w:hAnsi="Times New Roman"/>
          <w:color w:val="000000"/>
          <w:sz w:val="22"/>
        </w:rPr>
        <w:t>. If any Lender or the Alternative Currency L/C Issuer incurs any Mandatory Costs attributable to the Obligations, then from time to time the Domestic Borrower will pay (or cause the Foreign Borrower to pay) to such Lender or the Alternative Currency L/C Issuer, as the case may be, such Mandatory Costs. Such amount shall be expressed as a percentage rate per annum and shall be payable on the full amount of the applicable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Certificates for Reimbursement</w:t>
      </w:r>
      <w:r>
        <w:rPr>
          <w:rFonts w:ascii="Times New Roman" w:hAnsi="Times New Roman"/>
          <w:color w:val="000000"/>
          <w:sz w:val="22"/>
        </w:rPr>
        <w:t>. A certificate of a Lender or an L/C Issuer setting forth the amount or amounts necessary to compensate such Lender or such L/C Issuer or its holding company, as the case may be, as specified in subsection (a), (b) or (c) of this Section and delivered to the Domestic Borrower shall be conclusive absent manifest error. The Domestic Borrower shall pay (or cause the Foreign Borrower to pay) such Lender or such L/C Issuer, as the case may be, the amount shown as due on any such certificate within 10 days after receipt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Delay in Requests</w:t>
      </w:r>
      <w:r>
        <w:rPr>
          <w:rFonts w:ascii="Times New Roman" w:hAnsi="Times New Roman"/>
          <w:color w:val="000000"/>
          <w:sz w:val="22"/>
        </w:rPr>
        <w:t xml:space="preserve">. Failure or delay on the part of any Lender or any L/C Issuer to demand compensation pursuant to the foregoing provisions of this Section 3.04 shall not constitute a waiver of such Lender’s or such L/C Issuer’s right to demand such compensation; </w:t>
      </w:r>
      <w:r>
        <w:rPr>
          <w:rFonts w:ascii="Times New Roman" w:hAnsi="Times New Roman"/>
          <w:i/>
          <w:color w:val="000000"/>
          <w:sz w:val="22"/>
        </w:rPr>
        <w:t xml:space="preserve">provided </w:t>
      </w:r>
      <w:r>
        <w:rPr>
          <w:rFonts w:ascii="Times New Roman" w:hAnsi="Times New Roman"/>
          <w:color w:val="000000"/>
          <w:sz w:val="22"/>
        </w:rPr>
        <w:t>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Domestic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3.05. Compensation for Losses</w:t>
      </w:r>
      <w:r>
        <w:rPr>
          <w:rFonts w:ascii="Times New Roman" w:hAnsi="Times New Roman"/>
          <w:color w:val="000000"/>
          <w:sz w:val="22"/>
        </w:rPr>
        <w:t>. Upon demand of any Lender (with a copy to the Administrative Agent) from time to time, the Domestic Borrower shall promptly compensate (or cause the Foreign Borrower to compensate) such Lender for and hold such Lender harmless from any loss, cost or expense incurred by it as a result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failure by any Borrower (for a reason other than the failure of such Lender to make a Loan) to prepay, borrow, continue or convert any Loan other than a Base Rate Loan on the date or in the amount notified by Domestic Borrower or the Foreign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failure by any Borrower to make payment of any Loan or of any drawing under any Letter of Credit (or interest due thereon) denominated in an Alternative Currency on its scheduled due date or any payment thereof in a different currency; 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assignment of a Term SOFR Loan or an Alternative Currency Term Rate Loan on a day other than the last day of the Interest Period therefor as a result of a request by the Domestic Borrower pursuant to Section 11.13;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Domestic Borrower shall also pay (or cause the Foreign Borrower to pay) any customary administrative fees charged by such Lender in connection with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calculating amounts payable by the Borrowers to the Lenders under this Section 3.05, each Lender shall be deemed to have funded each Term SOFR Loan and Alternative Currency Term Rate Loan, as applicable, made by it at Term SOFR or the Alternative Currency Term Rate, as applicable, for such Loan by a matching deposit or other borrowing in the offshore interbank market for such currency for a comparable amount and for a comparable period, whether or not such Term SOFR Loan or Alternative Currency Term Rate Loan was in fact so funded.</w:t>
      </w:r>
    </w:p>
    <w:p>
      <w:pPr>
        <w:pStyle w:val="TextBody"/>
        <w:bidi w:val="0"/>
        <w:spacing w:before="240" w:after="283"/>
        <w:jc w:val="left"/>
        <w:rPr>
          <w:rFonts w:ascii="Times New Roman" w:hAnsi="Times New Roman"/>
          <w:sz w:val="20"/>
        </w:rPr>
      </w:pPr>
      <w:r>
        <w:rPr>
          <w:rFonts w:ascii="Times New Roman" w:hAnsi="Times New Roman"/>
          <w:i/>
          <w:color w:val="000000"/>
          <w:sz w:val="22"/>
        </w:rPr>
        <w:t>Section 3.06. Mitigation Obligations; Replacement of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Designation of a Different Lending Office</w:t>
      </w:r>
      <w:r>
        <w:rPr>
          <w:rFonts w:ascii="Times New Roman" w:hAnsi="Times New Roman"/>
          <w:color w:val="000000"/>
          <w:sz w:val="22"/>
        </w:rPr>
        <w:t>. If any Lender requests compensation under Section 3.04, or requires any Borrower to pay any Indemnified Taxes or additional amounts to any Lender, any L/C Issuer, or any Governmental Authority for the account of any Lender or any L/C Issuer pursuant to Section 3.01, or if any Lender gives a notice pursuant to Section 3.02, then at the request of the Domestic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Section 3.01 or 3.04, as the case may be, in the future, or eliminate the need for the notice pursuant to Section 3.02, as applicable, and (ii) in each case, would not subject such Lender or such L/C Issuer, as the case may be, to any unreimbursed cost or expense and would not otherwise be disadvantageous to such Lender or such L/C Issuer, as the case may be. The Domestic Borrower hereby agrees to pay all reasonable costs and expenses incurred by any Lender or any L/C Issuer in connection with any such designation or assignment.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Replacement of Lenders</w:t>
      </w:r>
      <w:r>
        <w:rPr>
          <w:rFonts w:ascii="Times New Roman" w:hAnsi="Times New Roman"/>
          <w:color w:val="000000"/>
          <w:sz w:val="22"/>
        </w:rPr>
        <w:t>. If any Lender requests compensation under Section 3.04, or if any Borrower is required to pay any Indemnified Taxes or additional amounts to any Lender or any Governmental Authority for the account of any Lender pursuant to Section 3.01 and, in each case, such Lender has declined or is unable to designate a different lending office in accordance with Section 3.06(a), the Domestic Borrower may replace such Lender in accordance with Section 11.13.</w:t>
      </w:r>
    </w:p>
    <w:p>
      <w:pPr>
        <w:pStyle w:val="TextBody"/>
        <w:bidi w:val="0"/>
        <w:spacing w:before="240" w:after="283"/>
        <w:jc w:val="both"/>
        <w:rPr>
          <w:rFonts w:ascii="Times New Roman" w:hAnsi="Times New Roman"/>
          <w:sz w:val="20"/>
        </w:rPr>
      </w:pPr>
      <w:r>
        <w:rPr>
          <w:rFonts w:ascii="Times New Roman" w:hAnsi="Times New Roman"/>
          <w:i/>
          <w:color w:val="000000"/>
          <w:sz w:val="22"/>
        </w:rPr>
        <w:t>Section 3.07. Survival</w:t>
      </w:r>
      <w:r>
        <w:rPr>
          <w:rFonts w:ascii="Times New Roman" w:hAnsi="Times New Roman"/>
          <w:color w:val="000000"/>
          <w:sz w:val="22"/>
        </w:rPr>
        <w:t>. All obligations under this Article III shall survive termination of the Aggregate Commitments, repayment of all other Obligations hereunder, resignation of the Administrative Agent and the Facility Termination Date.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IV</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CONDITIONS PRECEDENT TO CREDIT EXTENSIONS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4.01. Conditions of Initial Credit Extension</w:t>
      </w:r>
      <w:r>
        <w:rPr>
          <w:rFonts w:ascii="Times New Roman" w:hAnsi="Times New Roman"/>
          <w:color w:val="000000"/>
          <w:sz w:val="22"/>
        </w:rPr>
        <w:t>. The obligation of any L/C Issuer and each Lender to make its initial Credit Extension hereunder is subject to satisfaction of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Administrative Agent’s receipt of the following, each of which shall be originals or telecopies (followed promptly by originals) unless otherwise specified, each properly executed by a Responsible Officer of the signing Loan Party, each dated the Closing Date (or, in the </w:t>
      </w:r>
      <w:r>
        <w:rPr>
          <w:rFonts w:ascii="Times New Roman" w:hAnsi="Times New Roman"/>
          <w:color w:val="000000"/>
          <w:sz w:val="20"/>
        </w:rPr>
        <w:t>case of certificates of governmental officials, a recent date before the Closing Date) and each in form and substance satisfactory to the Administrative Agent and each of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executed counterparts of this Agreement, sufficient in number for distribution to the Administrative Agent, each Lender and the Domestic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Revolving Credit Note executed by each of the Borrowers in favor of each Revolving Credit Lender requesting a Revolving Credit Note;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Collateral Documents or any reaffirmations, amendments or modifications thereto, duly executed by each Loan Party, to the extent required under local law to ensure the continuing validity and enforceability of such Collateral Document or to ensure the continuing security interests in the applicable assets (and the continuing perfection thereof) granted or purported to be granted pursuant to such Collateral Documents, including, without limitation, in the assets of the Domestic Borrower, the Foreign Borrower and the Foreign Guarantors and in the Equity Interests in the Foreign Borrower, Diodes Zetex Limited and Diodes Hong Kong, and all related confirmations, authorizing resolutions, legal opinions and such other agreements, documents, certificates, filings, notarizations, and recordations,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certificates representing the Pledged Equity referred to therein accompanied by undated stock powers executed in blank and instruments evidencing the Pledged Debt indorsed in blank (to the extent available in any non-U.S. jurisdiction), in each case to the extent such Pledged Equity is certificated and has not previously been delivered to the Administrative Agent; and the Administrative Agent shall have received satisfactory evidence that the Liens in favor of the Administrative Agent on the equity interests of the Foreign Loan Parties required to be pledged have been validly created, are enforceable and have been perfected under the laws of each applicable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proper Financing Statements in form appropriate for filing under the Uniform Commercial Code of all jurisdictions that the Administrative Agent may deem necessary or desirable (or the foreign equivalent thereof) in order to perfect the Liens created under the Collateral Documents, covering the Collateral described in the Collateral Documents as well as UCC, Lien and Intellectual Property, charge, and other searches (to the extent available in any non-U.S. jurisdiction) and other evidence satisfactory to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Administrative Agent that such Liens are the only Liens upon the Collateral, except Liens permitted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completed requests for information, dated on or before the date of the initial Credit Extension, listing all effective financing statements filed in the jurisdictions referred to in clause (B) above that name any Loan Party as debtor, together with copies of such other financing statements,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evidence of the completion of all other actions, recordings and filings of or with respect to the Collateral Documents that the Administrative Agent may deem necessary or desirable in order to perfect the Liens created thereby,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evidence that all other action that the Administrative Agent may deem necessary or desirable in order to perfect or continue perfection of the Liens created under the Collateral Documents has been taken (including receipt of duly executed payoff letters, UCC-3 termination statements and landlords’ and bailees’ waiver and consent agreements);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documents and certifications as the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favorable opinion of Sheppard, Mullin, Richter &amp; Hampton, LLP, counsel to the Loan Parties, addressed to the Administrative Agent and each Lender, as to matters concerning the Loan Parties and the Loan Documents as the Required Lenders may reasonably request;</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(vii)</w:t>
      </w:r>
    </w:p>
    <w:p>
      <w:pPr>
        <w:pStyle w:val="TextBody"/>
        <w:bidi w:val="0"/>
        <w:spacing w:before="240" w:after="283"/>
        <w:jc w:val="both"/>
        <w:rPr/>
      </w:pPr>
      <w:r>
        <w:rPr>
          <w:rFonts w:ascii="Times New Roman" w:hAnsi="Times New Roman"/>
          <w:i/>
          <w:color w:val="000000"/>
          <w:sz w:val="22"/>
        </w:rPr>
        <w:t>Reserved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favorable opinion of Allen &amp; Overy LLP, local counsel to the Loan Parties in the United Kingdom, addressed to the Administrative Agent and each Lender, as to matters concerning the Loan Parties and the Loan Documents as the Required Lenders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certificate of a Responsible Officer of the Domestic Borrower either (A) attaching copies of all consents, licenses and approvals required in connection with the execution, delivery and performance by each Loan Party and the validity against each Loan Party of the Loan Documents to which it is a party, and such consents, licenses and approvals shall be in full force and effect, or (B) stating that no such consents, licenses or approvals are so required;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certificate signed by a Responsible Officer of the Domestic Borrower certifying (A) that the conditions specified in Sections 4.02(a) and (b) have been satisfied,and (B) that there has been no event or circumstance since the date of the Audited Financial Statements that has had or could be reasonably expected to have, either individually or in the aggregate,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action, suit, investigation, litigation or proceeding pending or, to the knowledge of either Borrower, threatened in any court or before any arbitrator or governmental instrumentality that in the Administrative Agent’s or Arrangers’ judgment could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annual audited financial statements of the Domestic Borrower and its Subsidiaries on a consolidated basis for the fiscal year ended 2022;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interim financial statements of the Domestic Borrower and its Subsidiaries on a consolidated basis described in Section 5.05(b);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 forma financial statements for the Domestic Borrower and its Subsidiaries on a consolidated basis for the fiscal period ending on March 31, 2023, including forecasts prepared by management of the Domestic Borrower, of consolidated balance sheets and statements of income or operations and cash flows of the Domestic Borrower and its Subsidiaries on a quarterly basis for the first year following the Closing Date and on an annual basis for each year thereafter during the term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certificates attesting to the Solvency of each Borrower and their respective Subsidiaries before and after giving effect to the financing under this Agreement and the transactions contemplated hereby, from the chief financial officer of the Domestic Borrower and from a Responsible Officer of the Foreign Borrower;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evidence that all insurance required to be maintained pursuant to the Loan Documents has been obtained and is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documentation and other information as to each Loan Party as requested by the Administrative Agent and each Lender in order to comply with requirements of the PATRIOT Act;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(xviii)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other assurances, certificates, documents, consents or opinions as the Administrative Agent, each L/C Issuer, the Swingline Lender or the Required Lenders reasonably may require.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shall have obtained all applicable licenses, consents, permits and approvals as deemed necessary by such Lender in order to execute and perform the transactions contemplated by the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Borrowers shall have repaid Revolving Credit Loans, Swingline Loans and L/C Borrowings and/or Cash Collateralized the L/C Obligations (other than the L/C Borrowings) in an aggregate amount such that the Total Revolving Credit Outstandings do not exceed the Revolving Credit Facility in effect following the Closing Date, taking into account the instructions by the Domestic Borrower to make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transfers as may be necessary to ensure that all Outstanding Amounts and Commitments are in accordance with the Applicable Percentages of the Lenders in accordance with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fees required to be paid on or before the Closing Date shall have been paid.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The Domestic Borrower shall have paid all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w:t>
      </w:r>
      <w:r>
        <w:rPr>
          <w:rFonts w:ascii="Times New Roman" w:hAnsi="Times New Roman"/>
          <w:i/>
          <w:color w:val="000000"/>
          <w:sz w:val="22"/>
        </w:rPr>
        <w:t xml:space="preserve">provided </w:t>
      </w:r>
      <w:r>
        <w:rPr>
          <w:rFonts w:ascii="Times New Roman" w:hAnsi="Times New Roman"/>
          <w:color w:val="000000"/>
          <w:sz w:val="22"/>
        </w:rPr>
        <w:t>that such estimate shall not thereafter preclude a final settling of accounts between the Domestic Borrower and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Lenders shall have completed a due diligence investigation of the Borrowers and their respective Subsidiaries in scope, and with results, satisfactory to the Lenders, and shall have been given such access to the management, records, books of account, contracts and properties of the Borrowers and their respective Subsidiaries and shall have received such financial, business and other information regarding each of the foregoing Persons and businesses as they shall have requested.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Without limiting the generality of the provisions of the last paragraph of Section 9.03,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240" w:after="283"/>
        <w:jc w:val="both"/>
        <w:rPr>
          <w:rFonts w:ascii="Times New Roman" w:hAnsi="Times New Roman"/>
          <w:sz w:val="20"/>
        </w:rPr>
      </w:pPr>
      <w:r>
        <w:rPr>
          <w:rFonts w:ascii="Times New Roman" w:hAnsi="Times New Roman"/>
          <w:i/>
          <w:color w:val="000000"/>
          <w:sz w:val="22"/>
        </w:rPr>
        <w:t>Section 4.02. Conditions to all Credit Extensions</w:t>
      </w:r>
      <w:r>
        <w:rPr>
          <w:rFonts w:ascii="Times New Roman" w:hAnsi="Times New Roman"/>
          <w:color w:val="000000"/>
          <w:sz w:val="22"/>
        </w:rPr>
        <w:t>. The obligation of each Lender to honor any Request for Credit Extension (other than a Committed Loan Notice requesting only a conversion of Loans to the other Type, or a continuation of Term SOFR Loans or Alternative Currency Term Rate Loans) is subject to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representations and warranties of the Borrowers and each other Loan Party contained in Article V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Section 4.02, the representations and warranties contained in subsections (a) and (b) of Section 5.05 shall be deemed to refer to the most recent statements furnished pursuant to subsections (a) and (b), respectively, of Section 6.01; </w:t>
      </w:r>
      <w:r>
        <w:rPr>
          <w:rFonts w:ascii="Times New Roman" w:hAnsi="Times New Roman"/>
          <w:i/>
          <w:color w:val="000000"/>
          <w:sz w:val="22"/>
        </w:rPr>
        <w:t xml:space="preserve">provided </w:t>
      </w:r>
      <w:r>
        <w:rPr>
          <w:rFonts w:ascii="Times New Roman" w:hAnsi="Times New Roman"/>
          <w:color w:val="000000"/>
          <w:sz w:val="22"/>
        </w:rPr>
        <w:t>that any representation and warranty that is qualified by materiality or Material Adverse Effect shall be required to be true and correct in all respects.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 shall exist, or would result from such proposed Credit Extension or from the application of the proceeds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and, if applicable, the applicable L/C Issuer or the Swingline Lender shall have received a Request for Credit Extension in accordance with the requirements 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 Credit Extension to be denominated in an Alternative Currency, such currency remains an Eligible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be no impediment, restriction, limitation or prohibition imposed under Law or by any Governmental Authority, as to the proposed financing under this Agreement or the repayment thereof or as to rights created under any Loan Document or as to application of the proceeds of the realization of any such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Request for Credit Extension (other than a Committed Loan Notice requesting only a conversion of Loans to the other Type or a continuation of Term SOFR Loans or Alternative Currency Term Rate Loans) submitted by the Borrowers shall be deemed to be a representation and warranty that the conditions specified in Sections 4.02(a) and (b) have been satisfied on and as of the date of the applicable Credit Extension.</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REPRESENTATIONS AND WARRANTIES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and each other Loan Party, represents and warrants to the Administrative Agent and the Lenders that:</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5.01. Existence, Qualification and Power</w:t>
      </w:r>
      <w:r>
        <w:rPr>
          <w:rFonts w:ascii="Times New Roman" w:hAnsi="Times New Roman"/>
          <w:color w:val="000000"/>
          <w:sz w:val="22"/>
        </w:rPr>
        <w:t>. Each Loan Party and each Subsidiary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hereby, and (c) is duly qualified and is licensed and, as applicable, in good standing under the Laws of each jurisdiction where its ownership, lease or operation of properties or the conduct of its business requires such qualification or license; except in each case referred to in clauses (b)(i) or (c), to the extent that failure to do so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5.02. Authorization; No Contravention</w:t>
      </w:r>
      <w:r>
        <w:rPr>
          <w:rFonts w:ascii="Times New Roman" w:hAnsi="Times New Roman"/>
          <w:color w:val="000000"/>
          <w:sz w:val="22"/>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5.03. Governmental Authorization; Other Consents</w:t>
      </w:r>
      <w:r>
        <w:rPr>
          <w:rFonts w:ascii="Times New Roman" w:hAnsi="Times New Roman"/>
          <w:color w:val="000000"/>
          <w:sz w:val="22"/>
        </w:rPr>
        <w:t>. No approval, consent, exemption,authorization,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prior to the Closing Date and (ii) filings to perfect the Liens created by the Collateral Documents.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5.04. Binding Effect</w:t>
      </w:r>
      <w:r>
        <w:rPr>
          <w:rFonts w:ascii="Times New Roman" w:hAnsi="Times New Roman"/>
          <w:color w:val="000000"/>
          <w:sz w:val="22"/>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5.05. Financial Statements; No Material Adverse Effect</w:t>
      </w:r>
      <w:r>
        <w:rPr>
          <w:rFonts w:ascii="Times New Roman" w:hAnsi="Times New Roman"/>
          <w:color w:val="000000"/>
          <w:sz w:val="22"/>
        </w:rPr>
        <w:t>. (a) The Audited Financial Statements (i) were prepared in accordance with GAAP consistently applied throughout the period covered thereby, except as otherwise expressly noted therein; (ii) fairly present the financial condition of the Domestic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Domestic Borrower and its Subsidiaries as of the date thereof, including liabilities for taxes, material commitments and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unaudited consolidated and consolidating balance sheets of the Domestic Borrower and its Subsidiaries dated March 31, 2023, and the related consolidated and consolidating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Domestic Borrower and its Subsidiaries as of the date thereof and their results of operations for the period covered thereby, subject, in the case of clauses (i) and (ii), to the absence of footnotes and to normal year-end audit adjustments.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Since the date of the Audited Financial Statements, there has been no event or circumstance, either individually or in the aggregate, that has had or could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consolidated and consolidating forecasted balance sheets, statements of income and cash flows of the Domestic Borrower and its Subsidiaries delivered pursuant to Section 4.01 or Section 6.01(c) were prepared in good faith on the basis of the assumptions stated therein, which assumptions were fair in light of the conditions existing at the time of delivery of such forecasts, and represented, at the time of delivery, the Domestic Borrower’s best estimate of its future financial condition and performance.</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5.06. Litigation</w:t>
      </w:r>
      <w:r>
        <w:rPr>
          <w:rFonts w:ascii="Times New Roman" w:hAnsi="Times New Roman"/>
          <w:color w:val="000000"/>
          <w:sz w:val="22"/>
        </w:rPr>
        <w:t>. There are no actions, suits, proceedings, claims or disputes pending or, to the knowledge of the Domestic Borrower after due and diligent investigation, threatened or contemplated, at law, in equity, in arbitration or before any Governmental Authority, by or against the Domestic Borrower or any of its Subsidiaries or against any of their properties or revenues that (a) purport to affect or pertain to this Agreement, any other Loan Document or any of the transactions contemplated hereby, or (b) either individually or in the aggregate, if determined adversely,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5.07. No Default</w:t>
      </w:r>
      <w:r>
        <w:rPr>
          <w:rFonts w:ascii="Times New Roman" w:hAnsi="Times New Roman"/>
          <w:color w:val="000000"/>
          <w:sz w:val="22"/>
        </w:rPr>
        <w:t>. 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5.08. Ownership of Property; Liens; Investments</w:t>
      </w:r>
      <w:r>
        <w:rPr>
          <w:rFonts w:ascii="Times New Roman" w:hAnsi="Times New Roman"/>
          <w:color w:val="000000"/>
          <w:sz w:val="22"/>
        </w:rPr>
        <w:t>. (a) Each Loan Party and each Subsidiary thereof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The property of each Loan Party and each of its Subsidiaries is subject to no Liens, other than Liens permitted by Section 7.01 and as set forth on Schedule 5.08(b)</w:t>
      </w:r>
      <w:r>
        <w:rPr>
          <w:color w:val="0000FF"/>
          <w:u w:val="single"/>
        </w:rPr>
        <w:t xml:space="preserve"> </w:t>
      </w:r>
      <w:r>
        <w:rPr>
          <w:rFonts w:ascii="Times New Roman" w:hAnsi="Times New Roman"/>
          <w:color w:val="0000FF"/>
          <w:sz w:val="22"/>
          <w:u w:val="single"/>
        </w:rPr>
        <w:t>(subject to Section 10 of the</w:t>
      </w:r>
      <w:r>
        <w:rPr>
          <w:color w:val="0000FF"/>
        </w:rPr>
        <w:t xml:space="preserve"> </w:t>
      </w:r>
      <w:r>
        <w:rPr>
          <w:rFonts w:ascii="Times New Roman" w:hAnsi="Times New Roman"/>
          <w:color w:val="0000FF"/>
          <w:sz w:val="22"/>
          <w:u w:val="single"/>
        </w:rPr>
        <w:t>Amendment No. 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FF"/>
          <w:sz w:val="22"/>
          <w:u w:val="single"/>
        </w:rPr>
        <w:t>Subject to Section 10 of the Amendment No. 1,</w:t>
      </w:r>
      <w:r>
        <w:rPr>
          <w:color w:val="0000FF"/>
        </w:rPr>
        <w:t xml:space="preserve"> </w:t>
      </w:r>
      <w:r>
        <w:rPr>
          <w:rFonts w:ascii="Times New Roman" w:hAnsi="Times New Roman"/>
          <w:color w:val="000000"/>
          <w:sz w:val="22"/>
        </w:rPr>
        <w:t>Schedule 5.08(c) sets forth a complete and accurate list of all real property owned by each Loan Party and each of its Subsidiaries, showing as of the date hereof the street address, county or other relevant jurisdiction, state, record owner and book value thereof, and identifying whether such real property is Material Real Property. Each Loan Party and each of its Subsidiaries has good, marketable and insurable fee simple title to the real property owned by such Loan Party or such Subsidiary, free and clear of all Liens, other than Liens created or permitted by the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FF"/>
          <w:sz w:val="22"/>
          <w:u w:val="single"/>
        </w:rPr>
        <w:t xml:space="preserve">Subject to Section 10 of the Amendment No. 1, </w:t>
      </w:r>
      <w:r>
        <w:rPr>
          <w:rFonts w:ascii="Times New Roman" w:hAnsi="Times New Roman"/>
          <w:color w:val="000000"/>
          <w:sz w:val="22"/>
        </w:rPr>
        <w:t xml:space="preserve">Schedule 5.08(d)(i) sets forth a complete and accurate list of all leases of real property under which any Loan Party or any Subsidiary of a Loan Party is the lessee, showing as of the date hereof the street address, county or other relevant jurisdiction, state, lessor, lessee, expiration date and annual rental cost thereof. Each lease is the legal, valid and binding obligation of the lessor thereof, enforceable in accordance with its terms except to the extent that failure of such lease to be so enforceable would not, or could not reasonably be expected to, result in a Material Adverse Effect. </w:t>
      </w:r>
      <w:r>
        <w:rPr>
          <w:rFonts w:ascii="Times New Roman" w:hAnsi="Times New Roman"/>
          <w:color w:val="0000FF"/>
          <w:sz w:val="22"/>
          <w:u w:val="single"/>
        </w:rPr>
        <w:t xml:space="preserve">Subject to Section 10 of the Amendment No. 1, </w:t>
      </w:r>
      <w:r>
        <w:rPr>
          <w:rFonts w:ascii="Times New Roman" w:hAnsi="Times New Roman"/>
          <w:color w:val="000000"/>
          <w:sz w:val="22"/>
        </w:rPr>
        <w:t>Schedule 5.08(d)(ii) sets forth a complete and accurate list of all leases of real property under which any Loan Party or any Subsidiary of a Loan Party is the lessor, showing as of the date hereof the street address, county or other relevant jurisdiction, state, lessor, lessee, expiration date and annual rental cost thereof. Each lease is the legal, valid and binding obligation of the lessee thereof, enforceable in accordance with its terms except to the extent that failure of such lease to be so enforceable would not, or could not reasonably be expected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FF"/>
          <w:sz w:val="22"/>
          <w:u w:val="single"/>
        </w:rPr>
        <w:t>Subject to Section 10 of the Amendment No. 1,</w:t>
      </w:r>
      <w:r>
        <w:rPr>
          <w:color w:val="0000FF"/>
        </w:rPr>
        <w:t xml:space="preserve"> </w:t>
      </w:r>
      <w:r>
        <w:rPr>
          <w:rFonts w:ascii="Times New Roman" w:hAnsi="Times New Roman"/>
          <w:color w:val="000000"/>
          <w:sz w:val="22"/>
        </w:rPr>
        <w:t>Schedule 5.08(e) sets forth a complete and accurate list of all Investments held by any Loan Party or any Subsidiary of a Loan Party on the date hereof, showing as of the date hereof the amount, obligor or issuer and maturity, if any, thereof.</w:t>
      </w:r>
    </w:p>
    <w:p>
      <w:pPr>
        <w:pStyle w:val="TextBody"/>
        <w:bidi w:val="0"/>
        <w:spacing w:before="240" w:after="283"/>
        <w:jc w:val="both"/>
        <w:rPr>
          <w:rFonts w:ascii="Times New Roman" w:hAnsi="Times New Roman"/>
          <w:sz w:val="20"/>
        </w:rPr>
      </w:pPr>
      <w:r>
        <w:rPr>
          <w:rFonts w:ascii="Times New Roman" w:hAnsi="Times New Roman"/>
          <w:i/>
          <w:color w:val="000000"/>
          <w:sz w:val="22"/>
        </w:rPr>
        <w:t>Section 5.09. Environmental Compliance</w:t>
      </w:r>
      <w:r>
        <w:rPr>
          <w:rFonts w:ascii="Times New Roman" w:hAnsi="Times New Roman"/>
          <w:color w:val="000000"/>
          <w:sz w:val="22"/>
        </w:rPr>
        <w:t>. (a)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each Borrower has reasonably concluded that such Environmental Laws and claims could not, individually or in the aggregate, reasonably be expected to have a Material Adverse Effect. Except as otherwise set forth in Schedule 5.09, none of the properties currently or formerly owned or operated by any Loan Party or any of its Subsidiaries is listed or proposed for listing on the NPL or on the CERCLIS or any analogous foreign, state or local list or is adjacent to any such property;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any of its Subsidiaries or, to the best of the knowledge of the Loan Parties, on any property formerly owned or operated by any Loan Party or any of its Subsidiaries; there is no asbestos or asbestos-containing material on any property currently owned or operated by any Loan Party or any of its Subsidiaries; and Hazardous Materials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have not been released, discharged or disposed of on any property currently or formerly owned or operated by any Loan Party or any of its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Authority or the requirements of any Environmental Law; and all Hazardous Materials generated, used, treated, handled or stored at, or transported to or from, any property currently or formerly owned or operated by any Loan Party or any of its Subsidiaries have been disposed of in a manner not reasonably expected to result in material liability to any Loan Party or any of its Subsidiaries.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5.10. Insurance</w:t>
      </w:r>
      <w:r>
        <w:rPr>
          <w:rFonts w:ascii="Times New Roman" w:hAnsi="Times New Roman"/>
          <w:color w:val="000000"/>
          <w:sz w:val="22"/>
        </w:rPr>
        <w:t>. The properties of the Domestic Borrower and its Subsidiaries are insured with financially sound and reputable insurance companies not Affiliates of the Domestic Borrower or its Subsidiaries, in such amounts, with such deductibles and covering such risks as are customarily carried by companies engaged in similar businesses and owning similar properties in localities where any Borrower or the applicable Subsidiary operates. The general liability, casualty, property, terrorism and business interruption insurance coverage of the Loan Parties as in effect on the Closing Date, and as of the last date such Schedule was required to be updated in accordance with Sections 6.02 and 6.13, is outlined as to carrier, policy number, expiration date, type, amount and deductibles on Schedule 5.10</w:t>
      </w:r>
      <w:r>
        <w:rPr>
          <w:rFonts w:ascii="Times New Roman" w:hAnsi="Times New Roman"/>
          <w:color w:val="0000FF"/>
          <w:sz w:val="20"/>
          <w:u w:val="single"/>
        </w:rPr>
        <w:t xml:space="preserve"> </w:t>
      </w:r>
      <w:r>
        <w:rPr>
          <w:rFonts w:ascii="Times New Roman" w:hAnsi="Times New Roman"/>
          <w:color w:val="0000FF"/>
          <w:sz w:val="22"/>
          <w:u w:val="single"/>
        </w:rPr>
        <w:t>(subject to</w:t>
      </w:r>
      <w:r>
        <w:rPr>
          <w:rFonts w:ascii="Times New Roman" w:hAnsi="Times New Roman"/>
          <w:color w:val="0000FF"/>
          <w:sz w:val="20"/>
        </w:rPr>
        <w:t xml:space="preserve"> </w:t>
      </w:r>
      <w:r>
        <w:rPr>
          <w:rFonts w:ascii="Times New Roman" w:hAnsi="Times New Roman"/>
          <w:color w:val="0000FF"/>
          <w:sz w:val="22"/>
          <w:u w:val="single"/>
        </w:rPr>
        <w:t>Section 10 of the Amendment No. 1)</w:t>
      </w:r>
      <w:r>
        <w:rPr>
          <w:rFonts w:ascii="Times New Roman" w:hAnsi="Times New Roman"/>
          <w:color w:val="0000FF"/>
          <w:sz w:val="20"/>
        </w:rPr>
        <w:t xml:space="preserve"> </w:t>
      </w:r>
      <w:r>
        <w:rPr>
          <w:rFonts w:ascii="Times New Roman" w:hAnsi="Times New Roman"/>
          <w:color w:val="000000"/>
          <w:sz w:val="22"/>
        </w:rPr>
        <w:t>and such insurance coverage complies with the requirements set forth in this Agreement and the other Loan Documents.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5.11. Taxes</w:t>
      </w:r>
      <w:r>
        <w:rPr>
          <w:rFonts w:ascii="Times New Roman" w:hAnsi="Times New Roman"/>
          <w:color w:val="000000"/>
          <w:sz w:val="22"/>
        </w:rPr>
        <w:t>. (a) The Domestic Borrower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Domestic Borrower or any Subsidiary that would, if made, have a Material Adverse Effect. Neither any Loan Party nor any Subsidiary thereof is party to any tax sharing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is no tax, levy, impost, duty, fee, assessment or other governmental charge, or any deduction or withholding, imposed by any Governmental Authority in or of the jurisdiction in which the Foreign Borrower is organized and existing either (i) on or by virtue of the execution or delivery of any Loan Documents or (ii) on any payment to be made by or on account of the Foreign Borrower pursuant to any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Foreign Borrower is resident for Tax purposes only in the United Kingdom.</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5.12. ERISA Compliance</w:t>
      </w:r>
      <w:r>
        <w:rPr>
          <w:rFonts w:ascii="Times New Roman" w:hAnsi="Times New Roman"/>
          <w:color w:val="000000"/>
          <w:sz w:val="22"/>
        </w:rPr>
        <w:t>. (a) 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Domestic Borrower, nothing has occurred that would prevent or cause the loss of such tax-qualified status.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pending or, to the best knowledge of the Domestic Borrower, threatened claims, actions or lawsuits, or action by any Governmental Authority, with respect to any Plan or Multiemployer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No ERISA Event has occurred, and neither the Domestic Borrower nor any ERISA Affiliate is aware of any fact, event or circumstance that could reasonably be expected to constitute or result in an ERISA Event; (ii) the Domestic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Domestic Borrower nor any ERISA Affiliate knows of any facts or circumstances that could reasonably be expected to cause the funding target attainment percentage for any such plan to drop below 60% as of the most recent valuation date; (iv) neither the Domestic Borrower nor any ERISA Affiliate has incurred any liability to the PBGC other than for the payment of premiums, and there are no premium payments which have become due that are unpaid; (v) neither the Domestic Borrower nor any ERISA Affiliate has engaged in a transaction that could be subject to Section 4069 or Section 4212(c) of ERISA; and (vi)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Schedule 5.12(d) hereto lists, as of the Closing Date, all Pension Plans, Foreign Pension Plans and Multiemployer Plans and, thereafter, as of each date on which such Schedule is updated pursuant to Section 6.02(i</w:t>
      </w:r>
      <w:r>
        <w:rPr>
          <w:rFonts w:ascii="Times New Roman" w:hAnsi="Times New Roman"/>
          <w:color w:val="0000FF"/>
          <w:sz w:val="22"/>
          <w:u w:val="single"/>
        </w:rPr>
        <w:t>) (subject to Section 10 of the Amendment No. 1</w:t>
      </w:r>
      <w:r>
        <w:rPr>
          <w:rFonts w:ascii="Times New Roman" w:hAnsi="Times New Roman"/>
          <w:color w:val="000000"/>
          <w:sz w:val="22"/>
        </w:rPr>
        <w:t>), any new Pension Plans, Foreign Pension Plans or Multiemployer Plans for which any Borrower, any Subsidiary or any ERISA Affiliate could have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Except as, in the aggregate, could not reasonably be expected to have a Material Adverse Effect: (i) each Foreign Pension Plan is in compliance and in good standing (to the extent such concept exists in the relevant jurisdiction) with all laws, regulations and rules applicable thereto, including all funding requirements, and the respective requirements of the governing documents for such Foreign Pension Plan; (ii) with respect to each Foreign Pension Plan maintained or contributed to by any Loan Party or any Subsidiary thereof, (A) that is required by Applicable Law to be funded in a trust or other funding vehicle, the aggregate of the accumulated benefit obligations under such Foreign Pension Plan does not exceed to any material extent the current fair market value of the assets held in the trusts or similar funding vehicles for such Foreign Pension Plan and (B) that is not required by Applicable Law to be funded in a trust or other funding vehicle, reasonable reserves have been established in accordance with prudent business practice or where required by ordinary accounting practices in the jurisdiction in which such Foreign Pension Plan is maintained; (iii) there are no actions, suits or claims (other than routine claims for benefits) pending or, to the best knowledge of any Loan Party or any Subsidiary thereof, threatened against any Loan Party or any Subsidiary thereof with respect to any Foreign Pension Plan; (iv) all contributions (including, where applicable, “normal cost”, “special payments” and any other payment in respect of any funding deficiencies or shortfalls) required to have been made by any Loan Party or any Subsidiary thereof to any Foreign Pension Plan have been made within the time required by law or by the terms of such Foreign Pension Plan;(v) no defined benefit Foreign Pension Plan with respect to which any Loan Party or any Subsidiary thereof could have any liability has been terminated or wound-up in whole or in part and no actions or proceedings have been taken or instituted to terminate or wind-up in whole or in part such a defined benefit Foreign Pension Plan; and (vi) no circumstances exist or event has occurred that would reasonably be expected to provide any basis for a Governmental Authority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under Applicable Law to take steps to cause the termination or wind-up, in whole or in part, of any Foreign Pension Plan or the institution of proceedings by any Governmental Authority to terminate or wind-up, in whole or in part, any Foreign Pension Plan or to have a trustee or a replacement administrator appointed to administer any Foreign Pension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are not and will not be using “plan assets” (within the meaning of 29 CFR § 2510.3-101, as modified by Section 3(42) of ERISA, or otherwise) of one or more Benefit Plans with respect to the Borrowers’ entrance into, participation in, administration of and performance of the Loans, the Letters of Credit or the Commitments.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5.13. Subsidiaries; Equity Interests; Loan Parties</w:t>
      </w:r>
      <w:r>
        <w:rPr>
          <w:rFonts w:ascii="Times New Roman" w:hAnsi="Times New Roman"/>
          <w:color w:val="000000"/>
          <w:sz w:val="22"/>
        </w:rPr>
        <w:t>. As of the Closing Date and as of the last date such Schedule was required to be updated in accordance with Sections 6.02 and 6.12</w:t>
      </w:r>
      <w:r>
        <w:rPr>
          <w:rFonts w:ascii="Times New Roman" w:hAnsi="Times New Roman"/>
          <w:color w:val="0000FF"/>
          <w:sz w:val="20"/>
          <w:u w:val="single"/>
        </w:rPr>
        <w:t xml:space="preserve"> </w:t>
      </w:r>
      <w:r>
        <w:rPr>
          <w:rFonts w:ascii="Times New Roman" w:hAnsi="Times New Roman"/>
          <w:color w:val="0000FF"/>
          <w:sz w:val="22"/>
          <w:u w:val="single"/>
        </w:rPr>
        <w:t>(subject to</w:t>
      </w:r>
      <w:r>
        <w:rPr>
          <w:rFonts w:ascii="Times New Roman" w:hAnsi="Times New Roman"/>
          <w:color w:val="0000FF"/>
          <w:sz w:val="20"/>
        </w:rPr>
        <w:t xml:space="preserve"> </w:t>
      </w:r>
      <w:r>
        <w:rPr>
          <w:rFonts w:ascii="Times New Roman" w:hAnsi="Times New Roman"/>
          <w:color w:val="0000FF"/>
          <w:sz w:val="22"/>
          <w:u w:val="single"/>
        </w:rPr>
        <w:t>Section 10 of the Amendment No. 1)</w:t>
      </w:r>
      <w:r>
        <w:rPr>
          <w:rFonts w:ascii="Times New Roman" w:hAnsi="Times New Roman"/>
          <w:color w:val="000000"/>
          <w:sz w:val="22"/>
        </w:rPr>
        <w:t>, the Domestic Borrower has no Subsidiaries other than those specifically disclosed in Part (a) of Schedule 5.13, and all of the outstanding Equity Interests in such Subsidiaries have been validly issued, are fully paid and non-assessable and are owned by the Subsidiary indicated on and in the amounts specified on Part (a) of Schedule 5.13 free and clear of all Liens except those created under the Collateral Documents and other non-consensual Permitted Liens (which non-consensual Permitted Liens shall not secure an aggregate amount in excess of the Threshold Amount). No Loan Party has equity investments in any other corporation or entity other than those specifically disclosed in Part (b) of Schedule 5.13. All of the outstanding Equity Interests in the Domestic Borrower have been validly issued, are fully paid and non-assessable. Set forth on Part (c) of Schedule 5.13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incorporation.The copies of the Organization Documents of each Loan Party provided pursuant to Section 4.01(a)(iv) and (v) are true and correct copies of each of the respective documents, each of which is valid and in full force and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5.14. Margin Regulations; Investment Company Act</w:t>
      </w:r>
      <w:r>
        <w:rPr>
          <w:rFonts w:ascii="Times New Roman" w:hAnsi="Times New Roman"/>
          <w:color w:val="000000"/>
          <w:sz w:val="22"/>
        </w:rPr>
        <w:t>. (a) Borrowers are not engaged, nor will they engage, principally or as one of their important activities, in the business of purchasing or carrying margin stock (within the meaning of Regulation U</w:t>
      </w:r>
      <w:r>
        <w:rPr>
          <w:rFonts w:ascii="Times New Roman" w:hAnsi="Times New Roman"/>
          <w:strike/>
          <w:color w:val="FF0000"/>
          <w:sz w:val="20"/>
        </w:rPr>
        <w:t xml:space="preserve"> </w:t>
      </w:r>
      <w:r>
        <w:rPr>
          <w:rFonts w:ascii="Times New Roman" w:hAnsi="Times New Roman"/>
          <w:strike/>
          <w:color w:val="FF0000"/>
          <w:sz w:val="22"/>
        </w:rPr>
        <w:t>issued by the FRB</w:t>
      </w:r>
      <w:r>
        <w:rPr>
          <w:rFonts w:ascii="Times New Roman" w:hAnsi="Times New Roman"/>
          <w:color w:val="000000"/>
          <w:sz w:val="22"/>
        </w:rPr>
        <w:t>), or extending credit for the purpose of purchasing or carrying margin stock. Following the application of the proceeds of each Borrowing or drawing under each Letter of Credit, not more than twenty-five percent (25%) of the value of the assets (either of the Domestic Borrower only or of the Domestic Borrower and its Subsidiaries on a consolidated basis) subject to the provisions of Section 7.01 or Section 7.05 or subject to any restriction contained in any agreement or instrument between a Borrower and any Lender or any Affiliate of any Lender relating to Indebtedness and within the scope of Section 8.01(e) will be margin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Borrowers, any Person Controlling the Borrowers, or any Subsidiary is or is required to be registered as an “investment company” under the Investment Company Act of 1940.</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5.15. Disclosure</w:t>
      </w:r>
      <w:r>
        <w:rPr>
          <w:rFonts w:ascii="Times New Roman" w:hAnsi="Times New Roman"/>
          <w:color w:val="000000"/>
          <w:sz w:val="22"/>
        </w:rPr>
        <w:t>. The Borrowers have disclosed to the Administrative Agent and the Lenders all agreements, instruments and corporate or other restrictions to which any of them or any of their respective Subsidiaries is subject, and all other matters known to them,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statements therein, in the light of the circumstances under which they were made, not misleading; </w:t>
      </w:r>
      <w:r>
        <w:rPr>
          <w:rFonts w:ascii="Times New Roman" w:hAnsi="Times New Roman"/>
          <w:i/>
          <w:color w:val="000000"/>
          <w:sz w:val="22"/>
        </w:rPr>
        <w:t xml:space="preserve">provided </w:t>
      </w:r>
      <w:r>
        <w:rPr>
          <w:rFonts w:ascii="Times New Roman" w:hAnsi="Times New Roman"/>
          <w:color w:val="000000"/>
          <w:sz w:val="22"/>
        </w:rPr>
        <w:t>that, with respect to projected financial information, the Borrowers represent only that such information was prepared in good faith based upon assumptions believed to be reasonable at the time.</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5.16. Compliance with Laws</w:t>
      </w:r>
      <w:r>
        <w:rPr>
          <w:rFonts w:ascii="Times New Roman" w:hAnsi="Times New Roman"/>
          <w:color w:val="000000"/>
          <w:sz w:val="22"/>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5.17. Intellectual Property; Licenses, Etc. </w:t>
      </w:r>
      <w:r>
        <w:rPr>
          <w:rFonts w:ascii="Times New Roman" w:hAnsi="Times New Roman"/>
          <w:color w:val="000000"/>
          <w:sz w:val="22"/>
        </w:rPr>
        <w:t xml:space="preserve">The Domestic Borrower and each of its Subsidiaries own, or possess the right to use, all of the trademarks, service marks, trade names, copyrights, patents, patent rights, franchises, licenses and other intellectual property rights (collectively, </w:t>
      </w:r>
      <w:r>
        <w:rPr>
          <w:rFonts w:ascii="Times New Roman" w:hAnsi="Times New Roman"/>
          <w:color w:val="000000"/>
          <w:sz w:val="20"/>
        </w:rPr>
        <w:t>“</w:t>
      </w:r>
      <w:r>
        <w:rPr>
          <w:rFonts w:ascii="Times New Roman" w:hAnsi="Times New Roman"/>
          <w:i/>
          <w:color w:val="000000"/>
          <w:sz w:val="22"/>
        </w:rPr>
        <w:t>IP Rights”</w:t>
      </w:r>
      <w:r>
        <w:rPr>
          <w:rFonts w:ascii="Times New Roman" w:hAnsi="Times New Roman"/>
          <w:color w:val="000000"/>
          <w:sz w:val="22"/>
        </w:rPr>
        <w:t>) that are reasonably necessary for the operation of their respective businesses, without conflict with the rights of any other Person. To the best knowledge of the Domestic Borrower, no slogan or other advertising device, product, process, method, substance, part or other material now employed, or now contemplated to be employed, by the Domestic Borrower or any of its Subsidiaries infringes upon any rights held by any other Person. Except as specifically disclosed in Schedule 5.17, no claim or litigation regarding any of the foregoing is pending or, to the best knowledge of the Borrowers, threatened, which, either individually or in the aggregate,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5.18. Sanctions Concerns and Anti-Corruption Laws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Sanctions Concerns</w:t>
      </w:r>
      <w:r>
        <w:rPr>
          <w:rFonts w:ascii="Times New Roman" w:hAnsi="Times New Roman"/>
          <w:color w:val="000000"/>
          <w:sz w:val="22"/>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Domestic Borrower and its Subsidiaries have conducted their businesses in compliance in all material respects with all applicable Sanctions and have instituted and maintained policies and procedures designed to promote and achieve compliance with such Sanctions.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Anti-Corruption Laws</w:t>
      </w:r>
      <w:r>
        <w:rPr>
          <w:rFonts w:ascii="Times New Roman" w:hAnsi="Times New Roman"/>
          <w:color w:val="000000"/>
          <w:sz w:val="22"/>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5.19. Solvency</w:t>
      </w:r>
      <w:r>
        <w:rPr>
          <w:rFonts w:ascii="Times New Roman" w:hAnsi="Times New Roman"/>
          <w:color w:val="000000"/>
          <w:sz w:val="22"/>
        </w:rPr>
        <w:t>. Each Loan Party is, individually and together with its Subsidiaries on a consolidated basis, Solvent.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5.20. Labor Matters</w:t>
      </w:r>
      <w:r>
        <w:rPr>
          <w:rFonts w:ascii="Times New Roman" w:hAnsi="Times New Roman"/>
          <w:color w:val="000000"/>
          <w:sz w:val="22"/>
        </w:rPr>
        <w:t>. There are no collective bargaining agreements or Multiemployer Plans covering the employees of the Domestic Borrower or any of its Subsidiaries as of the Closing Date and neither the Domestic Borrower nor any Subsidiary has suffered any strikes, walkouts, work stoppages or other material labor difficulty within the last five years.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5.21. Collateral Documents</w:t>
      </w:r>
      <w:r>
        <w:rPr>
          <w:rFonts w:ascii="Times New Roman" w:hAnsi="Times New Roman"/>
          <w:color w:val="000000"/>
          <w:sz w:val="22"/>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5.22. European Insolvency Regulation</w:t>
      </w:r>
      <w:r>
        <w:rPr>
          <w:rFonts w:ascii="Times New Roman" w:hAnsi="Times New Roman"/>
          <w:color w:val="000000"/>
          <w:sz w:val="22"/>
        </w:rPr>
        <w:t xml:space="preserve">. Each of the Foreign Borrower and Diodes Zetex Limited are incorporated in a jurisdiction where Regulation (EU) No 2015/848 of the European Parliament and of the Council on insolvency proceedings of 20 May 2015, as it forms part of retained EU law as defined in the European Union (Withdrawal) Act 2018 as amended from time to time (the </w:t>
      </w:r>
      <w:r>
        <w:rPr>
          <w:rFonts w:ascii="Times New Roman" w:hAnsi="Times New Roman"/>
          <w:color w:val="000000"/>
          <w:sz w:val="20"/>
        </w:rPr>
        <w:t>“</w:t>
      </w:r>
      <w:r>
        <w:rPr>
          <w:rFonts w:ascii="Times New Roman" w:hAnsi="Times New Roman"/>
          <w:i/>
          <w:color w:val="000000"/>
          <w:sz w:val="22"/>
        </w:rPr>
        <w:t>Insolvency Regulation”</w:t>
      </w:r>
      <w:r>
        <w:rPr>
          <w:rFonts w:ascii="Times New Roman" w:hAnsi="Times New Roman"/>
          <w:color w:val="000000"/>
          <w:sz w:val="22"/>
        </w:rPr>
        <w:t>) applies, its center of main interest (as that term is used in section 3(1) of the Insolvency Regulation) is situated in its jurisdiction of incorporation, and it has no establishment (as defined in section 2(10) of the Insolvency Regulation) in any other jurisdiction.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5.23. Beneficial Ownership Certificate</w:t>
      </w:r>
      <w:r>
        <w:rPr>
          <w:rFonts w:ascii="Times New Roman" w:hAnsi="Times New Roman"/>
          <w:color w:val="000000"/>
          <w:sz w:val="22"/>
        </w:rPr>
        <w:t>. The information included in the Beneficial Ownership Certification most recently provided to each Lender, if applicable, is true and correct in all respects.</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Section 5.24. [Reserved].</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5.25. Representations as to Foreign Loan Parties</w:t>
      </w:r>
      <w:r>
        <w:rPr>
          <w:rFonts w:ascii="Times New Roman" w:hAnsi="Times New Roman"/>
          <w:color w:val="000000"/>
          <w:sz w:val="22"/>
        </w:rPr>
        <w:t>. Each of the Domestic Borrower and each Foreign Loan Party represents and warrants to the Administrative Agent and the Lenders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Such Foreign Loan Party is subject to civil and commercial Laws with respect to its obligations under this Agreement and the other Loan Documents to which it is a party (collectively as to such Foreign Loan Party, the “</w:t>
      </w:r>
      <w:r>
        <w:rPr>
          <w:rFonts w:ascii="Times New Roman" w:hAnsi="Times New Roman"/>
          <w:i/>
          <w:color w:val="000000"/>
          <w:sz w:val="22"/>
        </w:rPr>
        <w:t>Applicable Foreign Loan Party Documents</w:t>
      </w:r>
      <w:r>
        <w:rPr>
          <w:color w:val="000000"/>
        </w:rPr>
        <w:t>”</w:t>
      </w:r>
      <w:r>
        <w:rPr>
          <w:rFonts w:ascii="Times New Roman" w:hAnsi="Times New Roman"/>
          <w:color w:val="000000"/>
          <w:sz w:val="22"/>
        </w:rPr>
        <w:t>), and the execution, delivery and performance by such Foreign Loan Party of the Applicable Foreign Loan Party Documents constitute and will constitute private and commercial acts and not public or governmental acts. Neither such Foreign Loan Party nor any of its property has any immunity from jurisdiction of any court or from any legal process (whether through service or notice, attachment prior to judgment, attachment in aid of execution, execution or otherwise) under the laws of the jurisdiction in which such Foreign Loan Party is organized and existing in respect of its obligations under the Applicable Foreign Loan Party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Applicable Foreign Loan Party Documents are in proper legal form under the Laws of the jurisdiction in which such Foreign Loan Party is organized and existing for the enforcement thereof against such Foreign Loan Party under the Laws of such jurisdiction, and to ensure the legality, validity, enforceability, priority or admissibility in evidence of the Applicable Foreign Loan Party Documents. It is not necessary to ensure the legality, validity, enforceability, priority or admissibility in evidence of the Applicable Foreign Loan Party Documents that the Applicable Foreign Loan Party Documents be filed, registered or recorded with, or executed or notarized before, any court or other authority in the jurisdiction in which such Foreign Loan Party is organized and existing or that any registration charge or stamp or similar tax be paid on or in respect of the Applicable Foreign Loan Party Documents or any other document, except for (i) any such filing, registration, recording, execution or notarization as has been made or will be made in accordance with the provisions of the relevant Foreign Security Agreements or is not required to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 made until the Applicable Foreign Loan Party Document or any other document is sought to be enforced and (ii) any charge or tax as has been timely paid.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is no tax, levy, impost, duty, fee, assessment or other governmental charge, or any deduction or withholding, imposed by any Governmental Authority in or of the jurisdiction in which such Foreign Loan Party is organized and existing either (i) on or by virtue of the execution or delivery of the Applicable Foreign Loan Party Documents or (ii) on any payment to be made by such Foreign Loan Party pursuant to the Applicable Foreign Loan Party Documents, except as has been disclosed to the Administrative Agent. It is not required under the Laws of the jurisdiction in which the Foreign Borrower is incorporated or resident or at the address specified for the Foreign Borrower on Schedule 11.02 to make any deduction for or on account of Tax from any payment it may make under any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execution, delivery and performance of the Applicable Foreign Loan Party Documents executed by such Foreign Loan Party are, under applicable foreign exchange control regulations of the jurisdiction in which such Foreign Loan Party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choice of the law of the State of New York as the governing law of the Loan Documents will be recognized and enforced in the Foreign Borrower’s jurisdiction of incorporation and any judgment obtained in New York in relation to a Loan Document will be recognized and enforced in the Foreign Borrower’s jurisdiction of incorporation.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Under the Laws of the jurisdiction in which the Foreign Borrower is incorporated it is not necessary that the Loan Documents be filed, recorded or enrolled with any court or other authority in that jurisdiction or that any stamp, registration or similar tax be paid on or in relation to the Loan Documents or the transactions contemplated by the Loan Documents.</w:t>
      </w:r>
    </w:p>
    <w:p>
      <w:pPr>
        <w:pStyle w:val="TextBody"/>
        <w:bidi w:val="0"/>
        <w:spacing w:before="240" w:after="283"/>
        <w:jc w:val="both"/>
        <w:rPr>
          <w:rFonts w:ascii="Times New Roman" w:hAnsi="Times New Roman"/>
          <w:sz w:val="20"/>
        </w:rPr>
      </w:pPr>
      <w:r>
        <w:rPr>
          <w:rFonts w:ascii="Times New Roman" w:hAnsi="Times New Roman"/>
          <w:i/>
          <w:color w:val="000000"/>
          <w:sz w:val="22"/>
        </w:rPr>
        <w:t>Section 5.26. Covered Entities</w:t>
      </w:r>
      <w:r>
        <w:rPr>
          <w:rFonts w:ascii="Times New Roman" w:hAnsi="Times New Roman"/>
          <w:color w:val="000000"/>
          <w:sz w:val="22"/>
        </w:rPr>
        <w:t>. No Loan Party is a Covered Entity.</w:t>
      </w:r>
    </w:p>
    <w:p>
      <w:pPr>
        <w:pStyle w:val="TextBody"/>
        <w:bidi w:val="0"/>
        <w:spacing w:before="240" w:after="283"/>
        <w:jc w:val="both"/>
        <w:rPr>
          <w:rFonts w:ascii="Times New Roman" w:hAnsi="Times New Roman"/>
          <w:sz w:val="20"/>
        </w:rPr>
      </w:pPr>
      <w:r>
        <w:rPr>
          <w:rFonts w:ascii="Times New Roman" w:hAnsi="Times New Roman"/>
          <w:i/>
          <w:color w:val="0000FF"/>
          <w:sz w:val="22"/>
          <w:u w:val="single"/>
        </w:rPr>
        <w:t>Section 5.27.</w:t>
      </w:r>
      <w:r>
        <w:rPr>
          <w:rFonts w:ascii="Times New Roman" w:hAnsi="Times New Roman"/>
          <w:color w:val="0000FF"/>
          <w:sz w:val="20"/>
        </w:rPr>
        <w:t xml:space="preserve"> </w:t>
      </w:r>
      <w:r>
        <w:rPr>
          <w:rFonts w:ascii="Times New Roman" w:hAnsi="Times New Roman"/>
          <w:i/>
          <w:color w:val="0000FF"/>
          <w:sz w:val="22"/>
          <w:u w:val="single"/>
        </w:rPr>
        <w:t xml:space="preserve">Outbound Investment Rules. </w:t>
      </w:r>
      <w:r>
        <w:rPr>
          <w:rFonts w:ascii="Times New Roman" w:hAnsi="Times New Roman"/>
          <w:color w:val="0000FF"/>
          <w:sz w:val="22"/>
          <w:u w:val="single"/>
        </w:rPr>
        <w:t>None of the Borrowers nor any of their respective</w:t>
      </w:r>
      <w:r>
        <w:rPr>
          <w:rFonts w:ascii="Times New Roman" w:hAnsi="Times New Roman"/>
          <w:color w:val="0000FF"/>
          <w:sz w:val="20"/>
        </w:rPr>
        <w:t xml:space="preserve"> </w:t>
      </w:r>
      <w:r>
        <w:rPr>
          <w:rFonts w:ascii="Times New Roman" w:hAnsi="Times New Roman"/>
          <w:color w:val="0000FF"/>
          <w:sz w:val="22"/>
          <w:u w:val="single"/>
        </w:rPr>
        <w:t>Subsidiaries is a “covered foreign person” as that term is used in the Outbound Investment Rules. None of</w:t>
      </w:r>
      <w:r>
        <w:rPr>
          <w:rFonts w:ascii="Times New Roman" w:hAnsi="Times New Roman"/>
          <w:color w:val="0000FF"/>
          <w:sz w:val="20"/>
        </w:rPr>
        <w:t xml:space="preserve"> </w:t>
      </w:r>
      <w:r>
        <w:rPr>
          <w:rFonts w:ascii="Times New Roman" w:hAnsi="Times New Roman"/>
          <w:color w:val="0000FF"/>
          <w:sz w:val="22"/>
          <w:u w:val="single"/>
        </w:rPr>
        <w:t>the Borrowers nor any of their respective Subsidiaries currently engages, or has any present intention to</w:t>
      </w:r>
      <w:r>
        <w:rPr>
          <w:rFonts w:ascii="Times New Roman" w:hAnsi="Times New Roman"/>
          <w:color w:val="0000FF"/>
          <w:sz w:val="20"/>
        </w:rPr>
        <w:t xml:space="preserve"> </w:t>
      </w:r>
      <w:r>
        <w:rPr>
          <w:rFonts w:ascii="Times New Roman" w:hAnsi="Times New Roman"/>
          <w:color w:val="0000FF"/>
          <w:sz w:val="22"/>
          <w:u w:val="single"/>
        </w:rPr>
        <w:t>engage in the future, directly or indirectly, in (i) a “covered activity” or a “covered transaction”, as each</w:t>
      </w:r>
      <w:r>
        <w:rPr>
          <w:rFonts w:ascii="Times New Roman" w:hAnsi="Times New Roman"/>
          <w:color w:val="0000FF"/>
          <w:sz w:val="20"/>
        </w:rPr>
        <w:t xml:space="preserve"> </w:t>
      </w:r>
      <w:r>
        <w:rPr>
          <w:rFonts w:ascii="Times New Roman" w:hAnsi="Times New Roman"/>
          <w:color w:val="0000FF"/>
          <w:sz w:val="22"/>
          <w:u w:val="single"/>
        </w:rPr>
        <w:t>such term is defined in the Outbound Investment Rules, (ii) any activity or transaction that would constitute</w:t>
      </w:r>
      <w:r>
        <w:rPr>
          <w:rFonts w:ascii="Times New Roman" w:hAnsi="Times New Roman"/>
          <w:color w:val="0000FF"/>
          <w:sz w:val="20"/>
        </w:rPr>
        <w:t xml:space="preserve"> </w:t>
      </w:r>
      <w:r>
        <w:rPr>
          <w:rFonts w:ascii="Times New Roman" w:hAnsi="Times New Roman"/>
          <w:color w:val="0000FF"/>
          <w:sz w:val="22"/>
          <w:u w:val="single"/>
        </w:rPr>
        <w:t>a “covered activity” or a “covered transaction”, as each such term is defined in the Outbound Investment</w:t>
      </w:r>
      <w:r>
        <w:rPr>
          <w:rFonts w:ascii="Times New Roman" w:hAnsi="Times New Roman"/>
          <w:color w:val="0000FF"/>
          <w:sz w:val="20"/>
        </w:rPr>
        <w:t xml:space="preserve"> </w:t>
      </w:r>
      <w:r>
        <w:rPr>
          <w:rFonts w:ascii="Times New Roman" w:hAnsi="Times New Roman"/>
          <w:color w:val="0000FF"/>
          <w:sz w:val="22"/>
          <w:u w:val="single"/>
        </w:rPr>
        <w:t>Rules, if such Person were a United States Person, or (iii) any other activity that would cause the</w:t>
      </w:r>
      <w:r>
        <w:rPr>
          <w:rFonts w:ascii="Times New Roman" w:hAnsi="Times New Roman"/>
          <w:color w:val="0000FF"/>
          <w:sz w:val="20"/>
        </w:rPr>
        <w:t xml:space="preserve"> </w:t>
      </w:r>
      <w:r>
        <w:rPr>
          <w:rFonts w:ascii="Times New Roman" w:hAnsi="Times New Roman"/>
          <w:color w:val="0000FF"/>
          <w:sz w:val="22"/>
          <w:u w:val="single"/>
        </w:rPr>
        <w:t>Administrative Agent or the Lenders to be in violation of the Outbound Investment Rules or cause the</w:t>
      </w:r>
      <w:r>
        <w:rPr>
          <w:rFonts w:ascii="Times New Roman" w:hAnsi="Times New Roman"/>
          <w:color w:val="0000FF"/>
          <w:sz w:val="20"/>
        </w:rPr>
        <w:t xml:space="preserve"> </w:t>
      </w:r>
      <w:r>
        <w:rPr>
          <w:rFonts w:ascii="Times New Roman" w:hAnsi="Times New Roman"/>
          <w:color w:val="0000FF"/>
          <w:sz w:val="22"/>
          <w:u w:val="single"/>
        </w:rPr>
        <w:t>Administrative Agent or the Lenders to be legally prohibited by the Outbound Investment Rules from</w:t>
      </w:r>
      <w:r>
        <w:rPr>
          <w:rFonts w:ascii="Times New Roman" w:hAnsi="Times New Roman"/>
          <w:color w:val="0000FF"/>
          <w:sz w:val="20"/>
        </w:rPr>
        <w:t xml:space="preserve"> </w:t>
      </w:r>
      <w:r>
        <w:rPr>
          <w:rFonts w:ascii="Times New Roman" w:hAnsi="Times New Roman"/>
          <w:color w:val="0000FF"/>
          <w:sz w:val="22"/>
          <w:u w:val="single"/>
        </w:rPr>
        <w:t>performing under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w:t>
      </w:r>
    </w:p>
    <w:p>
      <w:pPr>
        <w:pStyle w:val="Heading2"/>
        <w:bidi w:val="0"/>
        <w:jc w:val="center"/>
        <w:rPr>
          <w:rFonts w:ascii="Times New Roman" w:hAnsi="Times New Roman"/>
          <w:color w:val="000000"/>
          <w:sz w:val="22"/>
        </w:rPr>
      </w:pPr>
      <w:r>
        <w:rPr>
          <w:rFonts w:ascii="Times New Roman" w:hAnsi="Times New Roman"/>
          <w:color w:val="000000"/>
          <w:sz w:val="22"/>
        </w:rPr>
        <w:t>AFFIRMATIVE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hereby covenants and agrees that on the Closing Date and thereafter until the Facility Termination Date, each Borrower shall, and shall (except in the case of the covenants set forth in Sections 6.01, 6.02, 6.03 and 6.11) cause each Subsidiary to:</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6.01. Financial Statements</w:t>
      </w:r>
      <w:r>
        <w:rPr>
          <w:rFonts w:ascii="Times New Roman" w:hAnsi="Times New Roman"/>
          <w:color w:val="000000"/>
          <w:sz w:val="22"/>
        </w:rPr>
        <w:t>. Deliver to the Administrative Agent and each Lender, in form and detail satisfactory to the Administrative Agent and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soon as available, but in any event within 90 days after the end of each fiscal year of the Domestic Borrower, a consolidated and consolidating balance sheet of the Domestic Borrower and its Subsidiaries as at the end of such fiscal year, and the related consolidated and consolidating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an upcoming maturity date of any indebtedness for borrowed money);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soon as available, but in any event within 45 days after the end of each of the first three fiscal quarters of each fiscal year of the Domestic Borrower, a consolidated and consolidating balance sheet of the Domestic Borrower and its Subsidiaries as at the end of such fiscal quarter, the related consolidated and consolidating statements of income or operations for such fiscal quarter and for the portion of the Domestic Borrower’s fiscal year then ended, and the related consolidated and consolidating statements of changes in shareholders’ equity, and cash flows for the portion of the Domestic Borrower’s fiscal year then ended, in each case setting forth in comparative form, as applicable,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Domestic Borrower as fairly presenting the financial condition, results of operations, shareholders’ equity and cash flows of the Domestic Borrower and its Subsidiaries in accordance with GAAP, subject only to normal year-end audit adjustments and the absence of footnotes and such consolidating statements to be certified by the chief executive officer, chief financial officer, treasurer or controller of the Domestic Borrower to the effect that such statements are fairly stated in all material respects when considered in relation to the consolidated financial statements of the Domestic Borrower and its Subsidiaries;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soon as available, but in any event at least 45 days before the end of each fiscal year of the Domestic Borrower, an annual business plan and budget of the Domestic Borrower and its Subsidiaries on a consolidated basis, including forecasts prepared by management of the Domestic Borrower, in form satisfactory to the Administrative Agent and the Required Lenders, of consolidated balance sheets and statements of income or operations and cash flows of the Domestic Borrower and its Subsidiaries on a quarterly basis for the immediately following fiscal year.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6.02. Certificates; Other Information</w:t>
      </w:r>
      <w:r>
        <w:rPr>
          <w:rFonts w:ascii="Times New Roman" w:hAnsi="Times New Roman"/>
          <w:color w:val="000000"/>
          <w:sz w:val="22"/>
        </w:rPr>
        <w:t>. Deliver to the Administrative Agent and each Lender, in form and detail satisfactory to the Administrative Agent and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concurrently with the delivery of the financial statements referred to in Sections 6.01(a) and (b), a duly completed Compliance Certificate signed by the chief executive officer, chief financial officer, treasurer or controller of the Domestic Borrower (which delivery may, unless Administrative Agent, or a Lender requests executed originals, be by electronic communication including fax or email and shall be deemed to be an original authentic counterpart thereof all purposes);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any request by the Administrative Agent or any Lender, copies of any detailed audit reports, management letters or recommendations submitted to the board of directors (or the audit committee of the board of directors) of the Domestic Borrower by independent accountants in connection with the accounts or books of the Domestic Borrower or any Subsidiary, or any audit of any of them;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same are available, copies of each annual report, proxy or financial statement or other report or communication sent to the stockholders of the Domestic Borrower, and copies of all annual, regular, periodic and special reports and registration statements which the Domestic Borrower may file or be required to file with the SEC under Section 13 or 15(d) of the Securities Exchange Act of 1934, and not otherwise required to be delivered to the Administrative Agent pursuant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Section 6.01 or any other clause of this Section 6.02;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and in any event within fifteen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such additional information regarding any Foreign Pension Plans, as the Administrative Agent or any Lender may from time to time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such additional information regarding the business, financial or corporate affairs of any Loan Party or any Subsidiary thereof, or compliance with the terms of the Loan Documents, as the Administrative Agent or any Lender may from time to time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soon as available, but in any event within 30 days after the establishment thereof, a report supplementing Schedule 5.12(d) setting forth each new Pension Plan, Foreign Pension Plan or Multiemployer Plan for which any Borrower, any Subsidiary or any ERISA Affiliate could have liability as may be necessary for such Schedule to be accurate and complete, each such report to be signed by a Responsible Officer of the Domestic Borrower and to be in a form reasonably satisfactory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following any request therefor, information and documentation reasonably requested by the Administrative Agent or any Lender for purposes of compliance with applicable “know your customer” and anti-money-laundering rules and regulations, including, without limitation, the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 later than five (5) Business Days after receipt thereof by any Loan Party or any Subsidiary thereof, copies of all material notices, requests and other documents (including amendments, waivers and other modifications) so received under or pursuant to any Qualified Securitization Transaction, any Permitted Receivables Facility or any instrument, indenture, loan or credit or similar agreement and, from time to time upon request by the Administrative Agent,such information and reports regarding any Qualified Securitization Transaction, any Permitted Receivables Facility and such instruments, indentures and loan and credit and similar agreements as the Administrative Agent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Documents required to be delivered pursuant to Section 6.01(a) or (b) or Section 6.02(c) (to the extent any such documents are included in materials otherwise filed with the SEC) may be delivered electronically and if so delivered, shall be deemed to have been delivered on the date (i) on which the Domestic Borrower posts such documents, or provides a link thereto on the Domestic Borrower’s website on the Internet at the website address listed on Schedule 11.02; or (ii) on which such documents are posted on the Domestic Borrower’s behalf on an Internet or intranet website, if any, to which each Lender and the Administrative Agent have access (whether a commercial, third-party website or whether sponsored by the Administrative Agent); </w:t>
      </w:r>
      <w:r>
        <w:rPr>
          <w:rFonts w:ascii="Times New Roman" w:hAnsi="Times New Roman"/>
          <w:i/>
          <w:color w:val="000000"/>
          <w:sz w:val="22"/>
        </w:rPr>
        <w:t xml:space="preserve">provided </w:t>
      </w:r>
      <w:r>
        <w:rPr>
          <w:rFonts w:ascii="Times New Roman" w:hAnsi="Times New Roman"/>
          <w:color w:val="000000"/>
          <w:sz w:val="22"/>
        </w:rPr>
        <w:t>that: (A) the Domestic Borrower shall deliver paper copies of such documents to the Administrative Agent or any Lender upon its request to the Domestic Borrower to deliver such paper copies until a written request to cease delivering paper copies is given by the Administrative Agent or such Lender and (B) the Domestic Borrower shall notify the Administrative Agent and each Lender (by</w:t>
      </w:r>
      <w:r>
        <w:rPr>
          <w:rFonts w:ascii="Times New Roman" w:hAnsi="Times New Roman"/>
          <w:strike/>
          <w:color w:val="FF0000"/>
          <w:sz w:val="20"/>
        </w:rPr>
        <w:t xml:space="preserve"> </w:t>
      </w:r>
      <w:r>
        <w:rPr>
          <w:rFonts w:ascii="Times New Roman" w:hAnsi="Times New Roman"/>
          <w:strike/>
          <w:color w:val="FF0000"/>
          <w:sz w:val="22"/>
        </w:rPr>
        <w:t>facsimile or</w:t>
      </w:r>
      <w:r>
        <w:rPr>
          <w:rFonts w:ascii="Times New Roman" w:hAnsi="Times New Roman"/>
          <w:color w:val="FF0000"/>
          <w:sz w:val="20"/>
        </w:rPr>
        <w:t xml:space="preserve"> </w:t>
      </w:r>
      <w:r>
        <w:rPr>
          <w:rFonts w:ascii="Times New Roman" w:hAnsi="Times New Roman"/>
          <w:color w:val="000000"/>
          <w:sz w:val="22"/>
        </w:rPr>
        <w:t>electronic mail) of the posting of any such documents and provide to the Administrative Agent by electronic mail electronic versions (</w:t>
      </w:r>
      <w:r>
        <w:rPr>
          <w:rFonts w:ascii="Times New Roman" w:hAnsi="Times New Roman"/>
          <w:i/>
          <w:color w:val="000000"/>
          <w:sz w:val="22"/>
        </w:rPr>
        <w:t xml:space="preserve">i.e., </w:t>
      </w:r>
      <w:r>
        <w:rPr>
          <w:rFonts w:ascii="Times New Roman" w:hAnsi="Times New Roman"/>
          <w:color w:val="000000"/>
          <w:sz w:val="22"/>
        </w:rPr>
        <w:t>soft copies) of such documents. The Administrative Agent shall have no obligation to request the delivery of or to maintain paper copies of the documents referred to above, and in any event shall have no responsibility to monitor compliance by the Domestic Borrower with any such request by a Lender for delivery, and each Lender shall be solely responsible for requesting delivery to it or maintaining its copies of such documents.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Borrower hereby acknowledges that (a) the Administrative Agent and/or any Arranger may, but shall not be obligated to, make available to the Lenders and the L/C Issuers materials and/or information provided by or on behalf of the Borrowers hereunder (collectively, </w:t>
      </w:r>
      <w:r>
        <w:rPr>
          <w:rFonts w:ascii="Times New Roman" w:hAnsi="Times New Roman"/>
          <w:color w:val="000000"/>
          <w:sz w:val="20"/>
        </w:rPr>
        <w:t>“</w:t>
      </w:r>
      <w:r>
        <w:rPr>
          <w:rFonts w:ascii="Times New Roman" w:hAnsi="Times New Roman"/>
          <w:i/>
          <w:color w:val="000000"/>
          <w:sz w:val="22"/>
        </w:rPr>
        <w:t>Borrower Materials”</w:t>
      </w:r>
      <w:r>
        <w:rPr>
          <w:rFonts w:ascii="Times New Roman" w:hAnsi="Times New Roman"/>
          <w:color w:val="000000"/>
          <w:sz w:val="22"/>
        </w:rPr>
        <w:t xml:space="preserve">) by posting the Borrower Materials on Debt Domain, IntraLinks, Syndtrak, ClearPar or a substantially similar electronic transmission system (the </w:t>
      </w:r>
      <w:r>
        <w:rPr>
          <w:rFonts w:ascii="Times New Roman" w:hAnsi="Times New Roman"/>
          <w:color w:val="000000"/>
          <w:sz w:val="20"/>
        </w:rPr>
        <w:t>“</w:t>
      </w:r>
      <w:r>
        <w:rPr>
          <w:rFonts w:ascii="Times New Roman" w:hAnsi="Times New Roman"/>
          <w:i/>
          <w:color w:val="000000"/>
          <w:sz w:val="22"/>
        </w:rPr>
        <w:t>Platform”</w:t>
      </w:r>
      <w:r>
        <w:rPr>
          <w:rFonts w:ascii="Times New Roman" w:hAnsi="Times New Roman"/>
          <w:color w:val="000000"/>
          <w:sz w:val="22"/>
        </w:rPr>
        <w:t xml:space="preserve">) and (b) certain of the Lenders (each, a </w:t>
      </w:r>
      <w:r>
        <w:rPr>
          <w:rFonts w:ascii="Times New Roman" w:hAnsi="Times New Roman"/>
          <w:color w:val="000000"/>
          <w:sz w:val="20"/>
        </w:rPr>
        <w:t>“</w:t>
      </w:r>
      <w:r>
        <w:rPr>
          <w:rFonts w:ascii="Times New Roman" w:hAnsi="Times New Roman"/>
          <w:i/>
          <w:color w:val="000000"/>
          <w:sz w:val="22"/>
        </w:rPr>
        <w:t>Public Lender”</w:t>
      </w:r>
      <w:r>
        <w:rPr>
          <w:rFonts w:ascii="Times New Roman" w:hAnsi="Times New Roman"/>
          <w:color w:val="000000"/>
          <w:sz w:val="22"/>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so long as such Borrower is the issuer of any outstanding debt or Equity Interests that are registered or issued pursuant to a private offering or is actively contemplating issuing any such securities it will use commercially reasonable efforts to identify that portion of the Borrower Materials that may be distributed to Public Lenders and that (w) all such Borrower Materials shall be clearly and conspicuously marked “PUBLIC” which, at a minimum, shall mean that the word “PUBLIC”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shall appear prominently on the first page thereof; (x) by marking Borrower Materials “PUBLIC,” such Borrower shall be deemed to have authorized the Administrative Agent, any Affiliate thereof, the Arrangers, the L/C Issuers and the Lenders to treat such Borrower Materials as not containing any material non-public information (although it may be sensitive or proprietary) with respect to such Borrower or its securities for purposes of United States Federal and state securities laws (</w:t>
      </w:r>
      <w:r>
        <w:rPr>
          <w:rFonts w:ascii="Times New Roman" w:hAnsi="Times New Roman"/>
          <w:i/>
          <w:color w:val="000000"/>
          <w:sz w:val="22"/>
        </w:rPr>
        <w:t xml:space="preserve">provided </w:t>
      </w:r>
      <w:r>
        <w:rPr>
          <w:rFonts w:ascii="Times New Roman" w:hAnsi="Times New Roman"/>
          <w:color w:val="000000"/>
          <w:sz w:val="22"/>
        </w:rPr>
        <w:t>that to the extent such Borrower Materials constitute Information, they shall be treated as set forth in Section 11.07); (y) all Borrower Materials marked “PUBLIC” are permitted to be made available through a portion of the Platform designated “Public Side Information;” and (z) the Administrative Agent and any Affiliate thereof and any Arranger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6.03. Notices</w:t>
      </w:r>
      <w:r>
        <w:rPr>
          <w:rFonts w:ascii="Times New Roman" w:hAnsi="Times New Roman"/>
          <w:color w:val="000000"/>
          <w:sz w:val="22"/>
        </w:rPr>
        <w:t>. Promptly notify the Administrative Agent and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matter that has resulted or could reasonably be expected to result in a Material Adverse Effect, including (i) breach or non-performance of, or any default under, a Contractual Obligation of the Domestic Borrower or any Subsidiary; (ii) any dispute, litigation, investigation, proceeding or suspension between the Domestic Borrower or any Subsidiary and any Governmental Authority; or (iii) the commencement of, or any material development in, any litigation or proceeding affecting the Domestic Borrower or any Subsidiary, including pursuant to any applicable Environmental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ERISA Event;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any material change in accounting policies or financial reporting practices by the Domestic Borrower or any Subsidiary, including any determination by the Domestic Borrower referred to in Section 2.10(b).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notice pursuant to this Section 6.03 shall be accompanied by a statement of a Responsible Officer of the Domestic Borrower setting forth details of the occurrence referred to therein and stating what action the Domestic Borrower has taken and proposes to take with respect thereto. Each notice pursuant to Section 6.03(a) shall describe with particularity any and all provisions of this Agreement and any other Loan Document that have been breached.</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6.04. Payment of Obligations</w:t>
      </w:r>
      <w:r>
        <w:rPr>
          <w:rFonts w:ascii="Times New Roman" w:hAnsi="Times New Roman"/>
          <w:color w:val="000000"/>
          <w:sz w:val="22"/>
        </w:rPr>
        <w: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applicable Borrower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6.05. Preservation of Existence, Etc. </w:t>
      </w:r>
      <w:r>
        <w:rPr>
          <w:rFonts w:ascii="Times New Roman" w:hAnsi="Times New Roman"/>
          <w:color w:val="000000"/>
          <w:sz w:val="22"/>
        </w:rPr>
        <w:t>(a) Preserve, renew and maintain in full force and effect its legal existence and good standing under the Laws of the jurisdiction of its organization except in a transaction permitted by Section 7.04 or 7.05; (b) take all reasonable action to maintain all rights, privileges, permits, licenses and franchises necessary or desirable in the normal conduct of its business, except to the extent that failure to do so could not reasonably be expected to have a Material Adverse Effect;and (c) preserve or renew all of its registered patents, trademarks, trade names and service marks, the non-preservation of which could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6.06. Maintenance of Properties</w:t>
      </w:r>
      <w:r>
        <w:rPr>
          <w:rFonts w:ascii="Times New Roman" w:hAnsi="Times New Roman"/>
          <w:color w:val="000000"/>
          <w:sz w:val="22"/>
        </w:rPr>
        <w:t>. (a)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6.07. Maintenance of Insurance</w:t>
      </w:r>
      <w:r>
        <w:rPr>
          <w:rFonts w:ascii="Times New Roman" w:hAnsi="Times New Roman"/>
          <w:color w:val="000000"/>
          <w:sz w:val="22"/>
        </w:rPr>
        <w:t>. Maintain with financially sound and reputable insurance companies not Affiliates of the Domestic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6.08. Compliance with Laws</w:t>
      </w:r>
      <w:r>
        <w:rPr>
          <w:rFonts w:ascii="Times New Roman" w:hAnsi="Times New Roman"/>
          <w:color w:val="000000"/>
          <w:sz w:val="22"/>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6.09. Books and Records</w:t>
      </w:r>
      <w:r>
        <w:rPr>
          <w:rFonts w:ascii="Times New Roman" w:hAnsi="Times New Roman"/>
          <w:color w:val="000000"/>
          <w:sz w:val="22"/>
        </w:rPr>
        <w:t>. (a) Maintain proper books of record and account, in which full, true and correct entries in conformity with GAAP consistently applied shall be made of all financial transactions and matters involving the assets and business of the Domestic Borrower or such Subsidiary, as the case may be; and (b) maintain such books of record and account in material conformity with all applicable requirements of any Governmental Authority having regulatory jurisdiction over the Domestic Borrower or such Subsidiary, as the case may be.</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6.10. Inspection Rights</w:t>
      </w:r>
      <w:r>
        <w:rPr>
          <w:rFonts w:ascii="Times New Roman" w:hAnsi="Times New Roman"/>
          <w:color w:val="000000"/>
          <w:sz w:val="22"/>
        </w:rPr>
        <w:t xml:space="preserve">. Permit representatives and independent contractors of the Administrative Agent (on behalf of itself and the Lenders)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(not more than twice per calendar year in the aggregate for all such visits and inspections), upon reasonable advance notice to the Domestic Borrower; </w:t>
      </w:r>
      <w:r>
        <w:rPr>
          <w:rFonts w:ascii="Times New Roman" w:hAnsi="Times New Roman"/>
          <w:i/>
          <w:color w:val="000000"/>
          <w:sz w:val="22"/>
        </w:rPr>
        <w:t xml:space="preserve">provided </w:t>
      </w:r>
      <w:r>
        <w:rPr>
          <w:rFonts w:ascii="Times New Roman" w:hAnsi="Times New Roman"/>
          <w:color w:val="000000"/>
          <w:sz w:val="22"/>
        </w:rPr>
        <w:t>that when an Event of Default exists the Administrative Agent or any Lender (or any of their respective representatives or independent contractors) may do any of the foregoing at the expense of the Domestic Borrower as often as may be reasonably desired at any time during normal business hours and without advance notice.</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6.11. Use of Proceeds</w:t>
      </w:r>
      <w:r>
        <w:rPr>
          <w:rFonts w:ascii="Times New Roman" w:hAnsi="Times New Roman"/>
          <w:color w:val="000000"/>
          <w:sz w:val="22"/>
        </w:rPr>
        <w:t>. Use the proceeds of the Credit Extensions (i) to refinance all outstanding Indebtedness under the Existing Credit Agreement, (ii) for working capital, (iii) for capital expenditures, and (iv) for general corporate purposes not in contravention of any Law or of any Loan Document, including, without limitation, financing permitted acquisitions.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6.12. Covenant to Guarantee Obligations and Give Security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Additional Domestic Subsidiaries</w:t>
      </w:r>
      <w:r>
        <w:rPr>
          <w:rFonts w:ascii="Times New Roman" w:hAnsi="Times New Roman"/>
          <w:color w:val="000000"/>
          <w:sz w:val="22"/>
        </w:rPr>
        <w:t>. Notify the Administrative Agent of the creation or acquisition of any Domestic Subsidiary (including, without limitation, upon the formation of any Domestic Subsidiary that is a Divided LLC) and promptly thereafter (and in any event within thirty (30) days after such creation or acquisition or such later time as may be determined by the Administrative Agent in its sole discretion), other than with respect to an Excluded Subsidiary or an Excluded Securitization Subsidiary, cause such Domestic Subsidiary, and cause each direct and indirect parent of such Domestic Subsidiary (if it has not already done so), to (i) become a Global Guarantor by delivering to the Administrative Agent a duly executed joinder agreement or such other document as the Administrative Agent shall deem appropriate for such purpose, (ii) grant a security interest in all Collateral (subject to the exceptions specified in the Collateral Agreement) owned by such Subsidiary by delivering to the Administrative Agent a duly executed supplement to each Collateral Document or such other document as the Administrative Agent shall deem appropriate for such purpose and comply with the terms of each Collateral Document, (iii) deliver to the Administrative Agent such documents and certificates referred to in Section 4.01 as may be reasonably requested by the Administrative Agent, (iv) deliver to the Administrative Agent such original certificates representing the Pledged Equity or other certificates of such Person accompanied by undated irrevocable stock powers executed in blank,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Notify the Administrative Agent at the time that any Person becomes a First-Tier Foreign Subsidiary of any Domestic Loan Party, and at the request of the Administrative Agent, promptly thereafter (and in any event within forty-five (45) days after such request or such later time as may be determined by the Administrative Agent in its sole discretion), cause (i) the applicable Domestic Loan Party to deliver to the Administrative Agent Collateral Documents pledging (A) one hundred percent (100%) of the total outstanding non-voting capital stock of such new Foreign Subsidiary to secure the Obligations, (B) one hundred percent (100%) of the total outstanding voting stock of such new Foreign Subsidiary to secure the Foreign Obligations and (C) (1) if the Domestic Loan Party holds more than 65% of the total Voting Stock of such new Foreign Subsidiary, then up to 65% of the total voting stock thereof to secure the Obligations (to the extent the pledge of a greater percentage would result in adverse tax consequences to the Domestic Borrower) or (2) if the Domestic Loan Party holds less than 65% of the total Voting Stock of such new Foreign Subsidiary, the aggregate of all such voting stock thereof owned or held by the Domestic Loan Party to secure the Obligations, and a consent thereto executed by such new Foreign Subsidiary (including, without limitation, if applicable, original stock certificates (or the equivalent thereof pursuant to the applicable Laws and practices of any relevant foreign jurisdiction) evidencing such capital stock of such new Foreign Subsidiary as is being pledged, together with an appropriate undated stock power for each certificate duly executed in blank by the registered owner thereof), (ii) such Person to deliver to the Administrative Agent such documents and certificates as may be reasonably requested by the Administrative Agent, (iii) the applicable Domestic Loan Party to deliver to the Administrative Agent such updated Schedules to the Loan Documents as reasonably requested by the Administrative Agent with regard to such Person and (iv) such Person to deliver to the Administrative Agent such other documents as may be reasonably requested by the Administrative Agent, all in form, content and scope satisfactory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2"/>
        </w:rPr>
      </w:pPr>
      <w:r>
        <w:rPr>
          <w:rFonts w:ascii="Times New Roman" w:hAnsi="Times New Roman"/>
          <w:i/>
          <w:color w:val="000000"/>
          <w:sz w:val="22"/>
        </w:rPr>
        <w:t>(c)</w:t>
      </w:r>
    </w:p>
    <w:p>
      <w:pPr>
        <w:pStyle w:val="TextBody"/>
        <w:bidi w:val="0"/>
        <w:spacing w:before="240" w:after="283"/>
        <w:jc w:val="both"/>
        <w:rPr/>
      </w:pPr>
      <w:r>
        <w:rPr>
          <w:rFonts w:ascii="Times New Roman" w:hAnsi="Times New Roman"/>
          <w:i/>
          <w:color w:val="000000"/>
          <w:sz w:val="22"/>
        </w:rPr>
        <w:t>Cost</w:t>
      </w:r>
      <w:r>
        <w:rPr>
          <w:rFonts w:ascii="Times New Roman" w:hAnsi="Times New Roman"/>
          <w:color w:val="000000"/>
          <w:sz w:val="22"/>
        </w:rPr>
        <w:t>. Notwithstanding the foregoing, the provisions of this Section 6.12 shall not apply to assets as to which the Administrative Agent and the Domestic Borrower shall reasonably determine that the costs and burdens of obtaining a security interest therein or perfection thereof outweigh the value of the security afforded thereby.</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6.13. Compliance with Environmental Laws</w:t>
      </w:r>
      <w:r>
        <w:rPr>
          <w:rFonts w:ascii="Times New Roman" w:hAnsi="Times New Roman"/>
          <w:color w:val="000000"/>
          <w:sz w:val="22"/>
        </w:rPr>
        <w:t xml:space="preserve">. Comply, and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hAnsi="Times New Roman"/>
          <w:i/>
          <w:color w:val="000000"/>
          <w:sz w:val="22"/>
        </w:rPr>
        <w:t xml:space="preserve">provided, however, </w:t>
      </w:r>
      <w:r>
        <w:rPr>
          <w:rFonts w:ascii="Times New Roman" w:hAnsi="Times New Roman"/>
          <w:color w:val="000000"/>
          <w:sz w:val="22"/>
        </w:rPr>
        <w:t>that neither the Domestic Borrower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6.14. Further Assurances</w:t>
      </w:r>
      <w:r>
        <w:rPr>
          <w:rFonts w:ascii="Times New Roman" w:hAnsi="Times New Roman"/>
          <w:color w:val="000000"/>
          <w:sz w:val="22"/>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and consistent with the terms of this Agreement and the other Loan Documents,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6.15. Material Contracts</w:t>
      </w:r>
      <w:r>
        <w:rPr>
          <w:rFonts w:ascii="Times New Roman" w:hAnsi="Times New Roman"/>
          <w:color w:val="000000"/>
          <w:sz w:val="22"/>
        </w:rPr>
        <w:t>. Perform and observe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Subsidiaries is entitled to make under such Material Contract, and cause each of its Subsidiaries to do so, except, in any case, where the failure to do so, either individually or in the aggregate, could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6.16. Post-Closing Matters</w:t>
      </w:r>
      <w:r>
        <w:rPr>
          <w:rFonts w:ascii="Times New Roman" w:hAnsi="Times New Roman"/>
          <w:color w:val="000000"/>
          <w:sz w:val="22"/>
        </w:rPr>
        <w:t>. Execute and deliver the documents and complete the tasks set forth on Schedule 6.16, in each case within the time limits specified on such schedule.</w:t>
      </w:r>
    </w:p>
    <w:p>
      <w:pPr>
        <w:pStyle w:val="TextBody"/>
        <w:bidi w:val="0"/>
        <w:spacing w:before="240" w:after="283"/>
        <w:jc w:val="both"/>
        <w:rPr>
          <w:rFonts w:ascii="Times New Roman" w:hAnsi="Times New Roman"/>
          <w:sz w:val="20"/>
        </w:rPr>
      </w:pPr>
      <w:r>
        <w:rPr>
          <w:rFonts w:ascii="Times New Roman" w:hAnsi="Times New Roman"/>
          <w:i/>
          <w:color w:val="000000"/>
          <w:sz w:val="22"/>
        </w:rPr>
        <w:t>Section 6.17. Anti-Corruption Laws</w:t>
      </w:r>
      <w:r>
        <w:rPr>
          <w:rFonts w:ascii="Times New Roman" w:hAnsi="Times New Roman"/>
          <w:color w:val="000000"/>
          <w:sz w:val="22"/>
        </w:rPr>
        <w:t>.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NEGATIVE COVENANTS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hereby covenants and agrees that on the Closing Date and thereafter until the Facility Termination Date, the Borrowers shall not, nor shall they permit any Subsidiary to, directly or indirectly:</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7.01. Liens</w:t>
      </w:r>
      <w:r>
        <w:rPr>
          <w:rFonts w:ascii="Times New Roman" w:hAnsi="Times New Roman"/>
          <w:color w:val="000000"/>
          <w:sz w:val="22"/>
        </w:rPr>
        <w:t xml:space="preserve">. Create, incur, assume or suffer to exist any Lien upon any of its property, assets or revenues, whether now owned or hereafter acquired, or sign or file or otherwise authorize the filing under the Uniform Commercial Code of any jurisdiction a financing statement that names the Domestic Borrower or any of its Subsidiaries as debtor, or assign any accounts or other right to receive income, other than the following (the </w:t>
      </w:r>
      <w:r>
        <w:rPr>
          <w:rFonts w:ascii="Times New Roman" w:hAnsi="Times New Roman"/>
          <w:color w:val="000000"/>
          <w:sz w:val="20"/>
        </w:rPr>
        <w:t>“</w:t>
      </w:r>
      <w:r>
        <w:rPr>
          <w:rFonts w:ascii="Times New Roman" w:hAnsi="Times New Roman"/>
          <w:i/>
          <w:color w:val="000000"/>
          <w:sz w:val="22"/>
        </w:rPr>
        <w:t>Permitted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pursuant to any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securing the Additional Secured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Liens existing on the date hereof and listed on Schedule 5.08(b) and any renewals or extensions thereof; </w:t>
      </w:r>
      <w:r>
        <w:rPr>
          <w:rFonts w:ascii="Times New Roman" w:hAnsi="Times New Roman"/>
          <w:i/>
          <w:color w:val="000000"/>
          <w:sz w:val="22"/>
        </w:rPr>
        <w:t xml:space="preserve">provided </w:t>
      </w:r>
      <w:r>
        <w:rPr>
          <w:rFonts w:ascii="Times New Roman" w:hAnsi="Times New Roman"/>
          <w:color w:val="000000"/>
          <w:sz w:val="22"/>
        </w:rPr>
        <w:t>that (i) the property covered thereby is not changed, (ii) the amount secured or benefited thereby is not increased except as contemplated by Section 7.02(d), (iii) the direct or any contingent obligor with respect thereto is not changed, and (iv) any renewal or extension of the obligations secured or benefited thereby is permitted by Section 7.02(d);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for taxes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pledges or deposits in the ordinary course of business in connection with workers’ compensation, unemployment insurance and other social security legislation, other than any Lien imposed by ERISA;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securing judgments for the payment of money not constituting an Event of Default under Section 8.01(h);</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rPr>
        <w:t xml:space="preserve">Liens securing Indebtedness permitted under Section 7.02(f); </w:t>
      </w:r>
      <w:r>
        <w:rPr>
          <w:rFonts w:ascii="Times New Roman" w:hAnsi="Times New Roman"/>
          <w:i/>
          <w:color w:val="000000"/>
          <w:sz w:val="22"/>
        </w:rPr>
        <w:t xml:space="preserve">provided </w:t>
      </w:r>
      <w:r>
        <w:rPr>
          <w:rFonts w:ascii="Times New Roman" w:hAnsi="Times New Roman"/>
          <w:color w:val="000000"/>
          <w:sz w:val="22"/>
        </w:rPr>
        <w:t>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(k)</w:t>
      </w:r>
    </w:p>
    <w:p>
      <w:pPr>
        <w:pStyle w:val="TextBody"/>
        <w:bidi w:val="0"/>
        <w:spacing w:before="240" w:after="283"/>
        <w:jc w:val="both"/>
        <w:rPr/>
      </w:pPr>
      <w:r>
        <w:rPr>
          <w:rFonts w:ascii="Times New Roman" w:hAnsi="Times New Roman"/>
          <w:color w:val="0000FF"/>
          <w:sz w:val="22"/>
        </w:rPr>
        <w:t>[</w:t>
      </w:r>
      <w:r>
        <w:rPr>
          <w:rFonts w:ascii="Times New Roman" w:hAnsi="Times New Roman"/>
          <w:color w:val="000000"/>
          <w:sz w:val="22"/>
        </w:rPr>
        <w:t>reserved</w:t>
      </w:r>
      <w:r>
        <w:rPr>
          <w:rFonts w:ascii="Times New Roman" w:hAnsi="Times New Roman"/>
          <w:color w:val="0000FF"/>
          <w:sz w:val="22"/>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under the Diodes Zetex Pension Scheme Legal Charge;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color w:val="000000"/>
          <w:sz w:val="22"/>
        </w:rPr>
        <w:t xml:space="preserve">Liens arising in connection with Indebtedness permitted under Section 7.02(h); </w:t>
      </w:r>
      <w:r>
        <w:rPr>
          <w:rFonts w:ascii="Times New Roman" w:hAnsi="Times New Roman"/>
          <w:i/>
          <w:color w:val="000000"/>
          <w:sz w:val="22"/>
        </w:rPr>
        <w:t xml:space="preserve">provided </w:t>
      </w:r>
      <w:r>
        <w:rPr>
          <w:rFonts w:ascii="Times New Roman" w:hAnsi="Times New Roman"/>
          <w:color w:val="000000"/>
          <w:sz w:val="22"/>
        </w:rPr>
        <w:t>that such Liens do not at any time encumber any property other than the property financed by such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w:t>
      </w:r>
    </w:p>
    <w:p>
      <w:pPr>
        <w:pStyle w:val="TextBody"/>
        <w:bidi w:val="0"/>
        <w:spacing w:before="240" w:after="283"/>
        <w:jc w:val="both"/>
        <w:rPr/>
      </w:pPr>
      <w:r>
        <w:rPr>
          <w:rFonts w:ascii="Times New Roman" w:hAnsi="Times New Roman"/>
          <w:color w:val="000000"/>
          <w:sz w:val="22"/>
        </w:rPr>
        <w:t>Liens not otherwise permitted under this Section 7.01 securing Indebtedness outstanding in an aggregate principal amount not to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$50,000,000</w:t>
      </w:r>
      <w:r>
        <w:rPr>
          <w:color w:val="0000FF"/>
          <w:u w:val="single"/>
        </w:rPr>
        <w:t xml:space="preserve"> </w:t>
      </w:r>
      <w:r>
        <w:rPr>
          <w:rFonts w:ascii="Times New Roman" w:hAnsi="Times New Roman"/>
          <w:color w:val="0000FF"/>
          <w:sz w:val="22"/>
          <w:u w:val="single"/>
        </w:rPr>
        <w:t>and (y)</w:t>
      </w:r>
      <w:r>
        <w:rPr>
          <w:color w:val="0000FF"/>
        </w:rPr>
        <w:t xml:space="preserve"> </w:t>
      </w:r>
      <w:r>
        <w:rPr>
          <w:rFonts w:ascii="Times New Roman" w:hAnsi="Times New Roman"/>
          <w:color w:val="0000FF"/>
          <w:sz w:val="22"/>
          <w:u w:val="single"/>
        </w:rPr>
        <w:t>20% of Consolidated EBITDA for the most recently ended Measurement Period for which</w:t>
      </w:r>
      <w:r>
        <w:rPr>
          <w:color w:val="0000FF"/>
        </w:rPr>
        <w:t xml:space="preserve"> </w:t>
      </w:r>
      <w:r>
        <w:rPr>
          <w:rFonts w:ascii="Times New Roman" w:hAnsi="Times New Roman"/>
          <w:color w:val="0000FF"/>
          <w:sz w:val="22"/>
          <w:u w:val="single"/>
        </w:rPr>
        <w:t>financial statements have been delivered pursuant to Section 6.01(a) or (b)</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no Lien shall extend to or cover any Collateral or any Material Real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w:t>
      </w:r>
    </w:p>
    <w:p>
      <w:pPr>
        <w:pStyle w:val="TextBody"/>
        <w:bidi w:val="0"/>
        <w:spacing w:before="240" w:after="283"/>
        <w:jc w:val="both"/>
        <w:rPr/>
      </w:pPr>
      <w:r>
        <w:rPr>
          <w:rFonts w:ascii="Times New Roman" w:hAnsi="Times New Roman"/>
          <w:color w:val="000000"/>
          <w:sz w:val="22"/>
        </w:rPr>
        <w:t xml:space="preserve">Liens securing Indebtedness permitted under Section 7.03(c)(v); </w:t>
      </w:r>
      <w:r>
        <w:rPr>
          <w:rFonts w:ascii="Times New Roman" w:hAnsi="Times New Roman"/>
          <w:i/>
          <w:color w:val="000000"/>
          <w:sz w:val="22"/>
        </w:rPr>
        <w:t xml:space="preserve">provided </w:t>
      </w:r>
      <w:r>
        <w:rPr>
          <w:rFonts w:ascii="Times New Roman" w:hAnsi="Times New Roman"/>
          <w:color w:val="000000"/>
          <w:sz w:val="22"/>
        </w:rPr>
        <w:t>that such Liens do not at any time encumber any property other than the property of TF Semiconductor Solutions Inc.;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bankers’ Liens, rights of setoff and other similar Liens existing solely with respect to cash and Cash Equivalents on deposit in one or more accounts maintained by the Borrowers or any of their Subsidiaries with any Lender, in each case in the ordinary course of business in favor of the bank or banks with which such accounts are maintained, securing solely the customary amounts owing to such bank with respect to cash management and operating account arrangements; provided, that in no case shall any such Liens secure (either directly or indirectly) the repayment of any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w:t>
      </w:r>
    </w:p>
    <w:p>
      <w:pPr>
        <w:pStyle w:val="TextBody"/>
        <w:bidi w:val="0"/>
        <w:spacing w:before="240" w:after="283"/>
        <w:jc w:val="both"/>
        <w:rPr/>
      </w:pPr>
      <w:r>
        <w:rPr>
          <w:rFonts w:ascii="Times New Roman" w:hAnsi="Times New Roman"/>
          <w:color w:val="000000"/>
          <w:sz w:val="22"/>
        </w:rPr>
        <w:t>Liens with respect to those Securitization Assets and related rights and assets subject to purchase pursuant to any Qualified Securitization Transaction;</w:t>
      </w:r>
      <w:r>
        <w:rPr>
          <w:strike/>
          <w:color w:val="FF0000"/>
        </w:rPr>
        <w:t xml:space="preserve"> </w:t>
      </w:r>
      <w:r>
        <w:rPr>
          <w:rFonts w:ascii="Times New Roman" w:hAnsi="Times New Roman"/>
          <w:strike/>
          <w:color w:val="FF0000"/>
          <w:sz w:val="22"/>
        </w:rPr>
        <w:t>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w:t>
      </w:r>
    </w:p>
    <w:p>
      <w:pPr>
        <w:pStyle w:val="TextBody"/>
        <w:bidi w:val="0"/>
        <w:spacing w:before="240" w:after="283"/>
        <w:jc w:val="both"/>
        <w:rPr/>
      </w:pPr>
      <w:r>
        <w:rPr>
          <w:rFonts w:ascii="Times New Roman" w:hAnsi="Times New Roman"/>
          <w:color w:val="000000"/>
          <w:sz w:val="22"/>
        </w:rPr>
        <w:t>Liens on accounts receivable of Diodes Taiwan SARL or any Subsidiary of the Domestic Borrower organized under the laws of a jurisdiction in Asia that has entered into a Permitted Receivables Facility securing factoring, sales, pledged assignments, transfers or other dispositions of such accounts receivable pursuant to a Permitted Receivables Facility entered into by Diodes Taiwan SARL or such Subsidiary, as applicable</w:t>
      </w:r>
      <w:r>
        <w:rPr>
          <w:rFonts w:ascii="Times New Roman" w:hAnsi="Times New Roman"/>
          <w:color w:val="0000FF"/>
          <w:sz w:val="22"/>
          <w:u w:val="single"/>
        </w:rPr>
        <w:t>; and</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(t)</w:t>
      </w:r>
    </w:p>
    <w:p>
      <w:pPr>
        <w:pStyle w:val="TextBody"/>
        <w:bidi w:val="0"/>
        <w:spacing w:before="240" w:after="283"/>
        <w:jc w:val="both"/>
        <w:rPr/>
      </w:pPr>
      <w:r>
        <w:rPr>
          <w:rFonts w:ascii="Times New Roman" w:hAnsi="Times New Roman"/>
          <w:color w:val="0000FF"/>
          <w:sz w:val="22"/>
          <w:u w:val="single"/>
        </w:rPr>
        <w:t>Liens securing Indebtedness permitted under Section 7.02(m)</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compliance with this Section 7.01: (x) if any Lien meets the criteria set forth in more than one of clauses (a) through (s) of this Section 7.01 then the Borrowers may classify or reclassify such Lien in any manner that complies with this Section 7.01 and such Lien shall be treated as having been permitted pursuant to only one of the clauses of this Section 7.01; and (y) any obligation secured by a Lien meeting the criteria set forth in more than one of clauses (a) through (s) of this Section 7.01 may be divided and classified and reclassified among more than one of the clauses of this Section 7.01.</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7.02. Indebtedness</w:t>
      </w:r>
      <w:r>
        <w:rPr>
          <w:rFonts w:ascii="Times New Roman" w:hAnsi="Times New Roman"/>
          <w:color w:val="000000"/>
          <w:sz w:val="22"/>
        </w:rPr>
        <w:t>. Create, incur, assume or suffer to exist any Indebtedness,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obligations (contingent or otherwise) existing or arising under any Swap Contract; </w:t>
      </w:r>
      <w:r>
        <w:rPr>
          <w:rFonts w:ascii="Times New Roman" w:hAnsi="Times New Roman"/>
          <w:i/>
          <w:color w:val="000000"/>
          <w:sz w:val="22"/>
        </w:rPr>
        <w:t xml:space="preserve">provided </w:t>
      </w:r>
      <w:r>
        <w:rPr>
          <w:rFonts w:ascii="Times New Roman" w:hAnsi="Times New Roman"/>
          <w:color w:val="000000"/>
          <w:sz w:val="22"/>
        </w:rPr>
        <w:t>that (i) such obligations are (or were) entered into by such Person in the ordinary course of business for the purpose of directly mitigating risks associated with fluctuations in interest rates or foreign exchange rates and (ii) such Swap Contract does not contain any provision exonerating the non-defaulting party from its obligation to make payments on outstanding transactions to the defaulting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under the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among Borrowers and Loan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Indebtedness outstanding on the date hereof and listed on Schedule 7.02 and any refinancings, refundings, renewals or extensions thereof; </w:t>
      </w:r>
      <w:r>
        <w:rPr>
          <w:rFonts w:ascii="Times New Roman" w:hAnsi="Times New Roman"/>
          <w:i/>
          <w:color w:val="000000"/>
          <w:sz w:val="22"/>
        </w:rPr>
        <w:t xml:space="preserve">provided </w:t>
      </w:r>
      <w:r>
        <w:rPr>
          <w:rFonts w:ascii="Times New Roman" w:hAnsi="Times New Roman"/>
          <w:color w:val="000000"/>
          <w:sz w:val="22"/>
        </w:rPr>
        <w:t>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(i) Guarantees of the Domestic Borrower or any Subsidiary in respect of Indebtedness of the Domestic Borrower or any wholly-owned Subsidiary thereof otherwise permitted under Sections 7.02(a), (d), (f), (g) or (k); </w:t>
      </w:r>
      <w:r>
        <w:rPr>
          <w:rFonts w:ascii="Times New Roman" w:hAnsi="Times New Roman"/>
          <w:i/>
          <w:color w:val="000000"/>
          <w:sz w:val="22"/>
        </w:rPr>
        <w:t xml:space="preserve">provided </w:t>
      </w:r>
      <w:r>
        <w:rPr>
          <w:rFonts w:ascii="Times New Roman" w:hAnsi="Times New Roman"/>
          <w:color w:val="000000"/>
          <w:sz w:val="22"/>
        </w:rPr>
        <w:t>that, solely in the case of clause (g), such Guarantee may only be provided to the extent such Indebtedness is unsecured and the provider of such Indebtedness is a Lender; and (ii) unsecured Guarantees of the Domestic Borrower in respect of Indebtedness incurred by any Excluded Securitization Subsidiary otherwise permitted under Section 7.02(q) and in respect of any Permitted Receivables Facility otherwise permitted under Section 7.02(r);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Indebtedness in respect of Capitalized Leases, Synthetic Lease Obligations and purchase money obligations for fixed or capital assets within the limitations set forth in Section 7.01(j); </w:t>
      </w:r>
      <w:r>
        <w:rPr>
          <w:rFonts w:ascii="Times New Roman" w:hAnsi="Times New Roman"/>
          <w:i/>
          <w:color w:val="000000"/>
          <w:sz w:val="22"/>
        </w:rPr>
        <w:t xml:space="preserve">provided, however, </w:t>
      </w:r>
      <w:r>
        <w:rPr>
          <w:rFonts w:ascii="Times New Roman" w:hAnsi="Times New Roman"/>
          <w:color w:val="000000"/>
          <w:sz w:val="22"/>
        </w:rPr>
        <w:t xml:space="preserve">that the aggregate amount of all such Indebtedness at any one time outstanding shall not exceed </w:t>
      </w:r>
      <w:r>
        <w:rPr>
          <w:rFonts w:ascii="Times New Roman" w:hAnsi="Times New Roman"/>
          <w:color w:val="0000FF"/>
          <w:sz w:val="22"/>
          <w:u w:val="single"/>
        </w:rPr>
        <w:t xml:space="preserve">the greater of (x) </w:t>
      </w:r>
      <w:r>
        <w:rPr>
          <w:rFonts w:ascii="Times New Roman" w:hAnsi="Times New Roman"/>
          <w:color w:val="000000"/>
          <w:sz w:val="22"/>
        </w:rPr>
        <w:t>$50,000,000</w:t>
      </w:r>
      <w:r>
        <w:rPr>
          <w:color w:val="0000FF"/>
          <w:u w:val="single"/>
        </w:rPr>
        <w:t xml:space="preserve"> </w:t>
      </w:r>
      <w:r>
        <w:rPr>
          <w:rFonts w:ascii="Times New Roman" w:hAnsi="Times New Roman"/>
          <w:color w:val="0000FF"/>
          <w:sz w:val="22"/>
          <w:u w:val="single"/>
        </w:rPr>
        <w:t>and (y) 20% of Consolidated EBITDA</w:t>
      </w:r>
      <w:r>
        <w:rPr>
          <w:color w:val="0000FF"/>
        </w:rPr>
        <w:t xml:space="preserve"> </w:t>
      </w:r>
      <w:r>
        <w:rPr>
          <w:rFonts w:ascii="Times New Roman" w:hAnsi="Times New Roman"/>
          <w:color w:val="0000FF"/>
          <w:sz w:val="22"/>
          <w:u w:val="single"/>
        </w:rPr>
        <w:t>for the most recently ended Measurement Period for which financial statements have been</w:t>
      </w:r>
      <w:r>
        <w:rPr>
          <w:color w:val="0000FF"/>
        </w:rPr>
        <w:t xml:space="preserve"> </w:t>
      </w:r>
      <w:r>
        <w:rPr>
          <w:rFonts w:ascii="Times New Roman" w:hAnsi="Times New Roman"/>
          <w:color w:val="0000FF"/>
          <w:sz w:val="22"/>
          <w:u w:val="single"/>
        </w:rPr>
        <w:t>delivered pursuant to Section 6.01(a) or (b)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Indebtedness of Subsidiaries (inclusive of the Indebtedness of such Subsidiaries set forth on Schedule 7.02) organized under the laws of a jurisdiction in Asia and of Diodes Taiwan SARL (including, without limitation, Diodes Taiwan S.A.R.L., Hsinchu Branch (Luxembourg)), </w:t>
      </w:r>
      <w:r>
        <w:rPr>
          <w:rFonts w:ascii="Times New Roman" w:hAnsi="Times New Roman"/>
          <w:strike/>
          <w:color w:val="FF0000"/>
          <w:sz w:val="22"/>
        </w:rPr>
        <w:t>in</w:t>
      </w:r>
      <w:r>
        <w:rPr>
          <w:color w:val="FF0000"/>
        </w:rPr>
        <w:t xml:space="preserve"> </w:t>
      </w:r>
      <w:r>
        <w:rPr>
          <w:rFonts w:ascii="Times New Roman" w:hAnsi="Times New Roman"/>
          <w:strike/>
          <w:color w:val="FF0000"/>
          <w:sz w:val="22"/>
        </w:rPr>
        <w:t xml:space="preserve">an aggregate amount not to exceed $150,000,000 at any time, all of </w:t>
      </w:r>
      <w:r>
        <w:rPr>
          <w:rFonts w:ascii="Times New Roman" w:hAnsi="Times New Roman"/>
          <w:color w:val="000000"/>
          <w:sz w:val="22"/>
        </w:rPr>
        <w:t xml:space="preserve">which may be refinanced, amended or replaced from time to time; </w:t>
      </w:r>
      <w:r>
        <w:rPr>
          <w:rFonts w:ascii="Times New Roman" w:hAnsi="Times New Roman"/>
          <w:i/>
          <w:color w:val="000000"/>
          <w:sz w:val="22"/>
        </w:rPr>
        <w:t xml:space="preserve">provided </w:t>
      </w:r>
      <w:r>
        <w:rPr>
          <w:rFonts w:ascii="Times New Roman" w:hAnsi="Times New Roman"/>
          <w:color w:val="000000"/>
          <w:sz w:val="22"/>
        </w:rPr>
        <w:t xml:space="preserve">that the aggregate amount of such Indebtedness does not exceed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$150,000,000</w:t>
      </w:r>
      <w:r>
        <w:rPr>
          <w:color w:val="0000FF"/>
          <w:u w:val="single"/>
        </w:rPr>
        <w:t xml:space="preserve"> </w:t>
      </w:r>
      <w:r>
        <w:rPr>
          <w:rFonts w:ascii="Times New Roman" w:hAnsi="Times New Roman"/>
          <w:color w:val="0000FF"/>
          <w:sz w:val="22"/>
          <w:u w:val="single"/>
        </w:rPr>
        <w:t>and (y) 60% of Consolidated EBITDA for the most</w:t>
      </w:r>
      <w:r>
        <w:rPr>
          <w:color w:val="0000FF"/>
        </w:rPr>
        <w:t xml:space="preserve"> </w:t>
      </w:r>
      <w:r>
        <w:rPr>
          <w:rFonts w:ascii="Times New Roman" w:hAnsi="Times New Roman"/>
          <w:color w:val="0000FF"/>
          <w:sz w:val="22"/>
          <w:u w:val="single"/>
        </w:rPr>
        <w:t>recently ended Measurement Period for which financial statements have been delivered pursuant to</w:t>
      </w:r>
      <w:r>
        <w:rPr>
          <w:color w:val="0000FF"/>
        </w:rPr>
        <w:t xml:space="preserve"> </w:t>
      </w:r>
      <w:r>
        <w:rPr>
          <w:rFonts w:ascii="Times New Roman" w:hAnsi="Times New Roman"/>
          <w:color w:val="0000FF"/>
          <w:sz w:val="22"/>
          <w:u w:val="single"/>
        </w:rPr>
        <w:t>Section 6.01(a) or (b)</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consisting of the deferred purchase price of equipment that shall be paid for within six months after delivery, subject to such equipment being qualified after delivery;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Indebtedness of Subsidiaries incurred by reason of Investments in such Subsidiaries permitted under Sections 7.03(c)(ii) (</w:t>
      </w:r>
      <w:r>
        <w:rPr>
          <w:rFonts w:ascii="Times New Roman" w:hAnsi="Times New Roman"/>
          <w:i/>
          <w:color w:val="000000"/>
          <w:sz w:val="22"/>
        </w:rPr>
        <w:t xml:space="preserve">provided </w:t>
      </w:r>
      <w:r>
        <w:rPr>
          <w:rFonts w:ascii="Times New Roman" w:hAnsi="Times New Roman"/>
          <w:color w:val="000000"/>
          <w:sz w:val="22"/>
        </w:rPr>
        <w:t>that any such Indebtedness made to any Loan Party by a Subsidiary that is not a Loan Party shall be subject to subordination provisions reasonably acceptable to the Administrative Agent which subordination provisions will permit the payment of regularly scheduled payments of interest and principal so long as no Default or Event of Default has occurred and is continuing), (iii), (iv), (v) and (vi) (“</w:t>
      </w:r>
      <w:r>
        <w:rPr>
          <w:rFonts w:ascii="Times New Roman" w:hAnsi="Times New Roman"/>
          <w:i/>
          <w:color w:val="000000"/>
          <w:sz w:val="22"/>
        </w:rPr>
        <w:t>Intercompany Debt</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arising under the Diodes Zetex Pension Scheme, including the Diodes Zetex Pension Scheme Guarantee;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incurred under or in connection with Secured Cash Management Agreements, Indebtedness arising from the endorsement of instruments or other payment items for deposit and Indebtedness in respect of netting services or overdraft protection or otherwise in connection with deposit accounts or securities accounts maintained with financial institutions, in each case, incurred in the ordinary course of business that are promptly repaid;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rPr>
        <w:t xml:space="preserve">Guarantees of the Domestic Borrower or any other Loan Party in respect of the obligations of Subsidiaries of the Domestic Borrower to pay the deferred purchase price of property or services (regardless of whether such trade account payables constitute Indebtedness under clause (d) of the definition thereof in Section 1.01); </w:t>
      </w:r>
      <w:r>
        <w:rPr>
          <w:rFonts w:ascii="Times New Roman" w:hAnsi="Times New Roman"/>
          <w:i/>
          <w:color w:val="000000"/>
          <w:sz w:val="22"/>
        </w:rPr>
        <w:t xml:space="preserve">provided </w:t>
      </w:r>
      <w:r>
        <w:rPr>
          <w:rFonts w:ascii="Times New Roman" w:hAnsi="Times New Roman"/>
          <w:color w:val="000000"/>
          <w:sz w:val="22"/>
        </w:rPr>
        <w:t>that the aggregate amount of such trade account payables Guaranteed pursuant to this clause (l) shall not exceed</w:t>
      </w:r>
      <w:r>
        <w:rPr>
          <w:color w:val="0000FF"/>
          <w:u w:val="single"/>
        </w:rPr>
        <w:t xml:space="preserve"> </w:t>
      </w:r>
      <w:r>
        <w:rPr>
          <w:rFonts w:ascii="Times New Roman" w:hAnsi="Times New Roman"/>
          <w:color w:val="0000FF"/>
          <w:sz w:val="22"/>
          <w:u w:val="single"/>
        </w:rPr>
        <w:t xml:space="preserve">the greater of (x) </w:t>
      </w:r>
      <w:r>
        <w:rPr>
          <w:rFonts w:ascii="Times New Roman" w:hAnsi="Times New Roman"/>
          <w:color w:val="000000"/>
          <w:sz w:val="22"/>
        </w:rPr>
        <w:t>$100,000,000</w:t>
      </w:r>
      <w:r>
        <w:rPr>
          <w:color w:val="0000FF"/>
          <w:u w:val="single"/>
        </w:rPr>
        <w:t xml:space="preserve"> </w:t>
      </w:r>
      <w:r>
        <w:rPr>
          <w:rFonts w:ascii="Times New Roman" w:hAnsi="Times New Roman"/>
          <w:color w:val="0000FF"/>
          <w:sz w:val="22"/>
          <w:u w:val="single"/>
        </w:rPr>
        <w:t>and (y) 40% of Consolidated EBITDA for the most recently ended Measurement</w:t>
      </w:r>
      <w:r>
        <w:rPr>
          <w:color w:val="0000FF"/>
        </w:rPr>
        <w:t xml:space="preserve"> </w:t>
      </w:r>
      <w:r>
        <w:rPr>
          <w:rFonts w:ascii="Times New Roman" w:hAnsi="Times New Roman"/>
          <w:color w:val="0000FF"/>
          <w:sz w:val="22"/>
          <w:u w:val="single"/>
        </w:rPr>
        <w:t>Period for which financial statements have been delivered pursuant to Section 6.01(a) or (b),</w:t>
      </w:r>
      <w:r>
        <w:rPr>
          <w:color w:val="0000FF"/>
        </w:rPr>
        <w:t xml:space="preserve"> </w:t>
      </w:r>
      <w:r>
        <w:rPr>
          <w:rFonts w:ascii="Times New Roman" w:hAnsi="Times New Roman"/>
          <w:color w:val="000000"/>
          <w:sz w:val="22"/>
        </w:rPr>
        <w:t>in the aggregate outstanding at any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color w:val="0000FF"/>
          <w:sz w:val="22"/>
          <w:u w:val="single"/>
        </w:rPr>
        <w:t xml:space="preserve">other Indebtedness of the Loan Parties; </w:t>
      </w:r>
      <w:r>
        <w:rPr>
          <w:rFonts w:ascii="Times New Roman" w:hAnsi="Times New Roman"/>
          <w:i/>
          <w:color w:val="0000FF"/>
          <w:sz w:val="22"/>
          <w:u w:val="single"/>
        </w:rPr>
        <w:t>provided</w:t>
      </w:r>
      <w:r>
        <w:rPr>
          <w:rFonts w:ascii="Times New Roman" w:hAnsi="Times New Roman"/>
          <w:color w:val="0000FF"/>
          <w:sz w:val="22"/>
          <w:u w:val="single"/>
        </w:rPr>
        <w:t>, that (i) after giving effect thereto</w:t>
      </w:r>
      <w:r>
        <w:rPr>
          <w:color w:val="0000FF"/>
        </w:rPr>
        <w:t xml:space="preserve"> </w:t>
      </w:r>
      <w:r>
        <w:rPr>
          <w:rFonts w:ascii="Times New Roman" w:hAnsi="Times New Roman"/>
          <w:color w:val="0000FF"/>
          <w:sz w:val="22"/>
          <w:u w:val="single"/>
        </w:rPr>
        <w:t xml:space="preserve">on a pro forma basis (A) in the case of Indebtedness that is secured by a Lien on the Collateral on a </w:t>
      </w:r>
      <w:r>
        <w:rPr>
          <w:rFonts w:ascii="Times New Roman" w:hAnsi="Times New Roman"/>
          <w:i/>
          <w:color w:val="0000FF"/>
          <w:sz w:val="22"/>
          <w:u w:val="single"/>
        </w:rPr>
        <w:t xml:space="preserve">pari passu </w:t>
      </w:r>
      <w:r>
        <w:rPr>
          <w:rFonts w:ascii="Times New Roman" w:hAnsi="Times New Roman"/>
          <w:color w:val="0000FF"/>
          <w:sz w:val="22"/>
          <w:u w:val="single"/>
        </w:rPr>
        <w:t>basis to the Liens securing the Obligations, the Consolidated Secured Net Leverage</w:t>
      </w:r>
      <w:r>
        <w:rPr>
          <w:color w:val="0000FF"/>
        </w:rPr>
        <w:t xml:space="preserve"> </w:t>
      </w:r>
      <w:r>
        <w:rPr>
          <w:rFonts w:ascii="Times New Roman" w:hAnsi="Times New Roman"/>
          <w:color w:val="0000FF"/>
          <w:sz w:val="22"/>
          <w:u w:val="single"/>
        </w:rPr>
        <w:t>Ratio does not exceed (I) 2.25:1.00 or (II) if incurred in connection with a Permitted Acquisition,</w:t>
      </w:r>
      <w:r>
        <w:rPr>
          <w:color w:val="0000FF"/>
        </w:rPr>
        <w:t xml:space="preserve"> </w:t>
      </w:r>
      <w:r>
        <w:rPr>
          <w:rFonts w:ascii="Times New Roman" w:hAnsi="Times New Roman"/>
          <w:color w:val="0000FF"/>
          <w:sz w:val="22"/>
          <w:u w:val="single"/>
        </w:rPr>
        <w:t>the greater of (x) 2.25:1.00 and (y) the Consolidated Secured Net Leverage Ratio immediately prior</w:t>
      </w:r>
      <w:r>
        <w:rPr>
          <w:color w:val="0000FF"/>
        </w:rPr>
        <w:t xml:space="preserve"> </w:t>
      </w:r>
      <w:r>
        <w:rPr>
          <w:rFonts w:ascii="Times New Roman" w:hAnsi="Times New Roman"/>
          <w:color w:val="0000FF"/>
          <w:sz w:val="22"/>
          <w:u w:val="single"/>
        </w:rPr>
        <w:t>to such incurrence, (B) in the case of any Indebtedness that is unsecured, the Consolidated Net</w:t>
      </w:r>
      <w:r>
        <w:rPr>
          <w:color w:val="0000FF"/>
        </w:rPr>
        <w:t xml:space="preserve"> </w:t>
      </w:r>
      <w:r>
        <w:rPr>
          <w:rFonts w:ascii="Times New Roman" w:hAnsi="Times New Roman"/>
          <w:color w:val="0000FF"/>
          <w:sz w:val="22"/>
          <w:u w:val="single"/>
        </w:rPr>
        <w:t>Leverage Ratio does not exceed (I) 3.75:1.00 or (II) if incurred in connection with a Permitted</w:t>
      </w:r>
      <w:r>
        <w:rPr>
          <w:color w:val="0000FF"/>
        </w:rPr>
        <w:t xml:space="preserve"> </w:t>
      </w:r>
      <w:r>
        <w:rPr>
          <w:rFonts w:ascii="Times New Roman" w:hAnsi="Times New Roman"/>
          <w:color w:val="0000FF"/>
          <w:sz w:val="22"/>
          <w:u w:val="single"/>
        </w:rPr>
        <w:t>Acquisition, the greater of (x) 3.75:1.00 and (y) the Consolidated Net Leverage Ratio immediately</w:t>
      </w:r>
      <w:r>
        <w:rPr>
          <w:color w:val="0000FF"/>
        </w:rPr>
        <w:t xml:space="preserve"> </w:t>
      </w:r>
      <w:r>
        <w:rPr>
          <w:rFonts w:ascii="Times New Roman" w:hAnsi="Times New Roman"/>
          <w:color w:val="0000FF"/>
          <w:sz w:val="22"/>
          <w:u w:val="single"/>
        </w:rPr>
        <w:t>prior to such incurrence, (ii) no Default or Event of Default shall have occurred and be continuing</w:t>
      </w:r>
      <w:r>
        <w:rPr>
          <w:color w:val="0000FF"/>
        </w:rPr>
        <w:t xml:space="preserve"> </w:t>
      </w:r>
      <w:r>
        <w:rPr>
          <w:rFonts w:ascii="Times New Roman" w:hAnsi="Times New Roman"/>
          <w:color w:val="0000FF"/>
          <w:sz w:val="22"/>
          <w:u w:val="single"/>
        </w:rPr>
        <w:t>both before and after giving effect to the incurrence of such Indebtedness, (iii) the terms of such</w:t>
      </w:r>
      <w:r>
        <w:rPr>
          <w:color w:val="0000FF"/>
        </w:rPr>
        <w:t xml:space="preserve"> </w:t>
      </w:r>
      <w:r>
        <w:rPr>
          <w:rFonts w:ascii="Times New Roman" w:hAnsi="Times New Roman"/>
          <w:color w:val="0000FF"/>
          <w:sz w:val="22"/>
          <w:u w:val="single"/>
        </w:rPr>
        <w:t>Indebtedness are no more restrictive on the Loan Parties than the terms governing the Facilities, (iv) the maturity date with respect to such Indebtedness shall be no earlier than the latest Maturity</w:t>
      </w:r>
      <w:r>
        <w:rPr>
          <w:color w:val="0000FF"/>
        </w:rPr>
        <w:t xml:space="preserve"> </w:t>
      </w:r>
      <w:r>
        <w:rPr>
          <w:rFonts w:ascii="Times New Roman" w:hAnsi="Times New Roman"/>
          <w:color w:val="0000FF"/>
          <w:sz w:val="22"/>
          <w:u w:val="single"/>
        </w:rPr>
        <w:t xml:space="preserve">Date hereunder and (v) if any such Indebtedness is secured by Liens on the Collateral on a </w:t>
      </w:r>
      <w:r>
        <w:rPr>
          <w:rFonts w:ascii="Times New Roman" w:hAnsi="Times New Roman"/>
          <w:i/>
          <w:color w:val="0000FF"/>
          <w:sz w:val="22"/>
          <w:u w:val="single"/>
        </w:rPr>
        <w:t>pari</w:t>
      </w:r>
      <w:r>
        <w:rPr>
          <w:color w:val="0000FF"/>
        </w:rPr>
        <w:t xml:space="preserve"> </w:t>
      </w:r>
      <w:r>
        <w:rPr>
          <w:rFonts w:ascii="Times New Roman" w:hAnsi="Times New Roman"/>
          <w:i/>
          <w:color w:val="0000FF"/>
          <w:sz w:val="22"/>
          <w:u w:val="single"/>
        </w:rPr>
        <w:t xml:space="preserve">passu </w:t>
      </w:r>
      <w:r>
        <w:rPr>
          <w:rFonts w:ascii="Times New Roman" w:hAnsi="Times New Roman"/>
          <w:color w:val="0000FF"/>
          <w:sz w:val="22"/>
          <w:u w:val="single"/>
        </w:rPr>
        <w:t>basis with the Liens securing the Obligations, such Indebtedness shall be subject to an</w:t>
      </w:r>
      <w:r>
        <w:rPr>
          <w:color w:val="0000FF"/>
        </w:rPr>
        <w:t xml:space="preserve"> </w:t>
      </w:r>
      <w:r>
        <w:rPr>
          <w:rFonts w:ascii="Times New Roman" w:hAnsi="Times New Roman"/>
          <w:color w:val="0000FF"/>
          <w:sz w:val="22"/>
          <w:u w:val="single"/>
        </w:rPr>
        <w:t>intercreditor agreement in form and substance acceptable to the Administrative Agent;</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(n)</w:t>
      </w:r>
    </w:p>
    <w:p>
      <w:pPr>
        <w:pStyle w:val="TextBody"/>
        <w:bidi w:val="0"/>
        <w:spacing w:before="240" w:after="283"/>
        <w:jc w:val="both"/>
        <w:rPr/>
      </w:pPr>
      <w:r>
        <w:rPr>
          <w:rFonts w:ascii="Times New Roman" w:hAnsi="Times New Roman"/>
          <w:strike/>
          <w:color w:val="FF0000"/>
          <w:sz w:val="22"/>
        </w:rPr>
        <w:t>(m) unsecured</w:t>
      </w:r>
      <w:r>
        <w:rPr>
          <w:rFonts w:ascii="Times New Roman" w:hAnsi="Times New Roman"/>
          <w:color w:val="0000FF"/>
          <w:sz w:val="22"/>
          <w:u w:val="single"/>
        </w:rPr>
        <w:t>Permitted Convertible</w:t>
      </w:r>
      <w:r>
        <w:rPr>
          <w:color w:val="0000FF"/>
        </w:rPr>
        <w:t xml:space="preserve"> </w:t>
      </w:r>
      <w:r>
        <w:rPr>
          <w:rFonts w:ascii="Times New Roman" w:hAnsi="Times New Roman"/>
          <w:color w:val="000000"/>
          <w:sz w:val="22"/>
        </w:rPr>
        <w:t>Indebtedness in an aggregate principal amount not to exceed $</w:t>
      </w:r>
      <w:r>
        <w:rPr>
          <w:rFonts w:ascii="Times New Roman" w:hAnsi="Times New Roman"/>
          <w:strike/>
          <w:color w:val="FF0000"/>
          <w:sz w:val="22"/>
        </w:rPr>
        <w:t>50,000,000</w:t>
      </w:r>
      <w:r>
        <w:rPr>
          <w:rFonts w:ascii="Times New Roman" w:hAnsi="Times New Roman"/>
          <w:color w:val="0000FF"/>
          <w:sz w:val="22"/>
          <w:u w:val="single"/>
        </w:rPr>
        <w:t>500,000,000</w:t>
      </w:r>
      <w:r>
        <w:rPr>
          <w:color w:val="0000FF"/>
        </w:rPr>
        <w:t xml:space="preserve"> </w:t>
      </w:r>
      <w:r>
        <w:rPr>
          <w:rFonts w:ascii="Times New Roman" w:hAnsi="Times New Roman"/>
          <w:color w:val="000000"/>
          <w:sz w:val="22"/>
        </w:rPr>
        <w:t>at any time outstanding;</w:t>
      </w:r>
    </w:p>
    <w:p>
      <w:pPr>
        <w:pStyle w:val="TextBody"/>
        <w:bidi w:val="0"/>
        <w:spacing w:before="240" w:after="283"/>
        <w:jc w:val="both"/>
        <w:rPr>
          <w:rFonts w:ascii="Times New Roman" w:hAnsi="Times New Roman"/>
          <w:strike/>
          <w:color w:val="000000"/>
          <w:sz w:val="22"/>
        </w:rPr>
      </w:pPr>
      <w:r>
        <w:rPr>
          <w:rFonts w:ascii="Times New Roman" w:hAnsi="Times New Roman"/>
          <w:strike/>
          <w:color w:val="000000"/>
          <w:sz w:val="22"/>
        </w:rPr>
        <w:t>(n)</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[reserved];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trike/>
          <w:color w:val="000000"/>
          <w:sz w:val="22"/>
        </w:rPr>
      </w:pPr>
      <w:r>
        <w:rPr>
          <w:rFonts w:ascii="Times New Roman" w:hAnsi="Times New Roman"/>
          <w:strike/>
          <w:color w:val="000000"/>
          <w:sz w:val="22"/>
        </w:rPr>
        <w:t>(o)</w:t>
      </w:r>
    </w:p>
    <w:p>
      <w:pPr>
        <w:pStyle w:val="TextBody"/>
        <w:bidi w:val="0"/>
        <w:spacing w:before="240" w:after="283"/>
        <w:jc w:val="both"/>
        <w:rPr/>
      </w:pPr>
      <w:r>
        <w:rPr>
          <w:rFonts w:ascii="Times New Roman" w:hAnsi="Times New Roman"/>
          <w:color w:val="000000"/>
          <w:sz w:val="22"/>
        </w:rPr>
        <w:t xml:space="preserve">the unsecured Guarantees of the Domestic Borrower in respect of certain Indebtedness of Diodes Taiwan S.A.R.L., Hsinchu Branch (Luxembourg) incurred pursuant to Section 7.02(g); </w:t>
      </w:r>
      <w:r>
        <w:rPr>
          <w:rFonts w:ascii="Times New Roman" w:hAnsi="Times New Roman"/>
          <w:i/>
          <w:color w:val="000000"/>
          <w:sz w:val="22"/>
        </w:rPr>
        <w:t xml:space="preserve">provided </w:t>
      </w:r>
      <w:r>
        <w:rPr>
          <w:rFonts w:ascii="Times New Roman" w:hAnsi="Times New Roman"/>
          <w:color w:val="000000"/>
          <w:sz w:val="22"/>
        </w:rPr>
        <w:t>that the aggregate amount of such Indebtedness Guaranteed pursuant to this clause (o) shall not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$20,000,000</w:t>
      </w:r>
      <w:r>
        <w:rPr>
          <w:color w:val="0000FF"/>
          <w:u w:val="single"/>
        </w:rPr>
        <w:t xml:space="preserve"> </w:t>
      </w:r>
      <w:r>
        <w:rPr>
          <w:rFonts w:ascii="Times New Roman" w:hAnsi="Times New Roman"/>
          <w:color w:val="0000FF"/>
          <w:sz w:val="22"/>
          <w:u w:val="single"/>
        </w:rPr>
        <w:t>and (y) 10% of Consolidated</w:t>
      </w:r>
      <w:r>
        <w:rPr>
          <w:color w:val="0000FF"/>
        </w:rPr>
        <w:t xml:space="preserve"> </w:t>
      </w:r>
      <w:r>
        <w:rPr>
          <w:rFonts w:ascii="Times New Roman" w:hAnsi="Times New Roman"/>
          <w:color w:val="0000FF"/>
          <w:sz w:val="22"/>
          <w:u w:val="single"/>
        </w:rPr>
        <w:t>EBITDA for the most recently ended Measurement Period for which financial statements have</w:t>
      </w:r>
      <w:r>
        <w:rPr>
          <w:color w:val="0000FF"/>
        </w:rPr>
        <w:t xml:space="preserve"> </w:t>
      </w:r>
      <w:r>
        <w:rPr>
          <w:rFonts w:ascii="Times New Roman" w:hAnsi="Times New Roman"/>
          <w:color w:val="0000FF"/>
          <w:sz w:val="22"/>
          <w:u w:val="single"/>
        </w:rPr>
        <w:t>been delivered pursuant to Section 6.01(a) or (b),</w:t>
      </w:r>
      <w:r>
        <w:rPr>
          <w:color w:val="0000FF"/>
        </w:rPr>
        <w:t xml:space="preserve"> </w:t>
      </w:r>
      <w:r>
        <w:rPr>
          <w:rFonts w:ascii="Times New Roman" w:hAnsi="Times New Roman"/>
          <w:color w:val="000000"/>
          <w:sz w:val="22"/>
        </w:rPr>
        <w:t>in the aggregate outstanding at any time;</w:t>
      </w:r>
    </w:p>
    <w:p>
      <w:pPr>
        <w:pStyle w:val="TextBody"/>
        <w:bidi w:val="0"/>
        <w:spacing w:before="240" w:after="283"/>
        <w:jc w:val="both"/>
        <w:rPr>
          <w:rFonts w:ascii="Times New Roman" w:hAnsi="Times New Roman"/>
          <w:strike/>
          <w:color w:val="000000"/>
          <w:sz w:val="22"/>
        </w:rPr>
      </w:pPr>
      <w:r>
        <w:rPr>
          <w:rFonts w:ascii="Times New Roman" w:hAnsi="Times New Roman"/>
          <w:strike/>
          <w:color w:val="000000"/>
          <w:sz w:val="22"/>
        </w:rPr>
        <w:t>(p)</w:t>
      </w:r>
    </w:p>
    <w:p>
      <w:pPr>
        <w:pStyle w:val="TextBody"/>
        <w:bidi w:val="0"/>
        <w:spacing w:before="240" w:after="283"/>
        <w:jc w:val="both"/>
        <w:rPr/>
      </w:pPr>
      <w:r>
        <w:rPr>
          <w:rFonts w:ascii="Times New Roman" w:hAnsi="Times New Roman"/>
          <w:color w:val="000000"/>
          <w:sz w:val="22"/>
        </w:rPr>
        <w:t xml:space="preserve">unsecured Indebtedness of the Domestic Borrower owing to any wholly-owned Subsidiary that is not a Loan Party;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aggregate amount of all such Indebtedness at any one time outstanding shall not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 xml:space="preserve">$300,000,000 and </w:t>
      </w:r>
      <w:r>
        <w:rPr>
          <w:rFonts w:ascii="Times New Roman" w:hAnsi="Times New Roman"/>
          <w:color w:val="0000FF"/>
          <w:sz w:val="22"/>
          <w:u w:val="single"/>
        </w:rPr>
        <w:t>(y)</w:t>
      </w:r>
      <w:r>
        <w:rPr>
          <w:color w:val="0000FF"/>
        </w:rPr>
        <w:t xml:space="preserve"> </w:t>
      </w:r>
      <w:r>
        <w:rPr>
          <w:rFonts w:ascii="Times New Roman" w:hAnsi="Times New Roman"/>
          <w:color w:val="0000FF"/>
          <w:sz w:val="22"/>
          <w:u w:val="single"/>
        </w:rPr>
        <w:t>115% of Consolidated EBITDA for the most recently ended Measurement Period for which</w:t>
      </w:r>
      <w:r>
        <w:rPr>
          <w:color w:val="0000FF"/>
        </w:rPr>
        <w:t xml:space="preserve"> </w:t>
      </w:r>
      <w:r>
        <w:rPr>
          <w:rFonts w:ascii="Times New Roman" w:hAnsi="Times New Roman"/>
          <w:color w:val="0000FF"/>
          <w:sz w:val="22"/>
          <w:u w:val="single"/>
        </w:rPr>
        <w:t xml:space="preserve">financial statements have been delivered pursuant to Section 6.01(a) or (b); </w:t>
      </w:r>
      <w:r>
        <w:rPr>
          <w:rFonts w:ascii="Times New Roman" w:hAnsi="Times New Roman"/>
          <w:i/>
          <w:color w:val="000000"/>
          <w:sz w:val="22"/>
        </w:rPr>
        <w:t>provided further</w:t>
      </w:r>
      <w:r>
        <w:rPr>
          <w:rFonts w:ascii="Times New Roman" w:hAnsi="Times New Roman"/>
          <w:color w:val="0000FF"/>
          <w:sz w:val="22"/>
        </w:rPr>
        <w:t xml:space="preserve">, </w:t>
      </w:r>
      <w:r>
        <w:rPr>
          <w:rFonts w:ascii="Times New Roman" w:hAnsi="Times New Roman"/>
          <w:color w:val="000000"/>
          <w:sz w:val="22"/>
        </w:rPr>
        <w:t>that no payment on such Indebtedness may be made upon the occurrence and during the continuance of a Default or Event of Default;</w:t>
      </w:r>
    </w:p>
    <w:p>
      <w:pPr>
        <w:pStyle w:val="TextBody"/>
        <w:bidi w:val="0"/>
        <w:spacing w:before="240" w:after="283"/>
        <w:jc w:val="both"/>
        <w:rPr>
          <w:rFonts w:ascii="Times New Roman" w:hAnsi="Times New Roman"/>
          <w:strike/>
          <w:color w:val="000000"/>
          <w:sz w:val="22"/>
        </w:rPr>
      </w:pPr>
      <w:r>
        <w:rPr>
          <w:rFonts w:ascii="Times New Roman" w:hAnsi="Times New Roman"/>
          <w:strike/>
          <w:color w:val="000000"/>
          <w:sz w:val="22"/>
        </w:rPr>
        <w:t>(q)</w:t>
      </w:r>
    </w:p>
    <w:p>
      <w:pPr>
        <w:pStyle w:val="TextBody"/>
        <w:bidi w:val="0"/>
        <w:spacing w:before="240" w:after="283"/>
        <w:jc w:val="both"/>
        <w:rPr/>
      </w:pPr>
      <w:r>
        <w:rPr>
          <w:rFonts w:ascii="Times New Roman" w:hAnsi="Times New Roman"/>
          <w:color w:val="000000"/>
          <w:sz w:val="22"/>
        </w:rPr>
        <w:t xml:space="preserve">Indebtedness incurred by any Excluded Securitization Subsidiary in connection with any Qualified Securitization Transaction provided that such Indebtedness is non-recourse to any Person other than the Excluded Securitization Subsidiary and other than in respect of a Guarantee given by the Domestic Borrower as permitted under Section 7.02(e)(ii) above;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however, </w:t>
      </w:r>
      <w:r>
        <w:rPr>
          <w:rFonts w:ascii="Times New Roman" w:hAnsi="Times New Roman"/>
          <w:color w:val="000000"/>
          <w:sz w:val="22"/>
        </w:rPr>
        <w:t>that the aggregate amount of all such Indebtedness at any one time outstanding, together with the aggregate amount of all Indebtedness incurred in connection with any Permitted Receivables Facilities permitted pursuant to Section 7.02(r) below, shall not exceed</w:t>
      </w:r>
      <w:r>
        <w:rPr>
          <w:color w:val="0000FF"/>
          <w:u w:val="single"/>
        </w:rPr>
        <w:t xml:space="preserve"> </w:t>
      </w:r>
      <w:r>
        <w:rPr>
          <w:rFonts w:ascii="Times New Roman" w:hAnsi="Times New Roman"/>
          <w:color w:val="0000FF"/>
          <w:sz w:val="22"/>
          <w:u w:val="single"/>
        </w:rPr>
        <w:t>the greater of</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(x)</w:t>
      </w:r>
      <w:r>
        <w:rPr>
          <w:rFonts w:ascii="Times New Roman" w:hAnsi="Times New Roman"/>
          <w:color w:val="0000FF"/>
          <w:sz w:val="20"/>
        </w:rPr>
        <w:t xml:space="preserve"> </w:t>
      </w:r>
      <w:r>
        <w:rPr>
          <w:rFonts w:ascii="Times New Roman" w:hAnsi="Times New Roman"/>
          <w:color w:val="000000"/>
          <w:sz w:val="22"/>
        </w:rPr>
        <w:t>$200,000,000</w:t>
      </w:r>
      <w:r>
        <w:rPr>
          <w:rFonts w:ascii="Times New Roman" w:hAnsi="Times New Roman"/>
          <w:color w:val="FF0000"/>
          <w:sz w:val="22"/>
        </w:rPr>
        <w:t xml:space="preserve">; </w:t>
      </w:r>
      <w:r>
        <w:rPr>
          <w:rFonts w:ascii="Times New Roman" w:hAnsi="Times New Roman"/>
          <w:color w:val="000000"/>
          <w:sz w:val="22"/>
        </w:rPr>
        <w:t>and</w:t>
      </w:r>
      <w:r>
        <w:rPr>
          <w:rFonts w:ascii="Times New Roman" w:hAnsi="Times New Roman"/>
          <w:color w:val="0000FF"/>
          <w:sz w:val="20"/>
          <w:u w:val="single"/>
        </w:rPr>
        <w:t xml:space="preserve"> </w:t>
      </w:r>
      <w:r>
        <w:rPr>
          <w:rFonts w:ascii="Times New Roman" w:hAnsi="Times New Roman"/>
          <w:color w:val="0000FF"/>
          <w:sz w:val="22"/>
          <w:u w:val="single"/>
        </w:rPr>
        <w:t>(y) 80% of Consolidated EBITDA for the most recently ended Measurement</w:t>
      </w:r>
      <w:r>
        <w:rPr>
          <w:rFonts w:ascii="Times New Roman" w:hAnsi="Times New Roman"/>
          <w:color w:val="0000FF"/>
          <w:sz w:val="20"/>
        </w:rPr>
        <w:t xml:space="preserve"> </w:t>
      </w:r>
      <w:r>
        <w:rPr>
          <w:rFonts w:ascii="Times New Roman" w:hAnsi="Times New Roman"/>
          <w:color w:val="0000FF"/>
          <w:sz w:val="22"/>
          <w:u w:val="single"/>
        </w:rPr>
        <w:t>Period for which financial statements have been delivered pursuant to Section 6.01(a) or (b);</w:t>
      </w:r>
    </w:p>
    <w:p>
      <w:pPr>
        <w:pStyle w:val="TextBody"/>
        <w:bidi w:val="0"/>
        <w:spacing w:before="240" w:after="283"/>
        <w:jc w:val="both"/>
        <w:rPr>
          <w:rFonts w:ascii="Times New Roman" w:hAnsi="Times New Roman"/>
          <w:strike/>
          <w:color w:val="000000"/>
          <w:sz w:val="22"/>
        </w:rPr>
      </w:pPr>
      <w:r>
        <w:rPr>
          <w:rFonts w:ascii="Times New Roman" w:hAnsi="Times New Roman"/>
          <w:strike/>
          <w:color w:val="000000"/>
          <w:sz w:val="22"/>
        </w:rPr>
        <w:t>(r)</w:t>
      </w:r>
    </w:p>
    <w:p>
      <w:pPr>
        <w:pStyle w:val="TextBody"/>
        <w:bidi w:val="0"/>
        <w:spacing w:before="240" w:after="283"/>
        <w:jc w:val="both"/>
        <w:rPr/>
      </w:pPr>
      <w:r>
        <w:rPr>
          <w:rFonts w:ascii="Times New Roman" w:hAnsi="Times New Roman"/>
          <w:color w:val="000000"/>
          <w:sz w:val="22"/>
        </w:rPr>
        <w:t xml:space="preserve">any Permitted Receivables Facility;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however, </w:t>
      </w:r>
      <w:r>
        <w:rPr>
          <w:rFonts w:ascii="Times New Roman" w:hAnsi="Times New Roman"/>
          <w:color w:val="000000"/>
          <w:sz w:val="22"/>
        </w:rPr>
        <w:t>that the aggregate amount of all such Indebtedness at any one time outstanding, together with the aggregate amount of all Indebtedness incurred in connection with any Qualified Securitization Transactions permitted pursuant to Section 7.02(q) above, shall not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$200,000,000</w:t>
      </w:r>
      <w:r>
        <w:rPr>
          <w:color w:val="0000FF"/>
          <w:u w:val="single"/>
        </w:rPr>
        <w:t xml:space="preserve"> </w:t>
      </w:r>
      <w:r>
        <w:rPr>
          <w:rFonts w:ascii="Times New Roman" w:hAnsi="Times New Roman"/>
          <w:color w:val="0000FF"/>
          <w:sz w:val="22"/>
          <w:u w:val="single"/>
        </w:rPr>
        <w:t>and (y) 80% of</w:t>
      </w:r>
      <w:r>
        <w:rPr>
          <w:color w:val="0000FF"/>
        </w:rPr>
        <w:t xml:space="preserve"> </w:t>
      </w:r>
      <w:r>
        <w:rPr>
          <w:rFonts w:ascii="Times New Roman" w:hAnsi="Times New Roman"/>
          <w:color w:val="0000FF"/>
          <w:sz w:val="22"/>
          <w:u w:val="single"/>
        </w:rPr>
        <w:t>Consolidated EBITDA for the most recently ended Measurement Period for which financial</w:t>
      </w:r>
      <w:r>
        <w:rPr>
          <w:color w:val="0000FF"/>
        </w:rPr>
        <w:t xml:space="preserve"> </w:t>
      </w:r>
      <w:r>
        <w:rPr>
          <w:rFonts w:ascii="Times New Roman" w:hAnsi="Times New Roman"/>
          <w:color w:val="0000FF"/>
          <w:sz w:val="22"/>
          <w:u w:val="single"/>
        </w:rPr>
        <w:t>statements have been delivered pursuant to Section 6.01(a) or (b)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compliance with this Section 7.02: (x) if any item meets the criteria set forth in more than one of clauses (a) through (r) of this Section 7.02 then the Borrowers may classify or reclassify such item in any manner that complies with this Section 7.02 and such item shall be treated as having been permitted pursuant to only one of the clauses of this Section 7.02; and (y) any item meeting the criteria set forth in more than one of clauses (a) through (r) of this Section 7.02 may be divided and classified and reclassified among more than one of the clauses of this Section 7.02.</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anything to the contrary set forth herein, no Loan Party shall be permitted to create, incur,</w:t>
      </w:r>
      <w:r>
        <w:rPr>
          <w:rFonts w:ascii="Times New Roman" w:hAnsi="Times New Roman"/>
          <w:color w:val="0000FF"/>
          <w:sz w:val="20"/>
        </w:rPr>
        <w:t xml:space="preserve"> </w:t>
      </w:r>
      <w:r>
        <w:rPr>
          <w:rFonts w:ascii="Times New Roman" w:hAnsi="Times New Roman"/>
          <w:color w:val="0000FF"/>
          <w:sz w:val="22"/>
          <w:u w:val="single"/>
        </w:rPr>
        <w:t>assume, guaranty or otherwise become or remain directly or indirectly liable with respect to any</w:t>
      </w:r>
      <w:r>
        <w:rPr>
          <w:rFonts w:ascii="Times New Roman" w:hAnsi="Times New Roman"/>
          <w:color w:val="0000FF"/>
          <w:sz w:val="20"/>
        </w:rPr>
        <w:t xml:space="preserve"> </w:t>
      </w:r>
      <w:r>
        <w:rPr>
          <w:rFonts w:ascii="Times New Roman" w:hAnsi="Times New Roman"/>
          <w:color w:val="0000FF"/>
          <w:sz w:val="22"/>
          <w:u w:val="single"/>
        </w:rPr>
        <w:t>Indebtedness that is, from or of a Subsidiary that is a non-Loan Party (such creation, incurrence, assumption</w:t>
      </w:r>
      <w:r>
        <w:rPr>
          <w:rFonts w:ascii="Times New Roman" w:hAnsi="Times New Roman"/>
          <w:color w:val="0000FF"/>
          <w:sz w:val="20"/>
        </w:rPr>
        <w:t xml:space="preserve"> </w:t>
      </w:r>
      <w:r>
        <w:rPr>
          <w:rFonts w:ascii="Times New Roman" w:hAnsi="Times New Roman"/>
          <w:color w:val="0000FF"/>
          <w:sz w:val="22"/>
          <w:u w:val="single"/>
        </w:rPr>
        <w:t>or guaranty being referred to as “</w:t>
      </w:r>
      <w:r>
        <w:rPr>
          <w:rFonts w:ascii="Times New Roman" w:hAnsi="Times New Roman"/>
          <w:i/>
          <w:color w:val="0000FF"/>
          <w:sz w:val="22"/>
          <w:u w:val="single"/>
        </w:rPr>
        <w:t>Non-Loan Party Indebtedness of Loan Parties</w:t>
      </w:r>
      <w:r>
        <w:rPr>
          <w:rFonts w:ascii="Times New Roman" w:hAnsi="Times New Roman"/>
          <w:color w:val="0000FF"/>
          <w:sz w:val="20"/>
          <w:u w:val="single"/>
        </w:rPr>
        <w:t>”</w:t>
      </w:r>
      <w:r>
        <w:rPr>
          <w:rFonts w:ascii="Times New Roman" w:hAnsi="Times New Roman"/>
          <w:color w:val="0000FF"/>
          <w:sz w:val="22"/>
          <w:u w:val="single"/>
        </w:rPr>
        <w:t>) to the extent that the</w:t>
      </w:r>
      <w:r>
        <w:rPr>
          <w:rFonts w:ascii="Times New Roman" w:hAnsi="Times New Roman"/>
          <w:color w:val="0000FF"/>
          <w:sz w:val="20"/>
        </w:rPr>
        <w:t xml:space="preserve"> </w:t>
      </w:r>
      <w:r>
        <w:rPr>
          <w:rFonts w:ascii="Times New Roman" w:hAnsi="Times New Roman"/>
          <w:color w:val="0000FF"/>
          <w:sz w:val="22"/>
          <w:u w:val="single"/>
        </w:rPr>
        <w:t>structuring of any claims with respect to any Indebtedness created, assumed, incurred or guaranteed by such</w:t>
      </w:r>
      <w:r>
        <w:rPr>
          <w:rFonts w:ascii="Times New Roman" w:hAnsi="Times New Roman"/>
          <w:color w:val="0000FF"/>
          <w:sz w:val="20"/>
        </w:rPr>
        <w:t xml:space="preserve"> </w:t>
      </w:r>
      <w:r>
        <w:rPr>
          <w:rFonts w:ascii="Times New Roman" w:hAnsi="Times New Roman"/>
          <w:color w:val="0000FF"/>
          <w:sz w:val="22"/>
          <w:u w:val="single"/>
        </w:rPr>
        <w:t>Loan Parties, together with any Non-Loan Party Indebtedness of Loan Parties, could reasonably be</w:t>
      </w:r>
      <w:r>
        <w:rPr>
          <w:rFonts w:ascii="Times New Roman" w:hAnsi="Times New Roman"/>
          <w:color w:val="0000FF"/>
          <w:sz w:val="20"/>
        </w:rPr>
        <w:t xml:space="preserve"> </w:t>
      </w:r>
      <w:r>
        <w:rPr>
          <w:rFonts w:ascii="Times New Roman" w:hAnsi="Times New Roman"/>
          <w:color w:val="0000FF"/>
          <w:sz w:val="22"/>
          <w:u w:val="single"/>
        </w:rPr>
        <w:t>expected to result in two or more bankruptcy claims against the same Loan Party or a double claim for</w:t>
      </w:r>
      <w:r>
        <w:rPr>
          <w:rFonts w:ascii="Times New Roman" w:hAnsi="Times New Roman"/>
          <w:color w:val="0000FF"/>
          <w:sz w:val="20"/>
        </w:rPr>
        <w:t xml:space="preserve"> </w:t>
      </w:r>
      <w:r>
        <w:rPr>
          <w:rFonts w:ascii="Times New Roman" w:hAnsi="Times New Roman"/>
          <w:color w:val="0000FF"/>
          <w:sz w:val="22"/>
          <w:u w:val="single"/>
        </w:rPr>
        <w:t>direct and indirect obligations against the same Loan Party, arising from one transaction or series of</w:t>
      </w:r>
      <w:r>
        <w:rPr>
          <w:rFonts w:ascii="Times New Roman" w:hAnsi="Times New Roman"/>
          <w:color w:val="0000FF"/>
          <w:sz w:val="20"/>
        </w:rPr>
        <w:t xml:space="preserve"> </w:t>
      </w:r>
      <w:r>
        <w:rPr>
          <w:rFonts w:ascii="Times New Roman" w:hAnsi="Times New Roman"/>
          <w:color w:val="0000FF"/>
          <w:sz w:val="22"/>
          <w:u w:val="single"/>
        </w:rPr>
        <w:t>transactions relating to the same underlying Non-Loan Party Indebtedness of Loan Parties.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7.03. Investments</w:t>
      </w:r>
      <w:r>
        <w:rPr>
          <w:rFonts w:ascii="Times New Roman" w:hAnsi="Times New Roman"/>
          <w:color w:val="000000"/>
          <w:sz w:val="22"/>
        </w:rPr>
        <w:t>. Make or hold any Investments,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held by the Domestic Borrower and its Subsidiaries in the form of Cash Equivalents;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advances to officers, directors and employees of the Domestic Borrower and Subsidiaries for travel, entertainment, relocation and analogous ordinary business purposes;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 Investments by the Domestic Borrower and its Subsidiaries in their respective Subsidiaries outstanding on the date hereof, (ii) additional Investments by the Domestic Borrower and its Subsidiaries in Loan Parties, (iii) additional Investments by Subsidiaries of the Domestic Borrower that are not Loan Parties in other Subsidiaries that are not Loan Parties, (iv) so long as no Default has occurred and is continuing or would result from such Investment, additional Investments by the Loan Parties in wholly-owned Subsidiaries that are not Loan Parties in an aggregate amount invested from the date hereof not to exceed </w:t>
      </w:r>
      <w:r>
        <w:rPr>
          <w:rFonts w:ascii="Times New Roman" w:hAnsi="Times New Roman"/>
          <w:color w:val="0000FF"/>
          <w:sz w:val="22"/>
          <w:u w:val="single"/>
        </w:rPr>
        <w:t xml:space="preserve">the greater of (x) </w:t>
      </w:r>
      <w:r>
        <w:rPr>
          <w:rFonts w:ascii="Times New Roman" w:hAnsi="Times New Roman"/>
          <w:color w:val="000000"/>
          <w:sz w:val="22"/>
        </w:rPr>
        <w:t>$100,000,000</w:t>
      </w:r>
      <w:r>
        <w:rPr>
          <w:color w:val="0000FF"/>
          <w:u w:val="single"/>
        </w:rPr>
        <w:t xml:space="preserve"> </w:t>
      </w:r>
      <w:r>
        <w:rPr>
          <w:rFonts w:ascii="Times New Roman" w:hAnsi="Times New Roman"/>
          <w:color w:val="0000FF"/>
          <w:sz w:val="22"/>
          <w:u w:val="single"/>
        </w:rPr>
        <w:t>and (y) 40% of Consolidated EBITDA for the most recently ended Measurement Period for which</w:t>
      </w:r>
      <w:r>
        <w:rPr>
          <w:color w:val="0000FF"/>
        </w:rPr>
        <w:t xml:space="preserve"> </w:t>
      </w:r>
      <w:r>
        <w:rPr>
          <w:rFonts w:ascii="Times New Roman" w:hAnsi="Times New Roman"/>
          <w:color w:val="0000FF"/>
          <w:sz w:val="22"/>
          <w:u w:val="single"/>
        </w:rPr>
        <w:t>financial statements have been delivered pursuant to Section 6.01(a) or (b)</w:t>
      </w:r>
      <w:r>
        <w:rPr>
          <w:rFonts w:ascii="Times New Roman" w:hAnsi="Times New Roman"/>
          <w:color w:val="000000"/>
          <w:sz w:val="22"/>
        </w:rPr>
        <w:t>, (v) the TFSS Investment and (vi) the Domestic Borrower may make Investments in the form of intercompany loans to wholly-owned Subsidiaries of the Domestic Borrower that are not Loan Parties in an aggregate amount for all such intercompany loans not to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 xml:space="preserve">$300,000,000 </w:t>
      </w:r>
      <w:r>
        <w:rPr>
          <w:rFonts w:ascii="Times New Roman" w:hAnsi="Times New Roman"/>
          <w:color w:val="0000FF"/>
          <w:sz w:val="22"/>
          <w:u w:val="single"/>
        </w:rPr>
        <w:t>and (y) 100% of Consolidated EBITDA for the most recently ended Measurement Period for which</w:t>
      </w:r>
      <w:r>
        <w:rPr>
          <w:color w:val="0000FF"/>
        </w:rPr>
        <w:t xml:space="preserve"> </w:t>
      </w:r>
      <w:r>
        <w:rPr>
          <w:rFonts w:ascii="Times New Roman" w:hAnsi="Times New Roman"/>
          <w:color w:val="0000FF"/>
          <w:sz w:val="22"/>
          <w:u w:val="single"/>
        </w:rPr>
        <w:t>financial statements have been delivered pursuant to Section 6.01(a) or (b),</w:t>
      </w:r>
      <w:r>
        <w:rPr>
          <w:color w:val="0000FF"/>
        </w:rPr>
        <w:t xml:space="preserve"> </w:t>
      </w:r>
      <w:r>
        <w:rPr>
          <w:rFonts w:ascii="Times New Roman" w:hAnsi="Times New Roman"/>
          <w:color w:val="000000"/>
          <w:sz w:val="22"/>
        </w:rPr>
        <w:t xml:space="preserve">at any one time outstanding; </w:t>
      </w:r>
      <w:r>
        <w:rPr>
          <w:rFonts w:ascii="Times New Roman" w:hAnsi="Times New Roman"/>
          <w:i/>
          <w:color w:val="000000"/>
          <w:sz w:val="22"/>
        </w:rPr>
        <w:t xml:space="preserve">provided </w:t>
      </w:r>
      <w:r>
        <w:rPr>
          <w:rFonts w:ascii="Times New Roman" w:hAnsi="Times New Roman"/>
          <w:color w:val="000000"/>
          <w:sz w:val="22"/>
        </w:rPr>
        <w:t>that (A) no such loans may be made if a Default or Event of Default has occurred and is continuing, (B) all such intercompany loans shall be made on a demand basis and (C) a copy of such intercompany loan agreement shall be provided to the Administrative Agent within five (5) Business Days of the establishment of each such loan (or the closing of this Agreement to the extent such loan is already in existence);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Guarantees permitted by Section 7.02;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existing on the date hereof (other than those referred to in Section 7.03(c)(i)) and set forth on Schedule 5.08(e);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the purchase or other acquisition of all of the Equity Interests in, or all or substantially all of the property of, any Person that, upon the consummation thereof, will be wholly-owned directly by the Domestic Borrower or one or more of its wholly-owned Subsidiaries (including as a result of a merger or consolidation); </w:t>
      </w:r>
      <w:r>
        <w:rPr>
          <w:rFonts w:ascii="Times New Roman" w:hAnsi="Times New Roman"/>
          <w:i/>
          <w:color w:val="000000"/>
          <w:sz w:val="22"/>
        </w:rPr>
        <w:t xml:space="preserve">provided </w:t>
      </w:r>
      <w:r>
        <w:rPr>
          <w:rFonts w:ascii="Times New Roman" w:hAnsi="Times New Roman"/>
          <w:color w:val="000000"/>
          <w:sz w:val="22"/>
        </w:rPr>
        <w:t>that, with respect to each purchase or other acquisition made pursuant to this Section 7.03(g):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such newly-created or acquired Subsidiary shall comply with the requirements of Section 6.12 if and to the extent applicable;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lines of business of the Person to be (or the property of which is to be) so purchased or otherwise acquired shall be substantially the same lines of business as one or more of the principal businesses of the Domestic Borrower and its Subsidiaries in the ordinary course;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purchase or other acquisition shall not include or result in any contingent liabilities that could reasonably be expected to be material to the business, financial condition or operations of the Domestic Borrower and its Subsidiaries, taken as a whole (as determined in good faith by the board of directors (or the persons performing similar functions) of the Domestic Borrower or such Subsidiary if the board of directors is otherwise approving such transaction and, in each other case, by a Responsible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immediately before and immediately after giving pro forma effect to any such purchase or other acquisition, (A) no Default shall have occurred and be continuing,</w:t>
      </w:r>
    </w:p>
    <w:p>
      <w:pPr>
        <w:pStyle w:val="TextBody"/>
        <w:bidi w:val="0"/>
        <w:spacing w:before="240" w:after="283"/>
        <w:jc w:val="both"/>
        <w:rPr>
          <w:rFonts w:ascii="Times New Roman" w:hAnsi="Times New Roman"/>
          <w:sz w:val="20"/>
        </w:rPr>
      </w:pPr>
      <w:r>
        <w:rPr>
          <w:rFonts w:ascii="Times New Roman" w:hAnsi="Times New Roman"/>
          <w:color w:val="000000"/>
          <w:sz w:val="22"/>
        </w:rPr>
        <w:t>(B) the Domestic Borrower and its Subsidiaries shall be in pro forma compliance with the financial covenants set forth in Section 7.11 (such calculation to be determined on the basis of the financial information most recently delivered to the Administrative Agent and the Lenders pursuant to Section 6.01(a) or (b) as though such purchase or other acquisition had been consummated as of the first day of the fiscal period covered thereby) and (C) evidence satisfactory to the Administrative Agent that the Borrowers have availability under the Revolving Credit Facility plus unrestricted cash of the Borrowers in an aggregate amount of at least $25,000,000; and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shall have delivered to the Administrative Agent and each Lender, at least five Business Days prior to the date on which any such purchase or other acquisition is to be consummated, a certificate of a Responsible Officer, in form and substance reasonably satisfactory to the Administrative Agent and the Required Lenders, certifying that all of the requirements set forth in this Section 7.03(g) have been satisfied or will be satisfied on or prior to the consummation of such purchase or other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rPr>
        <w:t>other Investments in the aggregate in any fiscal year of the Domestic Borrower not exceeding the sum of (i) the greater of</w:t>
      </w:r>
      <w:r>
        <w:rPr>
          <w:color w:val="0000FF"/>
          <w:u w:val="single"/>
        </w:rPr>
        <w:t xml:space="preserve"> </w:t>
      </w:r>
      <w:r>
        <w:rPr>
          <w:rFonts w:ascii="Times New Roman" w:hAnsi="Times New Roman"/>
          <w:color w:val="0000FF"/>
          <w:sz w:val="22"/>
          <w:u w:val="single"/>
        </w:rPr>
        <w:t>(x)</w:t>
      </w:r>
      <w:r>
        <w:rPr>
          <w:color w:val="0000FF"/>
        </w:rPr>
        <w:t xml:space="preserve"> </w:t>
      </w:r>
      <w:r>
        <w:rPr>
          <w:rFonts w:ascii="Times New Roman" w:hAnsi="Times New Roman"/>
          <w:color w:val="000000"/>
          <w:sz w:val="22"/>
        </w:rPr>
        <w:t xml:space="preserve">$100,000,000 and </w:t>
      </w:r>
      <w:r>
        <w:rPr>
          <w:rFonts w:ascii="Times New Roman" w:hAnsi="Times New Roman"/>
          <w:strike/>
          <w:color w:val="FF0000"/>
          <w:sz w:val="22"/>
        </w:rPr>
        <w:t>20</w:t>
      </w:r>
      <w:r>
        <w:rPr>
          <w:rFonts w:ascii="Times New Roman" w:hAnsi="Times New Roman"/>
          <w:color w:val="0000FF"/>
          <w:sz w:val="22"/>
          <w:u w:val="single"/>
        </w:rPr>
        <w:t>(y) 40</w:t>
      </w:r>
      <w:r>
        <w:rPr>
          <w:rFonts w:ascii="Times New Roman" w:hAnsi="Times New Roman"/>
          <w:color w:val="000000"/>
          <w:sz w:val="22"/>
        </w:rPr>
        <w:t xml:space="preserve">% of Consolidated EBITDA for the most recently ended Measurement Period for which financial statements have been delivered pursuant to Section 6.01(a) or (b) </w:t>
      </w:r>
      <w:r>
        <w:rPr>
          <w:rFonts w:ascii="Times New Roman" w:hAnsi="Times New Roman"/>
          <w:color w:val="000000"/>
          <w:sz w:val="22"/>
          <w:u w:val="single"/>
        </w:rPr>
        <w:t>less</w:t>
      </w:r>
      <w:r>
        <w:rPr>
          <w:color w:val="000000"/>
        </w:rPr>
        <w:t xml:space="preserve"> </w:t>
      </w:r>
      <w:r>
        <w:rPr>
          <w:rFonts w:ascii="Times New Roman" w:hAnsi="Times New Roman"/>
          <w:color w:val="000000"/>
          <w:sz w:val="22"/>
        </w:rPr>
        <w:t>(ii) all amounts paid by the Domestic Borrower or any other Loan Party in such fiscal year of the Domestic Borrower under Guarantees permitted under Section 7.02(l);</w:t>
      </w:r>
    </w:p>
    <w:p>
      <w:pPr>
        <w:pStyle w:val="TextBody"/>
        <w:bidi w:val="0"/>
        <w:spacing w:before="240" w:after="283"/>
        <w:jc w:val="both"/>
        <w:rPr>
          <w:rFonts w:ascii="Times New Roman" w:hAnsi="Times New Roman"/>
          <w:strike/>
          <w:color w:val="FF0000"/>
          <w:sz w:val="22"/>
        </w:rPr>
      </w:pPr>
      <w:r>
        <w:rPr>
          <w:rFonts w:ascii="Times New Roman" w:hAnsi="Times New Roman"/>
          <w:strike/>
          <w:color w:val="FF0000"/>
          <w:sz w:val="22"/>
        </w:rPr>
        <w:t>(i)</w:t>
      </w:r>
    </w:p>
    <w:p>
      <w:pPr>
        <w:pStyle w:val="TextBody"/>
        <w:bidi w:val="0"/>
        <w:spacing w:before="240" w:after="283"/>
        <w:jc w:val="both"/>
        <w:rPr/>
      </w:pPr>
      <w:r>
        <w:rPr>
          <w:rFonts w:ascii="Times New Roman" w:hAnsi="Times New Roman"/>
          <w:strike/>
          <w:color w:val="FF0000"/>
          <w:sz w:val="22"/>
        </w:rPr>
        <w:t>[reserved]</w:t>
      </w:r>
      <w:r>
        <w:rPr>
          <w:rFonts w:ascii="Times New Roman" w:hAnsi="Times New Roman"/>
          <w:color w:val="0000FF"/>
          <w:sz w:val="22"/>
          <w:u w:val="single"/>
        </w:rPr>
        <w:t>any Permitted Bond Hedge Transactions and Permitted Warrant</w:t>
      </w:r>
      <w:r>
        <w:rPr>
          <w:color w:val="0000FF"/>
        </w:rPr>
        <w:t xml:space="preserve"> </w:t>
      </w:r>
      <w:r>
        <w:rPr>
          <w:rFonts w:ascii="Times New Roman" w:hAnsi="Times New Roman"/>
          <w:color w:val="0000FF"/>
          <w:sz w:val="22"/>
          <w:u w:val="single"/>
        </w:rPr>
        <w:t>Transactions (including the Domestic Borrower’s entry into, payments of premiums in respect of,</w:t>
      </w:r>
      <w:r>
        <w:rPr>
          <w:color w:val="0000FF"/>
        </w:rPr>
        <w:t xml:space="preserve"> </w:t>
      </w:r>
      <w:r>
        <w:rPr>
          <w:rFonts w:ascii="Times New Roman" w:hAnsi="Times New Roman"/>
          <w:color w:val="0000FF"/>
          <w:sz w:val="22"/>
          <w:u w:val="single"/>
        </w:rPr>
        <w:t>and performance of obligations under, such Permitted Bond Hedge Transactions and Permitted</w:t>
      </w:r>
      <w:r>
        <w:rPr>
          <w:color w:val="0000FF"/>
        </w:rPr>
        <w:t xml:space="preserve"> </w:t>
      </w:r>
      <w:r>
        <w:rPr>
          <w:rFonts w:ascii="Times New Roman" w:hAnsi="Times New Roman"/>
          <w:color w:val="0000FF"/>
          <w:sz w:val="22"/>
          <w:u w:val="single"/>
        </w:rPr>
        <w:t>Warrant Transactions, in accordance with their terms)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in an Excluded Securitization Subsidiary in connection with a sale of Securitization Assets to such Excluded Securitization Subsidiary pursuant to a Qualified Securitization Transaction or any repurchase obligation in connection therewith;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rPr>
        <w:t>other Investments (not otherwise referenced in the preceding clauses (a) though (k)</w:t>
      </w:r>
      <w:r>
        <w:rPr>
          <w:rFonts w:ascii="Times New Roman" w:hAnsi="Times New Roman"/>
          <w:strike/>
          <w:color w:val="FF0000"/>
          <w:sz w:val="22"/>
        </w:rPr>
        <w:t>), not exceeding in</w:t>
      </w:r>
      <w:r>
        <w:rPr>
          <w:rFonts w:ascii="Times New Roman" w:hAnsi="Times New Roman"/>
          <w:color w:val="0000FF"/>
          <w:sz w:val="22"/>
          <w:u w:val="single"/>
        </w:rPr>
        <w:t xml:space="preserve">; </w:t>
      </w:r>
      <w:r>
        <w:rPr>
          <w:rFonts w:ascii="Times New Roman" w:hAnsi="Times New Roman"/>
          <w:i/>
          <w:color w:val="0000FF"/>
          <w:sz w:val="22"/>
          <w:u w:val="single"/>
        </w:rPr>
        <w:t>provided</w:t>
      </w:r>
      <w:r>
        <w:rPr>
          <w:rFonts w:ascii="Times New Roman" w:hAnsi="Times New Roman"/>
          <w:color w:val="0000FF"/>
          <w:sz w:val="22"/>
          <w:u w:val="single"/>
        </w:rPr>
        <w:t>, that (i) after giving pro forma effect thereto,</w:t>
      </w:r>
      <w:r>
        <w:rPr>
          <w:color w:val="0000FF"/>
        </w:rPr>
        <w:t xml:space="preserve"> </w:t>
      </w:r>
      <w:r>
        <w:rPr>
          <w:rFonts w:ascii="Times New Roman" w:hAnsi="Times New Roman"/>
          <w:color w:val="000000"/>
          <w:sz w:val="22"/>
        </w:rPr>
        <w:t xml:space="preserve">the </w:t>
      </w:r>
      <w:r>
        <w:rPr>
          <w:rFonts w:ascii="Times New Roman" w:hAnsi="Times New Roman"/>
          <w:strike/>
          <w:color w:val="FF0000"/>
          <w:sz w:val="22"/>
        </w:rPr>
        <w:t>aggregate</w:t>
      </w:r>
      <w:r>
        <w:rPr>
          <w:color w:val="FF0000"/>
        </w:rPr>
        <w:t xml:space="preserve"> </w:t>
      </w:r>
      <w:r>
        <w:rPr>
          <w:rFonts w:ascii="Times New Roman" w:hAnsi="Times New Roman"/>
          <w:strike/>
          <w:color w:val="FF0000"/>
          <w:sz w:val="22"/>
        </w:rPr>
        <w:t>outstanding at any time the greater of $100,000,000 and 20% of Consolidated EBITDA for the</w:t>
      </w:r>
      <w:r>
        <w:rPr>
          <w:color w:val="FF0000"/>
        </w:rPr>
        <w:t xml:space="preserve"> </w:t>
      </w:r>
      <w:r>
        <w:rPr>
          <w:rFonts w:ascii="Times New Roman" w:hAnsi="Times New Roman"/>
          <w:strike/>
          <w:color w:val="FF0000"/>
          <w:sz w:val="22"/>
        </w:rPr>
        <w:t>most recently ended Measurement Period for which financial statements have been delivered</w:t>
      </w:r>
      <w:r>
        <w:rPr>
          <w:color w:val="FF0000"/>
        </w:rPr>
        <w:t xml:space="preserve"> </w:t>
      </w:r>
      <w:r>
        <w:rPr>
          <w:rFonts w:ascii="Times New Roman" w:hAnsi="Times New Roman"/>
          <w:strike/>
          <w:color w:val="FF0000"/>
          <w:sz w:val="22"/>
        </w:rPr>
        <w:t>pursuant to Section 6.01</w:t>
      </w:r>
      <w:r>
        <w:rPr>
          <w:rFonts w:ascii="Times New Roman" w:hAnsi="Times New Roman"/>
          <w:color w:val="0000FF"/>
          <w:sz w:val="22"/>
          <w:u w:val="single"/>
        </w:rPr>
        <w:t>Consolidated Secured Net Leverage Ratio does not exceed 3.00:1.00 and</w:t>
      </w:r>
      <w:r>
        <w:rPr>
          <w:color w:val="0000FF"/>
        </w:rPr>
        <w:t xml:space="preserve"> </w:t>
      </w:r>
      <w:r>
        <w:rPr>
          <w:rFonts w:ascii="Times New Roman" w:hAnsi="Times New Roman"/>
          <w:color w:val="000000"/>
          <w:sz w:val="22"/>
        </w:rPr>
        <w:t>(</w:t>
      </w:r>
      <w:r>
        <w:rPr>
          <w:rFonts w:ascii="Times New Roman" w:hAnsi="Times New Roman"/>
          <w:strike/>
          <w:color w:val="FF0000"/>
          <w:sz w:val="22"/>
        </w:rPr>
        <w:t>a</w:t>
      </w:r>
      <w:r>
        <w:rPr>
          <w:rFonts w:ascii="Times New Roman" w:hAnsi="Times New Roman"/>
          <w:color w:val="0000FF"/>
          <w:sz w:val="22"/>
          <w:u w:val="single"/>
        </w:rPr>
        <w:t>ii</w:t>
      </w:r>
      <w:r>
        <w:rPr>
          <w:rFonts w:ascii="Times New Roman" w:hAnsi="Times New Roman"/>
          <w:color w:val="000000"/>
          <w:sz w:val="22"/>
        </w:rPr>
        <w:t xml:space="preserve">) </w:t>
      </w:r>
      <w:r>
        <w:rPr>
          <w:rFonts w:ascii="Times New Roman" w:hAnsi="Times New Roman"/>
          <w:strike/>
          <w:color w:val="FF0000"/>
          <w:sz w:val="22"/>
        </w:rPr>
        <w:t xml:space="preserve">or (b); </w:t>
      </w:r>
      <w:r>
        <w:rPr>
          <w:rFonts w:ascii="Times New Roman" w:hAnsi="Times New Roman"/>
          <w:i/>
          <w:strike/>
          <w:color w:val="FF0000"/>
          <w:sz w:val="22"/>
        </w:rPr>
        <w:t xml:space="preserve">provided </w:t>
      </w:r>
      <w:r>
        <w:rPr>
          <w:rFonts w:ascii="Times New Roman" w:hAnsi="Times New Roman"/>
          <w:strike/>
          <w:color w:val="FF0000"/>
          <w:sz w:val="22"/>
        </w:rPr>
        <w:t xml:space="preserve">that </w:t>
      </w:r>
      <w:r>
        <w:rPr>
          <w:rFonts w:ascii="Times New Roman" w:hAnsi="Times New Roman"/>
          <w:color w:val="000000"/>
          <w:sz w:val="22"/>
        </w:rPr>
        <w:t>no</w:t>
      </w:r>
      <w:r>
        <w:rPr>
          <w:color w:val="0000FF"/>
          <w:u w:val="single"/>
        </w:rPr>
        <w:t xml:space="preserve"> </w:t>
      </w:r>
      <w:r>
        <w:rPr>
          <w:rFonts w:ascii="Times New Roman" w:hAnsi="Times New Roman"/>
          <w:color w:val="0000FF"/>
          <w:sz w:val="22"/>
          <w:u w:val="single"/>
        </w:rPr>
        <w:t>Specified Event of</w:t>
      </w:r>
      <w:r>
        <w:rPr>
          <w:color w:val="0000FF"/>
        </w:rPr>
        <w:t xml:space="preserve"> </w:t>
      </w:r>
      <w:r>
        <w:rPr>
          <w:rFonts w:ascii="Times New Roman" w:hAnsi="Times New Roman"/>
          <w:color w:val="000000"/>
          <w:sz w:val="22"/>
        </w:rPr>
        <w:t xml:space="preserve">Default has occurred and is continuing or would </w:t>
      </w:r>
      <w:r>
        <w:rPr>
          <w:rFonts w:ascii="Times New Roman" w:hAnsi="Times New Roman"/>
          <w:strike/>
          <w:color w:val="FF0000"/>
          <w:sz w:val="22"/>
        </w:rPr>
        <w:t>result from such Investment</w:t>
      </w:r>
      <w:r>
        <w:rPr>
          <w:rFonts w:ascii="Times New Roman" w:hAnsi="Times New Roman"/>
          <w:color w:val="0000FF"/>
          <w:sz w:val="22"/>
          <w:u w:val="single"/>
        </w:rPr>
        <w:t>occur as a consequence therefrom</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compliance with this Section 7.03: (x) if any Investment or Acquisition meets the criteria set forth in more than one of clauses (a) through (l) of this Section 7.03 then the Borrowers may classify or reclassify such Investment or Acquisition in any manner that complies with this Section 7.03 and such Investment or Acquisition shall be treated as having been permitted pursuant to only one of the clauses of this Section 7.03; and (y) any Investment or Acquisition meeting the criteria set forth in more than one of clauses (a) through (l) of this Section 7.03 may be divided and classified and reclassified among more than one of the clauses of this Section 7.03.</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anything to the contrary herein, no Loan Party may transfer (whether pursuant to a sale,</w:t>
      </w:r>
      <w:r>
        <w:rPr>
          <w:rFonts w:ascii="Times New Roman" w:hAnsi="Times New Roman"/>
          <w:color w:val="0000FF"/>
          <w:sz w:val="20"/>
        </w:rPr>
        <w:t xml:space="preserve"> </w:t>
      </w:r>
      <w:r>
        <w:rPr>
          <w:rFonts w:ascii="Times New Roman" w:hAnsi="Times New Roman"/>
          <w:color w:val="0000FF"/>
          <w:sz w:val="22"/>
          <w:u w:val="single"/>
        </w:rPr>
        <w:t>lease, Disposition, Investment, Restricted Payment or otherwise) any Material Intellectual Property</w:t>
      </w:r>
      <w:r>
        <w:rPr>
          <w:rFonts w:ascii="Times New Roman" w:hAnsi="Times New Roman"/>
          <w:color w:val="0000FF"/>
          <w:sz w:val="20"/>
        </w:rPr>
        <w:t xml:space="preserve"> </w:t>
      </w:r>
      <w:r>
        <w:rPr>
          <w:rFonts w:ascii="Times New Roman" w:hAnsi="Times New Roman"/>
          <w:color w:val="0000FF"/>
          <w:sz w:val="22"/>
          <w:u w:val="single"/>
        </w:rPr>
        <w:t>(including any exclusive license or other exclusive rights to such Material Intellectual Property) or any</w:t>
      </w:r>
      <w:r>
        <w:rPr>
          <w:rFonts w:ascii="Times New Roman" w:hAnsi="Times New Roman"/>
          <w:color w:val="0000FF"/>
          <w:sz w:val="20"/>
        </w:rPr>
        <w:t xml:space="preserve"> </w:t>
      </w:r>
      <w:r>
        <w:rPr>
          <w:rFonts w:ascii="Times New Roman" w:hAnsi="Times New Roman"/>
          <w:color w:val="0000FF"/>
          <w:sz w:val="22"/>
          <w:u w:val="single"/>
        </w:rPr>
        <w:t xml:space="preserve">equity interests of any Subsidiary that owns (or exclusively licenses) any Material Intellectual Property to any Subsidiary that is not a Loan Party; </w:t>
      </w:r>
      <w:r>
        <w:rPr>
          <w:rFonts w:ascii="Times New Roman" w:hAnsi="Times New Roman"/>
          <w:i/>
          <w:color w:val="0000FF"/>
          <w:sz w:val="22"/>
          <w:u w:val="single"/>
        </w:rPr>
        <w:t>provided</w:t>
      </w:r>
      <w:r>
        <w:rPr>
          <w:rFonts w:ascii="Times New Roman" w:hAnsi="Times New Roman"/>
          <w:color w:val="0000FF"/>
          <w:sz w:val="22"/>
          <w:u w:val="single"/>
        </w:rPr>
        <w:t xml:space="preserve">, </w:t>
      </w:r>
      <w:r>
        <w:rPr>
          <w:rFonts w:ascii="Times New Roman" w:hAnsi="Times New Roman"/>
          <w:i/>
          <w:color w:val="0000FF"/>
          <w:sz w:val="22"/>
          <w:u w:val="single"/>
        </w:rPr>
        <w:t>however</w:t>
      </w:r>
      <w:r>
        <w:rPr>
          <w:rFonts w:ascii="Times New Roman" w:hAnsi="Times New Roman"/>
          <w:color w:val="0000FF"/>
          <w:sz w:val="22"/>
          <w:u w:val="single"/>
        </w:rPr>
        <w:t>, that the foregoing shall not prohibit a</w:t>
      </w:r>
      <w:r>
        <w:rPr>
          <w:rFonts w:ascii="Times New Roman" w:hAnsi="Times New Roman"/>
          <w:color w:val="0000FF"/>
          <w:sz w:val="20"/>
        </w:rPr>
        <w:t xml:space="preserve"> </w:t>
      </w:r>
      <w:r>
        <w:rPr>
          <w:rFonts w:ascii="Times New Roman" w:hAnsi="Times New Roman"/>
          <w:color w:val="0000FF"/>
          <w:sz w:val="22"/>
          <w:u w:val="single"/>
        </w:rPr>
        <w:t>nonexclusive license by a Loan Party of its Material Intellectual Property to a Subsidiary that is not a Loan</w:t>
      </w:r>
      <w:r>
        <w:rPr>
          <w:rFonts w:ascii="Times New Roman" w:hAnsi="Times New Roman"/>
          <w:color w:val="0000FF"/>
          <w:sz w:val="20"/>
        </w:rPr>
        <w:t xml:space="preserve"> </w:t>
      </w:r>
      <w:r>
        <w:rPr>
          <w:rFonts w:ascii="Times New Roman" w:hAnsi="Times New Roman"/>
          <w:color w:val="0000FF"/>
          <w:sz w:val="22"/>
          <w:u w:val="single"/>
        </w:rPr>
        <w:t>Party.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7.04. Fundamental Changes</w:t>
      </w:r>
      <w:r>
        <w:rPr>
          <w:rFonts w:ascii="Times New Roman" w:hAnsi="Times New Roman"/>
          <w:color w:val="000000"/>
          <w:sz w:val="22"/>
        </w:rPr>
        <w: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Division), except that, so long as no Default exists or would result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Section 7.04(e), any Subsidiary (other than the Foreign Borrower) may merge with (i) the Domestic Borrower; </w:t>
      </w:r>
      <w:r>
        <w:rPr>
          <w:rFonts w:ascii="Times New Roman" w:hAnsi="Times New Roman"/>
          <w:i/>
          <w:color w:val="000000"/>
          <w:sz w:val="22"/>
        </w:rPr>
        <w:t xml:space="preserve">provided </w:t>
      </w:r>
      <w:r>
        <w:rPr>
          <w:rFonts w:ascii="Times New Roman" w:hAnsi="Times New Roman"/>
          <w:color w:val="000000"/>
          <w:sz w:val="22"/>
        </w:rPr>
        <w:t xml:space="preserve">that the Domestic Borrower shall be the continuing or surviving Person, (ii) the Foreign Borrower; </w:t>
      </w:r>
      <w:r>
        <w:rPr>
          <w:rFonts w:ascii="Times New Roman" w:hAnsi="Times New Roman"/>
          <w:i/>
          <w:color w:val="000000"/>
          <w:sz w:val="22"/>
        </w:rPr>
        <w:t xml:space="preserve">provided </w:t>
      </w:r>
      <w:r>
        <w:rPr>
          <w:rFonts w:ascii="Times New Roman" w:hAnsi="Times New Roman"/>
          <w:color w:val="000000"/>
          <w:sz w:val="22"/>
        </w:rPr>
        <w:t xml:space="preserve">that the Foreign Borrower shall be the continuing or surviving Person or (iii) any one or more other Subsidiaries (other than the Foreign Borrower); </w:t>
      </w:r>
      <w:r>
        <w:rPr>
          <w:rFonts w:ascii="Times New Roman" w:hAnsi="Times New Roman"/>
          <w:i/>
          <w:color w:val="000000"/>
          <w:sz w:val="22"/>
        </w:rPr>
        <w:t xml:space="preserve">provided </w:t>
      </w:r>
      <w:r>
        <w:rPr>
          <w:rFonts w:ascii="Times New Roman" w:hAnsi="Times New Roman"/>
          <w:color w:val="000000"/>
          <w:sz w:val="22"/>
        </w:rPr>
        <w:t>that when (x) any Loan Party is merging with another Subsidiary, such Loan Party shall be the continuing or surviving Person or the continuing or surviving Person shall thereupon become a Loan Party and (y) any Domestic Subsidiary is merging with another Subsidiary, such Domestic Subsidiary shall be the continuing or surviving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Loan Party may Dispose of all or substantially all of its assets (upon voluntary liquidation or otherwise) to the Domestic Borrower or to another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Subsidiary that is not a Loan Party may dispose of all or substantially all its assets (including any Disposition that is in the nature of a liquidation) to (i) another Subsidiary that is not a Loan Party or (ii) to a Loan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in connection with any acquisition permitted under Section 7.03, any Subsidiary of the Domestic Borrower may merge into or consolidate with any other Person or permit any other Person to merge into or consolidate with it; </w:t>
      </w:r>
      <w:r>
        <w:rPr>
          <w:rFonts w:ascii="Times New Roman" w:hAnsi="Times New Roman"/>
          <w:i/>
          <w:color w:val="000000"/>
          <w:sz w:val="22"/>
        </w:rPr>
        <w:t xml:space="preserve">provided </w:t>
      </w:r>
      <w:r>
        <w:rPr>
          <w:rFonts w:ascii="Times New Roman" w:hAnsi="Times New Roman"/>
          <w:color w:val="000000"/>
          <w:sz w:val="22"/>
        </w:rPr>
        <w:t xml:space="preserve">that (i) the Person surviving such merger shall be a wholly-owned Subsidiary of the Domestic Borrower, (ii) in the case of any such merger involving the Foreign Borrower, the Foreign Borrower shall be the surviving Person, and (iii) in the case of any such merger to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which any Loan Party (other than the Foreign Borrower) is a party, such Loan Party is the surviving Person;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so long as no Default has occurred and is continuing or would result therefrom, any Subsidiary of the Domestic Borrower may merge into or consolidate with any other Person or permit any other Person to merge into or consolidate with it; </w:t>
      </w:r>
      <w:r>
        <w:rPr>
          <w:rFonts w:ascii="Times New Roman" w:hAnsi="Times New Roman"/>
          <w:i/>
          <w:color w:val="000000"/>
          <w:sz w:val="22"/>
        </w:rPr>
        <w:t xml:space="preserve">provided, however, </w:t>
      </w:r>
      <w:r>
        <w:rPr>
          <w:rFonts w:ascii="Times New Roman" w:hAnsi="Times New Roman"/>
          <w:color w:val="000000"/>
          <w:sz w:val="22"/>
        </w:rPr>
        <w:t>that in each case, immediately after giving effect thereto (i) in the case of any such merger to which the Foreign Borrower is a party, the Foreign Borrower is the surviving corporation and (ii) in the case of any such merger to which any Loan Party (other than the Foreign Borrower) is a party, such Loan Party is the surviving corporation.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7.05. Dispositions</w:t>
      </w:r>
      <w:r>
        <w:rPr>
          <w:rFonts w:ascii="Times New Roman" w:hAnsi="Times New Roman"/>
          <w:color w:val="000000"/>
          <w:sz w:val="22"/>
        </w:rPr>
        <w:t>. Make any Disposition or enter into any agreement to make any Disposition, except: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obsolete or worn out property, whether now owned or hereafter acquired,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inventory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Dispositions of property by any Subsidiary to the Domestic Borrower or to a wholly-owned Subsidiary; </w:t>
      </w:r>
      <w:r>
        <w:rPr>
          <w:rFonts w:ascii="Times New Roman" w:hAnsi="Times New Roman"/>
          <w:i/>
          <w:color w:val="000000"/>
          <w:sz w:val="22"/>
        </w:rPr>
        <w:t xml:space="preserve">provided </w:t>
      </w:r>
      <w:r>
        <w:rPr>
          <w:rFonts w:ascii="Times New Roman" w:hAnsi="Times New Roman"/>
          <w:color w:val="000000"/>
          <w:sz w:val="22"/>
        </w:rPr>
        <w:t>that if the transferor of such property is a Guarantor, the transferee thereof must either be a Borrower or a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Dispositions permitted by Section 7.04;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Dispositions by any Loan Parties not otherwise permitted under this Section 7.05; </w:t>
      </w:r>
      <w:r>
        <w:rPr>
          <w:rFonts w:ascii="Times New Roman" w:hAnsi="Times New Roman"/>
          <w:i/>
          <w:color w:val="000000"/>
          <w:sz w:val="22"/>
        </w:rPr>
        <w:t xml:space="preserve">provided </w:t>
      </w:r>
      <w:r>
        <w:rPr>
          <w:rFonts w:ascii="Times New Roman" w:hAnsi="Times New Roman"/>
          <w:color w:val="000000"/>
          <w:sz w:val="22"/>
        </w:rPr>
        <w:t>that (i) at the time of such Disposition, no Default shall exist or would result from such Disposition and (ii) the aggregate book value of all property Disposed of in reliance on this clause (f) in any fiscal year shall not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$100,000,000</w:t>
      </w:r>
      <w:r>
        <w:rPr>
          <w:color w:val="0000FF"/>
          <w:u w:val="single"/>
        </w:rPr>
        <w:t xml:space="preserve"> </w:t>
      </w:r>
      <w:r>
        <w:rPr>
          <w:rFonts w:ascii="Times New Roman" w:hAnsi="Times New Roman"/>
          <w:color w:val="0000FF"/>
          <w:sz w:val="22"/>
          <w:u w:val="single"/>
        </w:rPr>
        <w:t>and (y) 40% of Consolidated</w:t>
      </w:r>
      <w:r>
        <w:rPr>
          <w:color w:val="0000FF"/>
        </w:rPr>
        <w:t xml:space="preserve"> </w:t>
      </w:r>
      <w:r>
        <w:rPr>
          <w:rFonts w:ascii="Times New Roman" w:hAnsi="Times New Roman"/>
          <w:color w:val="0000FF"/>
          <w:sz w:val="22"/>
          <w:u w:val="single"/>
        </w:rPr>
        <w:t>EBITDA for the most recently ended Measurement Period for which financial statements have</w:t>
      </w:r>
      <w:r>
        <w:rPr>
          <w:color w:val="0000FF"/>
        </w:rPr>
        <w:t xml:space="preserve"> </w:t>
      </w:r>
      <w:r>
        <w:rPr>
          <w:rFonts w:ascii="Times New Roman" w:hAnsi="Times New Roman"/>
          <w:color w:val="0000FF"/>
          <w:sz w:val="22"/>
          <w:u w:val="single"/>
        </w:rPr>
        <w:t>been delivered pursuant to Section 6.01(a) or (b)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 xml:space="preserve">Dispositions by any Subsidiaries that are not Loan Parties not otherwise permitted under this Section 7.05; </w:t>
      </w:r>
      <w:r>
        <w:rPr>
          <w:rFonts w:ascii="Times New Roman" w:hAnsi="Times New Roman"/>
          <w:i/>
          <w:color w:val="000000"/>
          <w:sz w:val="22"/>
        </w:rPr>
        <w:t xml:space="preserve">provided </w:t>
      </w:r>
      <w:r>
        <w:rPr>
          <w:rFonts w:ascii="Times New Roman" w:hAnsi="Times New Roman"/>
          <w:color w:val="000000"/>
          <w:sz w:val="22"/>
        </w:rPr>
        <w:t>that (i) at the time of such Disposition, no Default shall exist or would result from such Disposition and (ii) the aggregate book value of all property Disposed of in reliance on this clause (g) in any fiscal year shall not exceed</w:t>
      </w:r>
      <w:r>
        <w:rPr>
          <w:color w:val="0000FF"/>
          <w:u w:val="single"/>
        </w:rPr>
        <w:t xml:space="preserve"> </w:t>
      </w:r>
      <w:r>
        <w:rPr>
          <w:rFonts w:ascii="Times New Roman" w:hAnsi="Times New Roman"/>
          <w:color w:val="0000FF"/>
          <w:sz w:val="22"/>
          <w:u w:val="single"/>
        </w:rPr>
        <w:t>the greater of (x)</w:t>
      </w:r>
      <w:r>
        <w:rPr>
          <w:color w:val="0000FF"/>
        </w:rPr>
        <w:t xml:space="preserve"> </w:t>
      </w:r>
      <w:r>
        <w:rPr>
          <w:rFonts w:ascii="Times New Roman" w:hAnsi="Times New Roman"/>
          <w:color w:val="000000"/>
          <w:sz w:val="22"/>
        </w:rPr>
        <w:t>$100,000,000</w:t>
      </w:r>
      <w:r>
        <w:rPr>
          <w:color w:val="0000FF"/>
          <w:u w:val="single"/>
        </w:rPr>
        <w:t xml:space="preserve"> </w:t>
      </w:r>
      <w:r>
        <w:rPr>
          <w:rFonts w:ascii="Times New Roman" w:hAnsi="Times New Roman"/>
          <w:color w:val="0000FF"/>
          <w:sz w:val="22"/>
          <w:u w:val="single"/>
        </w:rPr>
        <w:t>and (y)</w:t>
      </w:r>
      <w:r>
        <w:rPr>
          <w:color w:val="0000FF"/>
        </w:rPr>
        <w:t xml:space="preserve"> </w:t>
      </w:r>
      <w:r>
        <w:rPr>
          <w:rFonts w:ascii="Times New Roman" w:hAnsi="Times New Roman"/>
          <w:color w:val="0000FF"/>
          <w:sz w:val="22"/>
          <w:u w:val="single"/>
        </w:rPr>
        <w:t>40% of Consolidated EBITDA for the most recently ended Measurement Period for which</w:t>
      </w:r>
      <w:r>
        <w:rPr>
          <w:color w:val="0000FF"/>
        </w:rPr>
        <w:t xml:space="preserve"> </w:t>
      </w:r>
      <w:r>
        <w:rPr>
          <w:rFonts w:ascii="Times New Roman" w:hAnsi="Times New Roman"/>
          <w:color w:val="0000FF"/>
          <w:sz w:val="22"/>
          <w:u w:val="single"/>
        </w:rPr>
        <w:t>financial statements have been delivered pursuant to Section 6.01(a) or (b)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sale of Securitization Assets pursuant to any Qualified Securitization Transactions and preliminary intercompany transfers of such assets and related rights or assets in connection therewith;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sales, transfers and dispositions of accounts receivable in the ordinary course of business pursuant to any Permitted Receivables Facility;</w:t>
      </w:r>
      <w:r>
        <w:rPr>
          <w:strike/>
          <w:color w:val="FF0000"/>
        </w:rPr>
        <w:t xml:space="preserve"> </w:t>
      </w:r>
      <w:r>
        <w:rPr>
          <w:rFonts w:ascii="Times New Roman" w:hAnsi="Times New Roman"/>
          <w:strike/>
          <w:color w:val="FF0000"/>
          <w:sz w:val="22"/>
        </w:rPr>
        <w:t>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rPr>
        <w:t>Dispositions made in connection with a Permitted Acquisition, contemplated at the time of such Permitted Acquisition, and occurring within 24 months of the consummation of such Permitted Acquisition;</w:t>
      </w:r>
      <w:r>
        <w:rPr>
          <w:color w:val="0000FF"/>
          <w:u w:val="single"/>
        </w:rPr>
        <w:t xml:space="preserve"> </w:t>
      </w:r>
      <w:r>
        <w:rPr>
          <w:rFonts w:ascii="Times New Roman" w:hAnsi="Times New Roman"/>
          <w:color w:val="0000FF"/>
          <w:sz w:val="22"/>
          <w:u w:val="single"/>
        </w:rPr>
        <w:t>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Disposition of any Permitted Bond Hedge Transaction by the Domestic Borrower.</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however, </w:t>
      </w:r>
      <w:r>
        <w:rPr>
          <w:rFonts w:ascii="Times New Roman" w:hAnsi="Times New Roman"/>
          <w:color w:val="000000"/>
          <w:sz w:val="22"/>
        </w:rPr>
        <w:t>that any Disposition pursuant to Section 7.05(a) through (</w:t>
      </w:r>
      <w:r>
        <w:rPr>
          <w:rFonts w:ascii="Times New Roman" w:hAnsi="Times New Roman"/>
          <w:color w:val="FF0000"/>
          <w:sz w:val="22"/>
        </w:rPr>
        <w:t>j</w:t>
      </w:r>
      <w:r>
        <w:rPr>
          <w:rFonts w:ascii="Times New Roman" w:hAnsi="Times New Roman"/>
          <w:color w:val="0000FF"/>
          <w:sz w:val="22"/>
          <w:u w:val="single"/>
        </w:rPr>
        <w:t>k</w:t>
      </w:r>
      <w:r>
        <w:rPr>
          <w:rFonts w:ascii="Times New Roman" w:hAnsi="Times New Roman"/>
          <w:color w:val="000000"/>
          <w:sz w:val="22"/>
        </w:rPr>
        <w:t>) shall be for fair market value.</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anything to the contrary herein, no Loan Party may transfer (whether pursuant to a sale,</w:t>
      </w:r>
      <w:r>
        <w:rPr>
          <w:rFonts w:ascii="Times New Roman" w:hAnsi="Times New Roman"/>
          <w:color w:val="0000FF"/>
          <w:sz w:val="20"/>
        </w:rPr>
        <w:t xml:space="preserve"> </w:t>
      </w:r>
      <w:r>
        <w:rPr>
          <w:rFonts w:ascii="Times New Roman" w:hAnsi="Times New Roman"/>
          <w:color w:val="0000FF"/>
          <w:sz w:val="22"/>
          <w:u w:val="single"/>
        </w:rPr>
        <w:t>lease, Disposition, Investment, Restricted Payment or otherwise) any Material Intellectual Property</w:t>
      </w:r>
      <w:r>
        <w:rPr>
          <w:rFonts w:ascii="Times New Roman" w:hAnsi="Times New Roman"/>
          <w:color w:val="0000FF"/>
          <w:sz w:val="20"/>
        </w:rPr>
        <w:t xml:space="preserve"> </w:t>
      </w:r>
      <w:r>
        <w:rPr>
          <w:rFonts w:ascii="Times New Roman" w:hAnsi="Times New Roman"/>
          <w:color w:val="0000FF"/>
          <w:sz w:val="22"/>
          <w:u w:val="single"/>
        </w:rPr>
        <w:t>(including any exclusive license or other exclusive rights to such Material Intellectual Property) or any equity interests of any Subsidiary that owns (or exclusively licenses) any Material Intellectual Property to</w:t>
      </w:r>
      <w:r>
        <w:rPr>
          <w:rFonts w:ascii="Times New Roman" w:hAnsi="Times New Roman"/>
          <w:color w:val="0000FF"/>
          <w:sz w:val="20"/>
        </w:rPr>
        <w:t xml:space="preserve"> </w:t>
      </w:r>
      <w:r>
        <w:rPr>
          <w:rFonts w:ascii="Times New Roman" w:hAnsi="Times New Roman"/>
          <w:color w:val="0000FF"/>
          <w:sz w:val="22"/>
          <w:u w:val="single"/>
        </w:rPr>
        <w:t xml:space="preserve">any Subsidiary that is not a Loan Party; </w:t>
      </w:r>
      <w:r>
        <w:rPr>
          <w:rFonts w:ascii="Times New Roman" w:hAnsi="Times New Roman"/>
          <w:i/>
          <w:color w:val="0000FF"/>
          <w:sz w:val="22"/>
          <w:u w:val="single"/>
        </w:rPr>
        <w:t>provided</w:t>
      </w:r>
      <w:r>
        <w:rPr>
          <w:rFonts w:ascii="Times New Roman" w:hAnsi="Times New Roman"/>
          <w:color w:val="0000FF"/>
          <w:sz w:val="22"/>
          <w:u w:val="single"/>
        </w:rPr>
        <w:t xml:space="preserve">, </w:t>
      </w:r>
      <w:r>
        <w:rPr>
          <w:rFonts w:ascii="Times New Roman" w:hAnsi="Times New Roman"/>
          <w:i/>
          <w:color w:val="0000FF"/>
          <w:sz w:val="22"/>
          <w:u w:val="single"/>
        </w:rPr>
        <w:t>however</w:t>
      </w:r>
      <w:r>
        <w:rPr>
          <w:rFonts w:ascii="Times New Roman" w:hAnsi="Times New Roman"/>
          <w:color w:val="0000FF"/>
          <w:sz w:val="22"/>
          <w:u w:val="single"/>
        </w:rPr>
        <w:t>, that the foregoing shall not prohibit a</w:t>
      </w:r>
      <w:r>
        <w:rPr>
          <w:rFonts w:ascii="Times New Roman" w:hAnsi="Times New Roman"/>
          <w:color w:val="0000FF"/>
          <w:sz w:val="20"/>
        </w:rPr>
        <w:t xml:space="preserve"> </w:t>
      </w:r>
      <w:r>
        <w:rPr>
          <w:rFonts w:ascii="Times New Roman" w:hAnsi="Times New Roman"/>
          <w:color w:val="0000FF"/>
          <w:sz w:val="22"/>
          <w:u w:val="single"/>
        </w:rPr>
        <w:t>nonexclusive license by a Loan Party of its Material Intellectual Property to a Subsidiary that is not a Loan</w:t>
      </w:r>
      <w:r>
        <w:rPr>
          <w:rFonts w:ascii="Times New Roman" w:hAnsi="Times New Roman"/>
          <w:color w:val="0000FF"/>
          <w:sz w:val="20"/>
        </w:rPr>
        <w:t xml:space="preserve"> </w:t>
      </w:r>
      <w:r>
        <w:rPr>
          <w:rFonts w:ascii="Times New Roman" w:hAnsi="Times New Roman"/>
          <w:color w:val="0000FF"/>
          <w:sz w:val="22"/>
          <w:u w:val="single"/>
        </w:rPr>
        <w:t>Party.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7.06. Restricted Payments</w:t>
      </w:r>
      <w:r>
        <w:rPr>
          <w:rFonts w:ascii="Times New Roman" w:hAnsi="Times New Roman"/>
          <w:color w:val="000000"/>
          <w:sz w:val="22"/>
        </w:rPr>
        <w:t xml:space="preserve">. Declare or make, directly or indirectly, any Restricted Payment, or incur any obligation (contingent or otherwise) to do so, </w:t>
      </w:r>
      <w:r>
        <w:rPr>
          <w:rFonts w:ascii="Times New Roman" w:hAnsi="Times New Roman"/>
          <w:strike/>
          <w:color w:val="FF0000"/>
          <w:sz w:val="22"/>
        </w:rPr>
        <w:t>or issue or sell any Equity Interests or</w:t>
      </w:r>
      <w:r>
        <w:rPr>
          <w:rFonts w:ascii="Times New Roman" w:hAnsi="Times New Roman"/>
          <w:color w:val="FF0000"/>
          <w:sz w:val="20"/>
        </w:rPr>
        <w:t xml:space="preserve"> </w:t>
      </w:r>
      <w:r>
        <w:rPr>
          <w:rFonts w:ascii="Times New Roman" w:hAnsi="Times New Roman"/>
          <w:strike/>
          <w:color w:val="FF0000"/>
          <w:sz w:val="22"/>
        </w:rPr>
        <w:t>accept any capital contributions,</w:t>
      </w:r>
      <w:r>
        <w:rPr>
          <w:rFonts w:ascii="Times New Roman" w:hAnsi="Times New Roman"/>
          <w:color w:val="FF0000"/>
          <w:sz w:val="20"/>
        </w:rPr>
        <w:t xml:space="preserve"> </w:t>
      </w:r>
      <w:r>
        <w:rPr>
          <w:rFonts w:ascii="Times New Roman" w:hAnsi="Times New Roman"/>
          <w:color w:val="000000"/>
          <w:sz w:val="22"/>
        </w:rPr>
        <w:t>except that, so long as no Default shall have occurred and be continuing at the time of any action described below or would result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Subsidiary may make Restricted Payments to the Borrowers, any Subsidiaries of the Borrowers and any other Person that owns a direct Equity Interest in such Subsidiary, ratably according to their respective holdings of the type of Equity Interest in respect of which such Restricted Payment is being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and each Subsidiary may declare and make dividend payments or other distributions payable solely in the common stock or other common Equity Interests of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and each Subsidiary may purchase, redeem or otherwise acquire its common Equity Interests with the proceeds received from the substantially concurrent issue of new common Equity Interests;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the Borrowers may make Restricted Payments not otherwise permitted pursuant to this Section 7.06 so long as (i) no Default or Event of Default has occurred and is continuing or would result therefrom and (ii) both before and after giving effect thereto, the pro forma Consolidated</w:t>
      </w:r>
      <w:r>
        <w:rPr>
          <w:color w:val="0000FF"/>
          <w:u w:val="single"/>
        </w:rPr>
        <w:t xml:space="preserve"> </w:t>
      </w:r>
      <w:r>
        <w:rPr>
          <w:rFonts w:ascii="Times New Roman" w:hAnsi="Times New Roman"/>
          <w:color w:val="0000FF"/>
          <w:sz w:val="22"/>
          <w:u w:val="single"/>
        </w:rPr>
        <w:t>Secured Net</w:t>
      </w:r>
      <w:r>
        <w:rPr>
          <w:color w:val="0000FF"/>
        </w:rPr>
        <w:t xml:space="preserve"> </w:t>
      </w:r>
      <w:r>
        <w:rPr>
          <w:rFonts w:ascii="Times New Roman" w:hAnsi="Times New Roman"/>
          <w:color w:val="000000"/>
          <w:sz w:val="22"/>
        </w:rPr>
        <w:t xml:space="preserve">Leverage Ratio shall be at least 0.25 to 1.00 less than the maximum Consolidated </w:t>
      </w:r>
      <w:r>
        <w:rPr>
          <w:rFonts w:ascii="Times New Roman" w:hAnsi="Times New Roman"/>
          <w:color w:val="0000FF"/>
          <w:sz w:val="22"/>
          <w:u w:val="single"/>
        </w:rPr>
        <w:t xml:space="preserve">Secured Net </w:t>
      </w:r>
      <w:r>
        <w:rPr>
          <w:rFonts w:ascii="Times New Roman" w:hAnsi="Times New Roman"/>
          <w:color w:val="000000"/>
          <w:sz w:val="22"/>
        </w:rPr>
        <w:t xml:space="preserve">Leverage Ratio then permitted pursuant to Section 7.11(a); </w:t>
      </w:r>
      <w:r>
        <w:rPr>
          <w:rFonts w:ascii="Times New Roman" w:hAnsi="Times New Roman"/>
          <w:strike/>
          <w:color w:val="FF0000"/>
          <w:sz w:val="22"/>
        </w:rPr>
        <w:t>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so long as no Default or Event of Default has occurred and is continuing or would result therefrom, the Domestic Borrower may declare and make dividend payments of a net type not otherwise permitted pursuant to this Section 7.06 in an aggregate amount not to exceed</w:t>
      </w:r>
      <w:r>
        <w:rPr>
          <w:color w:val="0000FF"/>
          <w:u w:val="single"/>
        </w:rPr>
        <w:t xml:space="preserve"> </w:t>
      </w:r>
      <w:r>
        <w:rPr>
          <w:rFonts w:ascii="Times New Roman" w:hAnsi="Times New Roman"/>
          <w:color w:val="0000FF"/>
          <w:sz w:val="22"/>
          <w:u w:val="single"/>
        </w:rPr>
        <w:t>the</w:t>
      </w:r>
      <w:r>
        <w:rPr>
          <w:color w:val="0000FF"/>
        </w:rPr>
        <w:t xml:space="preserve"> </w:t>
      </w:r>
      <w:r>
        <w:rPr>
          <w:rFonts w:ascii="Times New Roman" w:hAnsi="Times New Roman"/>
          <w:color w:val="0000FF"/>
          <w:sz w:val="22"/>
          <w:u w:val="single"/>
        </w:rPr>
        <w:t>greater of (x)</w:t>
      </w:r>
      <w:r>
        <w:rPr>
          <w:color w:val="0000FF"/>
        </w:rPr>
        <w:t xml:space="preserve"> </w:t>
      </w:r>
      <w:r>
        <w:rPr>
          <w:rFonts w:ascii="Times New Roman" w:hAnsi="Times New Roman"/>
          <w:color w:val="000000"/>
          <w:sz w:val="22"/>
        </w:rPr>
        <w:t xml:space="preserve">$75,000,000 </w:t>
      </w:r>
      <w:r>
        <w:rPr>
          <w:rFonts w:ascii="Times New Roman" w:hAnsi="Times New Roman"/>
          <w:color w:val="0000FF"/>
          <w:sz w:val="22"/>
          <w:u w:val="single"/>
        </w:rPr>
        <w:t>and (y) 30% of Consolidated EBITDA for the most recently ended</w:t>
      </w:r>
      <w:r>
        <w:rPr>
          <w:color w:val="0000FF"/>
        </w:rPr>
        <w:t xml:space="preserve"> </w:t>
      </w:r>
      <w:r>
        <w:rPr>
          <w:rFonts w:ascii="Times New Roman" w:hAnsi="Times New Roman"/>
          <w:color w:val="0000FF"/>
          <w:sz w:val="22"/>
          <w:u w:val="single"/>
        </w:rPr>
        <w:t>Measurement Period for which financial statements have been delivered pursuant to Section</w:t>
      </w:r>
      <w:r>
        <w:rPr>
          <w:color w:val="0000FF"/>
        </w:rPr>
        <w:t xml:space="preserve"> </w:t>
      </w:r>
      <w:r>
        <w:rPr>
          <w:rFonts w:ascii="Times New Roman" w:hAnsi="Times New Roman"/>
          <w:color w:val="0000FF"/>
          <w:sz w:val="22"/>
          <w:u w:val="single"/>
        </w:rPr>
        <w:t xml:space="preserve">6.01(a) or (b), </w:t>
      </w:r>
      <w:r>
        <w:rPr>
          <w:rFonts w:ascii="Times New Roman" w:hAnsi="Times New Roman"/>
          <w:color w:val="000000"/>
          <w:sz w:val="22"/>
        </w:rPr>
        <w:t>in any fiscal year</w:t>
      </w:r>
      <w:r>
        <w:rPr>
          <w:rFonts w:ascii="Times New Roman" w:hAnsi="Times New Roman"/>
          <w:color w:val="0000FF"/>
          <w:sz w:val="22"/>
          <w:u w:val="single"/>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FF"/>
          <w:sz w:val="22"/>
          <w:u w:val="single"/>
        </w:rPr>
        <w:t>so long as no Default or Event of Default has occurred and is continuing or would</w:t>
      </w:r>
      <w:r>
        <w:rPr>
          <w:color w:val="0000FF"/>
        </w:rPr>
        <w:t xml:space="preserve"> </w:t>
      </w:r>
      <w:r>
        <w:rPr>
          <w:rFonts w:ascii="Times New Roman" w:hAnsi="Times New Roman"/>
          <w:color w:val="0000FF"/>
          <w:sz w:val="22"/>
          <w:u w:val="single"/>
        </w:rPr>
        <w:t>result therefrom, the Domestic Borrower and each of its Subsidiaries may purchase, redeem or</w:t>
      </w:r>
      <w:r>
        <w:rPr>
          <w:color w:val="0000FF"/>
        </w:rPr>
        <w:t xml:space="preserve"> </w:t>
      </w:r>
      <w:r>
        <w:rPr>
          <w:rFonts w:ascii="Times New Roman" w:hAnsi="Times New Roman"/>
          <w:color w:val="0000FF"/>
          <w:sz w:val="22"/>
          <w:u w:val="single"/>
        </w:rPr>
        <w:t>otherwise acquire its common Equity Interests with the proceeds received from the substantially</w:t>
      </w:r>
      <w:r>
        <w:rPr>
          <w:color w:val="0000FF"/>
        </w:rPr>
        <w:t xml:space="preserve"> </w:t>
      </w:r>
      <w:r>
        <w:rPr>
          <w:rFonts w:ascii="Times New Roman" w:hAnsi="Times New Roman"/>
          <w:color w:val="0000FF"/>
          <w:sz w:val="22"/>
          <w:u w:val="single"/>
        </w:rPr>
        <w:t>concurrent issuance of Permitted Convertible Indebtedness, in an aggregate amount not to exceed</w:t>
      </w:r>
      <w:r>
        <w:rPr>
          <w:color w:val="0000FF"/>
        </w:rPr>
        <w:t xml:space="preserve"> </w:t>
      </w:r>
      <w:r>
        <w:rPr>
          <w:rFonts w:ascii="Times New Roman" w:hAnsi="Times New Roman"/>
          <w:color w:val="0000FF"/>
          <w:sz w:val="22"/>
          <w:u w:val="single"/>
        </w:rPr>
        <w:t xml:space="preserve">the lesser of (x) $100,000,000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FF"/>
          <w:sz w:val="22"/>
          <w:u w:val="single"/>
        </w:rPr>
        <w:t>and (y) the remaining amount of Permitted Convertible Indebtedness</w:t>
      </w:r>
      <w:r>
        <w:rPr>
          <w:color w:val="0000FF"/>
        </w:rPr>
        <w:t xml:space="preserve"> </w:t>
      </w:r>
      <w:r>
        <w:rPr>
          <w:rFonts w:ascii="Times New Roman" w:hAnsi="Times New Roman"/>
          <w:color w:val="0000FF"/>
          <w:sz w:val="22"/>
          <w:u w:val="single"/>
        </w:rPr>
        <w:t>that may be incurred pursuant to Section 7.02(n).</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the foregoing, and for the avoidance of doubt, (i) the conversion by holders of (including</w:t>
      </w:r>
      <w:r>
        <w:rPr>
          <w:rFonts w:ascii="Times New Roman" w:hAnsi="Times New Roman"/>
          <w:color w:val="0000FF"/>
          <w:sz w:val="20"/>
        </w:rPr>
        <w:t xml:space="preserve"> </w:t>
      </w:r>
      <w:r>
        <w:rPr>
          <w:rFonts w:ascii="Times New Roman" w:hAnsi="Times New Roman"/>
          <w:color w:val="0000FF"/>
          <w:sz w:val="22"/>
          <w:u w:val="single"/>
        </w:rPr>
        <w:t>any cash payment upon conversion), or required payment of any principal or premium on, or required</w:t>
      </w:r>
      <w:r>
        <w:rPr>
          <w:rFonts w:ascii="Times New Roman" w:hAnsi="Times New Roman"/>
          <w:color w:val="0000FF"/>
          <w:sz w:val="20"/>
        </w:rPr>
        <w:t xml:space="preserve"> </w:t>
      </w:r>
      <w:r>
        <w:rPr>
          <w:rFonts w:ascii="Times New Roman" w:hAnsi="Times New Roman"/>
          <w:color w:val="0000FF"/>
          <w:sz w:val="22"/>
          <w:u w:val="single"/>
        </w:rPr>
        <w:t>payment of any interest with respect to, any Permitted Convertible Indebtedness, in each case, in accordance with the terms of the indenture governing such Permitted Convertible Indebtedness, shall not</w:t>
      </w:r>
      <w:r>
        <w:rPr>
          <w:rFonts w:ascii="Times New Roman" w:hAnsi="Times New Roman"/>
          <w:color w:val="0000FF"/>
          <w:sz w:val="20"/>
        </w:rPr>
        <w:t xml:space="preserve"> </w:t>
      </w:r>
      <w:r>
        <w:rPr>
          <w:rFonts w:ascii="Times New Roman" w:hAnsi="Times New Roman"/>
          <w:color w:val="0000FF"/>
          <w:sz w:val="22"/>
          <w:u w:val="single"/>
        </w:rPr>
        <w:t xml:space="preserve">constitute a Restricted Payment; </w:t>
      </w:r>
      <w:r>
        <w:rPr>
          <w:rFonts w:ascii="Times New Roman" w:hAnsi="Times New Roman"/>
          <w:i/>
          <w:color w:val="0000FF"/>
          <w:sz w:val="22"/>
          <w:u w:val="single"/>
        </w:rPr>
        <w:t xml:space="preserve">provided </w:t>
      </w:r>
      <w:r>
        <w:rPr>
          <w:rFonts w:ascii="Times New Roman" w:hAnsi="Times New Roman"/>
          <w:color w:val="0000FF"/>
          <w:sz w:val="22"/>
          <w:u w:val="single"/>
        </w:rPr>
        <w:t>that, to the extent both (a) the aggregate amount of cash payable</w:t>
      </w:r>
      <w:r>
        <w:rPr>
          <w:rFonts w:ascii="Times New Roman" w:hAnsi="Times New Roman"/>
          <w:color w:val="0000FF"/>
          <w:sz w:val="20"/>
        </w:rPr>
        <w:t xml:space="preserve"> </w:t>
      </w:r>
      <w:r>
        <w:rPr>
          <w:rFonts w:ascii="Times New Roman" w:hAnsi="Times New Roman"/>
          <w:color w:val="0000FF"/>
          <w:sz w:val="22"/>
          <w:u w:val="single"/>
        </w:rPr>
        <w:t>upon conversion or payment of any Permitted Convertible Indebtedness (excluding any required payment</w:t>
      </w:r>
      <w:r>
        <w:rPr>
          <w:rFonts w:ascii="Times New Roman" w:hAnsi="Times New Roman"/>
          <w:color w:val="0000FF"/>
          <w:sz w:val="20"/>
        </w:rPr>
        <w:t xml:space="preserve"> </w:t>
      </w:r>
      <w:r>
        <w:rPr>
          <w:rFonts w:ascii="Times New Roman" w:hAnsi="Times New Roman"/>
          <w:color w:val="0000FF"/>
          <w:sz w:val="22"/>
          <w:u w:val="single"/>
        </w:rPr>
        <w:t>of interest with respect to such Permitted Convertible Indebtedness and excluding any payment of cash in</w:t>
      </w:r>
      <w:r>
        <w:rPr>
          <w:rFonts w:ascii="Times New Roman" w:hAnsi="Times New Roman"/>
          <w:color w:val="0000FF"/>
          <w:sz w:val="20"/>
        </w:rPr>
        <w:t xml:space="preserve"> </w:t>
      </w:r>
      <w:r>
        <w:rPr>
          <w:rFonts w:ascii="Times New Roman" w:hAnsi="Times New Roman"/>
          <w:color w:val="0000FF"/>
          <w:sz w:val="22"/>
          <w:u w:val="single"/>
        </w:rPr>
        <w:t>lieu of a fractional share due upon conversion thereof) exceeds the aggregate principal amount thereof and (b) such conversion or payment does not trigger or correspond to an exercise or early unwind or settlement</w:t>
      </w:r>
      <w:r>
        <w:rPr>
          <w:rFonts w:ascii="Times New Roman" w:hAnsi="Times New Roman"/>
          <w:color w:val="0000FF"/>
          <w:sz w:val="20"/>
        </w:rPr>
        <w:t xml:space="preserve"> </w:t>
      </w:r>
      <w:r>
        <w:rPr>
          <w:rFonts w:ascii="Times New Roman" w:hAnsi="Times New Roman"/>
          <w:color w:val="0000FF"/>
          <w:sz w:val="22"/>
          <w:u w:val="single"/>
        </w:rPr>
        <w:t>of a corresponding portion of the Permitted Bond Hedge Transactions relating to such Permitted</w:t>
      </w:r>
      <w:r>
        <w:rPr>
          <w:rFonts w:ascii="Times New Roman" w:hAnsi="Times New Roman"/>
          <w:color w:val="0000FF"/>
          <w:sz w:val="20"/>
        </w:rPr>
        <w:t xml:space="preserve"> </w:t>
      </w:r>
      <w:r>
        <w:rPr>
          <w:rFonts w:ascii="Times New Roman" w:hAnsi="Times New Roman"/>
          <w:color w:val="0000FF"/>
          <w:sz w:val="22"/>
          <w:u w:val="single"/>
        </w:rPr>
        <w:t>Convertible Indebtedness (including, for the avoidance of doubt, the case where there is no Permitted Bond</w:t>
      </w:r>
      <w:r>
        <w:rPr>
          <w:rFonts w:ascii="Times New Roman" w:hAnsi="Times New Roman"/>
          <w:color w:val="0000FF"/>
          <w:sz w:val="20"/>
        </w:rPr>
        <w:t xml:space="preserve"> </w:t>
      </w:r>
      <w:r>
        <w:rPr>
          <w:rFonts w:ascii="Times New Roman" w:hAnsi="Times New Roman"/>
          <w:color w:val="0000FF"/>
          <w:sz w:val="22"/>
          <w:u w:val="single"/>
        </w:rPr>
        <w:t>Hedge Transaction relating to such Permitted Convertible Indebtedness), the payment of such excess cash</w:t>
      </w:r>
      <w:r>
        <w:rPr>
          <w:rFonts w:ascii="Times New Roman" w:hAnsi="Times New Roman"/>
          <w:color w:val="0000FF"/>
          <w:sz w:val="20"/>
        </w:rPr>
        <w:t xml:space="preserve"> </w:t>
      </w:r>
      <w:r>
        <w:rPr>
          <w:rFonts w:ascii="Times New Roman" w:hAnsi="Times New Roman"/>
          <w:color w:val="0000FF"/>
          <w:sz w:val="22"/>
          <w:u w:val="single"/>
        </w:rPr>
        <w:t>shall constitute a Restricted Payment notwithstanding this clause (i); and (ii) any required payment with</w:t>
      </w:r>
      <w:r>
        <w:rPr>
          <w:rFonts w:ascii="Times New Roman" w:hAnsi="Times New Roman"/>
          <w:color w:val="0000FF"/>
          <w:sz w:val="20"/>
        </w:rPr>
        <w:t xml:space="preserve"> </w:t>
      </w:r>
      <w:r>
        <w:rPr>
          <w:rFonts w:ascii="Times New Roman" w:hAnsi="Times New Roman"/>
          <w:color w:val="0000FF"/>
          <w:sz w:val="22"/>
          <w:u w:val="single"/>
        </w:rPr>
        <w:t>respect to, or required early unwind or settlement of, any Permitted Bond Hedge Transaction or Permitted</w:t>
      </w:r>
      <w:r>
        <w:rPr>
          <w:rFonts w:ascii="Times New Roman" w:hAnsi="Times New Roman"/>
          <w:color w:val="0000FF"/>
          <w:sz w:val="20"/>
        </w:rPr>
        <w:t xml:space="preserve"> </w:t>
      </w:r>
      <w:r>
        <w:rPr>
          <w:rFonts w:ascii="Times New Roman" w:hAnsi="Times New Roman"/>
          <w:color w:val="0000FF"/>
          <w:sz w:val="22"/>
          <w:u w:val="single"/>
        </w:rPr>
        <w:t>Warrant Transaction, in each case, in accordance with the terms of the agreement governing such Permitted</w:t>
      </w:r>
      <w:r>
        <w:rPr>
          <w:rFonts w:ascii="Times New Roman" w:hAnsi="Times New Roman"/>
          <w:color w:val="0000FF"/>
          <w:sz w:val="20"/>
        </w:rPr>
        <w:t xml:space="preserve"> </w:t>
      </w:r>
      <w:r>
        <w:rPr>
          <w:rFonts w:ascii="Times New Roman" w:hAnsi="Times New Roman"/>
          <w:color w:val="0000FF"/>
          <w:sz w:val="22"/>
          <w:u w:val="single"/>
        </w:rPr>
        <w:t>Bond Hedge Transaction or Permitted Warrant Transaction shall not constitute a Restricted Payment;</w:t>
      </w:r>
      <w:r>
        <w:rPr>
          <w:rFonts w:ascii="Times New Roman" w:hAnsi="Times New Roman"/>
          <w:color w:val="0000FF"/>
          <w:sz w:val="20"/>
        </w:rPr>
        <w:t xml:space="preserve"> </w:t>
      </w:r>
      <w:r>
        <w:rPr>
          <w:rFonts w:ascii="Times New Roman" w:hAnsi="Times New Roman"/>
          <w:i/>
          <w:color w:val="0000FF"/>
          <w:sz w:val="22"/>
          <w:u w:val="single"/>
        </w:rPr>
        <w:t xml:space="preserve">provided </w:t>
      </w:r>
      <w:r>
        <w:rPr>
          <w:rFonts w:ascii="Times New Roman" w:hAnsi="Times New Roman"/>
          <w:color w:val="0000FF"/>
          <w:sz w:val="22"/>
          <w:u w:val="single"/>
        </w:rPr>
        <w:t>that, to the extent cash is required to be paid under a Permitted Warrant Transaction as a result of</w:t>
      </w:r>
      <w:r>
        <w:rPr>
          <w:rFonts w:ascii="Times New Roman" w:hAnsi="Times New Roman"/>
          <w:color w:val="0000FF"/>
          <w:sz w:val="20"/>
        </w:rPr>
        <w:t xml:space="preserve"> </w:t>
      </w:r>
      <w:r>
        <w:rPr>
          <w:rFonts w:ascii="Times New Roman" w:hAnsi="Times New Roman"/>
          <w:color w:val="0000FF"/>
          <w:sz w:val="22"/>
          <w:u w:val="single"/>
        </w:rPr>
        <w:t>the election of “cash settlement” (or substantially equivalent term) as the “settlement method” (or</w:t>
      </w:r>
      <w:r>
        <w:rPr>
          <w:rFonts w:ascii="Times New Roman" w:hAnsi="Times New Roman"/>
          <w:color w:val="0000FF"/>
          <w:sz w:val="20"/>
        </w:rPr>
        <w:t xml:space="preserve"> </w:t>
      </w:r>
      <w:r>
        <w:rPr>
          <w:rFonts w:ascii="Times New Roman" w:hAnsi="Times New Roman"/>
          <w:color w:val="0000FF"/>
          <w:sz w:val="22"/>
          <w:u w:val="single"/>
        </w:rPr>
        <w:t>substantially equivalent term) thereunder by the Domestic Borrower (or its Affiliate) (including in</w:t>
      </w:r>
      <w:r>
        <w:rPr>
          <w:rFonts w:ascii="Times New Roman" w:hAnsi="Times New Roman"/>
          <w:color w:val="0000FF"/>
          <w:sz w:val="20"/>
        </w:rPr>
        <w:t xml:space="preserve"> </w:t>
      </w:r>
      <w:r>
        <w:rPr>
          <w:rFonts w:ascii="Times New Roman" w:hAnsi="Times New Roman"/>
          <w:color w:val="0000FF"/>
          <w:sz w:val="22"/>
          <w:u w:val="single"/>
        </w:rPr>
        <w:t>connection with the exercise and/or early unwind or settlement thereof), the payment of such cash shall</w:t>
      </w:r>
      <w:r>
        <w:rPr>
          <w:rFonts w:ascii="Times New Roman" w:hAnsi="Times New Roman"/>
          <w:color w:val="0000FF"/>
          <w:sz w:val="20"/>
        </w:rPr>
        <w:t xml:space="preserve"> </w:t>
      </w:r>
      <w:r>
        <w:rPr>
          <w:rFonts w:ascii="Times New Roman" w:hAnsi="Times New Roman"/>
          <w:color w:val="0000FF"/>
          <w:sz w:val="22"/>
          <w:u w:val="single"/>
        </w:rPr>
        <w:t>constitute a Restricted Payment notwithstanding this clause (ii).</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the foregoing, the Domestic Borrower may repurchase, exchange or induce the conversion</w:t>
      </w:r>
      <w:r>
        <w:rPr>
          <w:rFonts w:ascii="Times New Roman" w:hAnsi="Times New Roman"/>
          <w:color w:val="0000FF"/>
          <w:sz w:val="20"/>
        </w:rPr>
        <w:t xml:space="preserve"> </w:t>
      </w:r>
      <w:r>
        <w:rPr>
          <w:rFonts w:ascii="Times New Roman" w:hAnsi="Times New Roman"/>
          <w:color w:val="0000FF"/>
          <w:sz w:val="22"/>
          <w:u w:val="single"/>
        </w:rPr>
        <w:t>of Permitted Convertible Indebtedness by delivery of shares of the Domestic Borrower’s common stock</w:t>
      </w:r>
      <w:r>
        <w:rPr>
          <w:rFonts w:ascii="Times New Roman" w:hAnsi="Times New Roman"/>
          <w:color w:val="0000FF"/>
          <w:sz w:val="20"/>
        </w:rPr>
        <w:t xml:space="preserve"> </w:t>
      </w:r>
      <w:r>
        <w:rPr>
          <w:rFonts w:ascii="Times New Roman" w:hAnsi="Times New Roman"/>
          <w:color w:val="0000FF"/>
          <w:sz w:val="22"/>
          <w:u w:val="single"/>
        </w:rPr>
        <w:t>and/or a different series of Permitted Convertible Indebtedness (which series (x) matures after, and does not</w:t>
      </w:r>
      <w:r>
        <w:rPr>
          <w:rFonts w:ascii="Times New Roman" w:hAnsi="Times New Roman"/>
          <w:color w:val="0000FF"/>
          <w:sz w:val="20"/>
        </w:rPr>
        <w:t xml:space="preserve"> </w:t>
      </w:r>
      <w:r>
        <w:rPr>
          <w:rFonts w:ascii="Times New Roman" w:hAnsi="Times New Roman"/>
          <w:color w:val="0000FF"/>
          <w:sz w:val="22"/>
          <w:u w:val="single"/>
        </w:rPr>
        <w:t>require any scheduled amortization or other scheduled payments of principal prior to, the analogous date</w:t>
      </w:r>
      <w:r>
        <w:rPr>
          <w:rFonts w:ascii="Times New Roman" w:hAnsi="Times New Roman"/>
          <w:color w:val="0000FF"/>
          <w:sz w:val="20"/>
        </w:rPr>
        <w:t xml:space="preserve"> </w:t>
      </w:r>
      <w:r>
        <w:rPr>
          <w:rFonts w:ascii="Times New Roman" w:hAnsi="Times New Roman"/>
          <w:color w:val="0000FF"/>
          <w:sz w:val="22"/>
          <w:u w:val="single"/>
        </w:rPr>
        <w:t>under the indenture governing the Permitted Convertible Indebtedness that is so repurchased, exchanged or</w:t>
      </w:r>
      <w:r>
        <w:rPr>
          <w:rFonts w:ascii="Times New Roman" w:hAnsi="Times New Roman"/>
          <w:color w:val="0000FF"/>
          <w:sz w:val="20"/>
        </w:rPr>
        <w:t xml:space="preserve"> </w:t>
      </w:r>
      <w:r>
        <w:rPr>
          <w:rFonts w:ascii="Times New Roman" w:hAnsi="Times New Roman"/>
          <w:color w:val="0000FF"/>
          <w:sz w:val="22"/>
          <w:u w:val="single"/>
        </w:rPr>
        <w:t>converted and (y) has terms, conditions and covenants that are no less favorable to the Domestic Borrower</w:t>
      </w:r>
      <w:r>
        <w:rPr>
          <w:rFonts w:ascii="Times New Roman" w:hAnsi="Times New Roman"/>
          <w:color w:val="0000FF"/>
          <w:sz w:val="20"/>
        </w:rPr>
        <w:t xml:space="preserve"> </w:t>
      </w:r>
      <w:r>
        <w:rPr>
          <w:rFonts w:ascii="Times New Roman" w:hAnsi="Times New Roman"/>
          <w:color w:val="0000FF"/>
          <w:sz w:val="22"/>
          <w:u w:val="single"/>
        </w:rPr>
        <w:t>than the Permitted Convertible Indebtedness that is so repurchased, exchanged or converted (as determined</w:t>
      </w:r>
      <w:r>
        <w:rPr>
          <w:rFonts w:ascii="Times New Roman" w:hAnsi="Times New Roman"/>
          <w:color w:val="0000FF"/>
          <w:sz w:val="20"/>
        </w:rPr>
        <w:t xml:space="preserve"> </w:t>
      </w:r>
      <w:r>
        <w:rPr>
          <w:rFonts w:ascii="Times New Roman" w:hAnsi="Times New Roman"/>
          <w:color w:val="0000FF"/>
          <w:sz w:val="22"/>
          <w:u w:val="single"/>
        </w:rPr>
        <w:t>by the board of directors of the Domestic Borrower, or a committee thereof, in good faith)) (any such series</w:t>
      </w:r>
      <w:r>
        <w:rPr>
          <w:rFonts w:ascii="Times New Roman" w:hAnsi="Times New Roman"/>
          <w:color w:val="0000FF"/>
          <w:sz w:val="20"/>
        </w:rPr>
        <w:t xml:space="preserve"> </w:t>
      </w:r>
      <w:r>
        <w:rPr>
          <w:rFonts w:ascii="Times New Roman" w:hAnsi="Times New Roman"/>
          <w:color w:val="0000FF"/>
          <w:sz w:val="22"/>
          <w:u w:val="single"/>
        </w:rPr>
        <w:t>of Permitted Convertible Indebtedness, “</w:t>
      </w:r>
      <w:r>
        <w:rPr>
          <w:rFonts w:ascii="Times New Roman" w:hAnsi="Times New Roman"/>
          <w:i/>
          <w:color w:val="0000FF"/>
          <w:sz w:val="22"/>
          <w:u w:val="single"/>
        </w:rPr>
        <w:t>Refinancing Convertible Notes</w:t>
      </w:r>
      <w:r>
        <w:rPr>
          <w:rFonts w:ascii="Times New Roman" w:hAnsi="Times New Roman"/>
          <w:color w:val="0000FF"/>
          <w:sz w:val="20"/>
          <w:u w:val="single"/>
        </w:rPr>
        <w:t>”</w:t>
      </w:r>
      <w:r>
        <w:rPr>
          <w:rFonts w:ascii="Times New Roman" w:hAnsi="Times New Roman"/>
          <w:color w:val="0000FF"/>
          <w:sz w:val="22"/>
          <w:u w:val="single"/>
        </w:rPr>
        <w:t>) and/or by payment of cash (in an</w:t>
      </w:r>
      <w:r>
        <w:rPr>
          <w:rFonts w:ascii="Times New Roman" w:hAnsi="Times New Roman"/>
          <w:color w:val="0000FF"/>
          <w:sz w:val="20"/>
        </w:rPr>
        <w:t xml:space="preserve"> </w:t>
      </w:r>
      <w:r>
        <w:rPr>
          <w:rFonts w:ascii="Times New Roman" w:hAnsi="Times New Roman"/>
          <w:color w:val="0000FF"/>
          <w:sz w:val="22"/>
          <w:u w:val="single"/>
        </w:rPr>
        <w:t>amount that does not exceed the proceeds received by the Domestic Borrower from the substantially</w:t>
      </w:r>
      <w:r>
        <w:rPr>
          <w:rFonts w:ascii="Times New Roman" w:hAnsi="Times New Roman"/>
          <w:color w:val="0000FF"/>
          <w:sz w:val="20"/>
        </w:rPr>
        <w:t xml:space="preserve"> </w:t>
      </w:r>
      <w:r>
        <w:rPr>
          <w:rFonts w:ascii="Times New Roman" w:hAnsi="Times New Roman"/>
          <w:color w:val="0000FF"/>
          <w:sz w:val="22"/>
          <w:u w:val="single"/>
        </w:rPr>
        <w:t>concurrent issuance of shares of the Domestic Borrower’s common stock and/or Refinancing Convertible</w:t>
      </w:r>
      <w:r>
        <w:rPr>
          <w:rFonts w:ascii="Times New Roman" w:hAnsi="Times New Roman"/>
          <w:color w:val="0000FF"/>
          <w:sz w:val="20"/>
        </w:rPr>
        <w:t xml:space="preserve"> </w:t>
      </w:r>
      <w:r>
        <w:rPr>
          <w:rFonts w:ascii="Times New Roman" w:hAnsi="Times New Roman"/>
          <w:color w:val="0000FF"/>
          <w:sz w:val="22"/>
          <w:u w:val="single"/>
        </w:rPr>
        <w:t>Notes plus the net cash proceeds, if any, received by the Domestic Borrower pursuant to the related exercise</w:t>
      </w:r>
      <w:r>
        <w:rPr>
          <w:rFonts w:ascii="Times New Roman" w:hAnsi="Times New Roman"/>
          <w:color w:val="0000FF"/>
          <w:sz w:val="20"/>
        </w:rPr>
        <w:t xml:space="preserve"> </w:t>
      </w:r>
      <w:r>
        <w:rPr>
          <w:rFonts w:ascii="Times New Roman" w:hAnsi="Times New Roman"/>
          <w:color w:val="0000FF"/>
          <w:sz w:val="22"/>
          <w:u w:val="single"/>
        </w:rPr>
        <w:t>or early unwind or termination of the related Permitted Bond Hedge Transactions and Permitted Warrant</w:t>
      </w:r>
      <w:r>
        <w:rPr>
          <w:rFonts w:ascii="Times New Roman" w:hAnsi="Times New Roman"/>
          <w:color w:val="0000FF"/>
          <w:sz w:val="20"/>
        </w:rPr>
        <w:t xml:space="preserve"> </w:t>
      </w:r>
      <w:r>
        <w:rPr>
          <w:rFonts w:ascii="Times New Roman" w:hAnsi="Times New Roman"/>
          <w:color w:val="0000FF"/>
          <w:sz w:val="22"/>
          <w:u w:val="single"/>
        </w:rPr>
        <w:t xml:space="preserve">Transactions, if any, pursuant to the immediately following proviso); </w:t>
      </w:r>
      <w:r>
        <w:rPr>
          <w:rFonts w:ascii="Times New Roman" w:hAnsi="Times New Roman"/>
          <w:i/>
          <w:color w:val="0000FF"/>
          <w:sz w:val="22"/>
          <w:u w:val="single"/>
        </w:rPr>
        <w:t xml:space="preserve">provided </w:t>
      </w:r>
      <w:r>
        <w:rPr>
          <w:rFonts w:ascii="Times New Roman" w:hAnsi="Times New Roman"/>
          <w:color w:val="0000FF"/>
          <w:sz w:val="22"/>
          <w:u w:val="single"/>
        </w:rPr>
        <w:t>that, substantially</w:t>
      </w:r>
      <w:r>
        <w:rPr>
          <w:rFonts w:ascii="Times New Roman" w:hAnsi="Times New Roman"/>
          <w:color w:val="0000FF"/>
          <w:sz w:val="20"/>
        </w:rPr>
        <w:t xml:space="preserve"> </w:t>
      </w:r>
      <w:r>
        <w:rPr>
          <w:rFonts w:ascii="Times New Roman" w:hAnsi="Times New Roman"/>
          <w:color w:val="0000FF"/>
          <w:sz w:val="22"/>
          <w:u w:val="single"/>
        </w:rPr>
        <w:t>concurrently with, or a commercially reasonable period of time before or after, the related settlement date</w:t>
      </w:r>
      <w:r>
        <w:rPr>
          <w:rFonts w:ascii="Times New Roman" w:hAnsi="Times New Roman"/>
          <w:color w:val="0000FF"/>
          <w:sz w:val="20"/>
        </w:rPr>
        <w:t xml:space="preserve"> </w:t>
      </w:r>
      <w:r>
        <w:rPr>
          <w:rFonts w:ascii="Times New Roman" w:hAnsi="Times New Roman"/>
          <w:color w:val="0000FF"/>
          <w:sz w:val="22"/>
          <w:u w:val="single"/>
        </w:rPr>
        <w:t>for the Permitted Convertible Indebtedness that are so repurchased, exchanged or converted, the Domestic</w:t>
      </w:r>
      <w:r>
        <w:rPr>
          <w:rFonts w:ascii="Times New Roman" w:hAnsi="Times New Roman"/>
          <w:color w:val="0000FF"/>
          <w:sz w:val="20"/>
        </w:rPr>
        <w:t xml:space="preserve"> </w:t>
      </w:r>
      <w:r>
        <w:rPr>
          <w:rFonts w:ascii="Times New Roman" w:hAnsi="Times New Roman"/>
          <w:color w:val="0000FF"/>
          <w:sz w:val="22"/>
          <w:u w:val="single"/>
        </w:rPr>
        <w:t>Borrower shall (and, for the avoidance of doubt, shall be permitted under this Section 7.06 to) exercise or</w:t>
      </w:r>
      <w:r>
        <w:rPr>
          <w:rFonts w:ascii="Times New Roman" w:hAnsi="Times New Roman"/>
          <w:color w:val="0000FF"/>
          <w:sz w:val="20"/>
        </w:rPr>
        <w:t xml:space="preserve"> </w:t>
      </w:r>
      <w:r>
        <w:rPr>
          <w:rFonts w:ascii="Times New Roman" w:hAnsi="Times New Roman"/>
          <w:color w:val="0000FF"/>
          <w:sz w:val="22"/>
          <w:u w:val="single"/>
        </w:rPr>
        <w:t>unwind or terminate early (whether in cash, shares or any combination thereof) the portion of the Permitted</w:t>
      </w:r>
      <w:r>
        <w:rPr>
          <w:rFonts w:ascii="Times New Roman" w:hAnsi="Times New Roman"/>
          <w:color w:val="0000FF"/>
          <w:sz w:val="20"/>
        </w:rPr>
        <w:t xml:space="preserve"> </w:t>
      </w:r>
      <w:r>
        <w:rPr>
          <w:rFonts w:ascii="Times New Roman" w:hAnsi="Times New Roman"/>
          <w:color w:val="0000FF"/>
          <w:sz w:val="22"/>
          <w:u w:val="single"/>
        </w:rPr>
        <w:t>Bond Hedge Transactions and Permitted Warrant Transactions, if any, corresponding to such Permitted</w:t>
      </w:r>
      <w:r>
        <w:rPr>
          <w:rFonts w:ascii="Times New Roman" w:hAnsi="Times New Roman"/>
          <w:color w:val="0000FF"/>
          <w:sz w:val="20"/>
        </w:rPr>
        <w:t xml:space="preserve"> </w:t>
      </w:r>
      <w:r>
        <w:rPr>
          <w:rFonts w:ascii="Times New Roman" w:hAnsi="Times New Roman"/>
          <w:color w:val="0000FF"/>
          <w:sz w:val="22"/>
          <w:u w:val="single"/>
        </w:rPr>
        <w:t>Convertible Indebtedness that are so repurchased, exchanged or converted.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Notwithstanding anything to the contrary herein, no Loan Party may transfer (whether pursuant to a sale,</w:t>
      </w:r>
      <w:r>
        <w:rPr>
          <w:rFonts w:ascii="Times New Roman" w:hAnsi="Times New Roman"/>
          <w:color w:val="0000FF"/>
          <w:sz w:val="20"/>
        </w:rPr>
        <w:t xml:space="preserve"> </w:t>
      </w:r>
      <w:r>
        <w:rPr>
          <w:rFonts w:ascii="Times New Roman" w:hAnsi="Times New Roman"/>
          <w:color w:val="0000FF"/>
          <w:sz w:val="22"/>
          <w:u w:val="single"/>
        </w:rPr>
        <w:t>lease, Disposition, Investment, Restricted Payment or otherwise) any Material Intellectual Property</w:t>
      </w:r>
      <w:r>
        <w:rPr>
          <w:rFonts w:ascii="Times New Roman" w:hAnsi="Times New Roman"/>
          <w:color w:val="0000FF"/>
          <w:sz w:val="20"/>
        </w:rPr>
        <w:t xml:space="preserve"> </w:t>
      </w:r>
      <w:r>
        <w:rPr>
          <w:rFonts w:ascii="Times New Roman" w:hAnsi="Times New Roman"/>
          <w:color w:val="0000FF"/>
          <w:sz w:val="22"/>
          <w:u w:val="single"/>
        </w:rPr>
        <w:t>(including any exclusive license or other exclusive rights to such Material Intellectual Property) or any</w:t>
      </w:r>
      <w:r>
        <w:rPr>
          <w:rFonts w:ascii="Times New Roman" w:hAnsi="Times New Roman"/>
          <w:color w:val="0000FF"/>
          <w:sz w:val="20"/>
        </w:rPr>
        <w:t xml:space="preserve"> </w:t>
      </w:r>
      <w:r>
        <w:rPr>
          <w:rFonts w:ascii="Times New Roman" w:hAnsi="Times New Roman"/>
          <w:color w:val="0000FF"/>
          <w:sz w:val="22"/>
          <w:u w:val="single"/>
        </w:rPr>
        <w:t>equity interests of any Subsidiary that owns (or exclusively licenses) any Material Intellectual Property to</w:t>
      </w:r>
      <w:r>
        <w:rPr>
          <w:rFonts w:ascii="Times New Roman" w:hAnsi="Times New Roman"/>
          <w:color w:val="0000FF"/>
          <w:sz w:val="20"/>
        </w:rPr>
        <w:t xml:space="preserve"> </w:t>
      </w:r>
      <w:r>
        <w:rPr>
          <w:rFonts w:ascii="Times New Roman" w:hAnsi="Times New Roman"/>
          <w:color w:val="0000FF"/>
          <w:sz w:val="22"/>
          <w:u w:val="single"/>
        </w:rPr>
        <w:t xml:space="preserve">any Subsidiary that is not a Loan Party; </w:t>
      </w:r>
      <w:r>
        <w:rPr>
          <w:rFonts w:ascii="Times New Roman" w:hAnsi="Times New Roman"/>
          <w:i/>
          <w:color w:val="0000FF"/>
          <w:sz w:val="22"/>
          <w:u w:val="single"/>
        </w:rPr>
        <w:t>provided</w:t>
      </w:r>
      <w:r>
        <w:rPr>
          <w:rFonts w:ascii="Times New Roman" w:hAnsi="Times New Roman"/>
          <w:color w:val="0000FF"/>
          <w:sz w:val="22"/>
          <w:u w:val="single"/>
        </w:rPr>
        <w:t xml:space="preserve">, </w:t>
      </w:r>
      <w:r>
        <w:rPr>
          <w:rFonts w:ascii="Times New Roman" w:hAnsi="Times New Roman"/>
          <w:i/>
          <w:color w:val="0000FF"/>
          <w:sz w:val="22"/>
          <w:u w:val="single"/>
        </w:rPr>
        <w:t>however</w:t>
      </w:r>
      <w:r>
        <w:rPr>
          <w:rFonts w:ascii="Times New Roman" w:hAnsi="Times New Roman"/>
          <w:color w:val="0000FF"/>
          <w:sz w:val="22"/>
          <w:u w:val="single"/>
        </w:rPr>
        <w:t>, that the foregoing shall not prohibit a</w:t>
      </w:r>
      <w:r>
        <w:rPr>
          <w:rFonts w:ascii="Times New Roman" w:hAnsi="Times New Roman"/>
          <w:color w:val="0000FF"/>
          <w:sz w:val="20"/>
        </w:rPr>
        <w:t xml:space="preserve"> </w:t>
      </w:r>
      <w:r>
        <w:rPr>
          <w:rFonts w:ascii="Times New Roman" w:hAnsi="Times New Roman"/>
          <w:color w:val="0000FF"/>
          <w:sz w:val="22"/>
          <w:u w:val="single"/>
        </w:rPr>
        <w:t>nonexclusive license by a Loan Party of its Material Intellectual Property to a Subsidiary that is not a Loan Party</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7.07. Change in Nature of Business</w:t>
      </w:r>
      <w:r>
        <w:rPr>
          <w:rFonts w:ascii="Times New Roman" w:hAnsi="Times New Roman"/>
          <w:color w:val="000000"/>
          <w:sz w:val="22"/>
        </w:rPr>
        <w:t>. Engage in any material line of business substantially different from those lines of business conducted by the Domestic Borrower and its Subsidiaries on the date hereof or any business substantially related or incidental thereto.</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7.08. Transactions with Affiliates</w:t>
      </w:r>
      <w:r>
        <w:rPr>
          <w:rFonts w:ascii="Times New Roman" w:hAnsi="Times New Roman"/>
          <w:color w:val="000000"/>
          <w:sz w:val="22"/>
        </w:rPr>
        <w:t xml:space="preserve">. Enter into any transaction of any kind with any Affiliate of any Borrower, whether or not in the ordinary course of business, other than on fair and reasonable terms substantially as favorable to any Borrower or such Subsidiary as would be obtainable by the applicable Borrower or such Subsidiary at the time in a comparable arm’s length transaction with a Person other than an Affiliate; </w:t>
      </w:r>
      <w:r>
        <w:rPr>
          <w:rFonts w:ascii="Times New Roman" w:hAnsi="Times New Roman"/>
          <w:i/>
          <w:color w:val="000000"/>
          <w:sz w:val="22"/>
        </w:rPr>
        <w:t xml:space="preserve">provided </w:t>
      </w:r>
      <w:r>
        <w:rPr>
          <w:rFonts w:ascii="Times New Roman" w:hAnsi="Times New Roman"/>
          <w:color w:val="000000"/>
          <w:sz w:val="22"/>
        </w:rPr>
        <w:t>that the foregoing restriction shall not apply to transactions between or among the Loan Parties that are otherwise permitted by the terms of this Agreement and to Qualified Securitization Transactions.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7.09. Burdensome Agreements</w:t>
      </w:r>
      <w:r>
        <w:rPr>
          <w:rFonts w:ascii="Times New Roman" w:hAnsi="Times New Roman"/>
          <w:color w:val="000000"/>
          <w:sz w:val="22"/>
        </w:rPr>
        <w:t xml:space="preserve">. Enter into or permit to exist any Contractual Obligation (other than this Agreement or any other Loan Document) that (a) limits the ability (i) of any Subsidiary to make Restricted Payments to any Borrower or any Guarantor or to otherwise transfer property to or invest in any Borrower or any Guarantor, except for any agreement in effect (A) on the date hereof and set forth on Schedule 7.09, (B) at the time any Subsidiary becomes a Subsidiary of a Borrower, so long as such agreement was not entered into solely in contemplation of such Person becoming a Subsidiary of such Borrower or (C) customary restrictions and conditions contained in agreements relating to a Qualified Securitization Transaction or a Permitted Receivables Facility, (ii) of any Subsidiary to Guarantee the Indebtedness of a Borrower or (iii) of a Borrower or any Subsidiary to create, incur, assume or suffer to exist Liens on property of such Person; </w:t>
      </w:r>
      <w:r>
        <w:rPr>
          <w:rFonts w:ascii="Times New Roman" w:hAnsi="Times New Roman"/>
          <w:i/>
          <w:color w:val="000000"/>
          <w:sz w:val="22"/>
        </w:rPr>
        <w:t xml:space="preserve">provided, however, </w:t>
      </w:r>
      <w:r>
        <w:rPr>
          <w:rFonts w:ascii="Times New Roman" w:hAnsi="Times New Roman"/>
          <w:color w:val="000000"/>
          <w:sz w:val="22"/>
        </w:rPr>
        <w:t>that this clause (iii) shall not prohibit any negative pledge incurred or provided in favor of any holder of Indebtedness permitted under Section 7.02(f) solely to the extent any such negative pledge relates to the property financed by or the subject of such Indebtedness; or (b) requires the grant of a Lien to secure an obligation of such Person if a Lien is granted to secure another obligation of such Person.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7.10. Use of Proceeds</w:t>
      </w:r>
      <w:r>
        <w:rPr>
          <w:rFonts w:ascii="Times New Roman" w:hAnsi="Times New Roman"/>
          <w:color w:val="000000"/>
          <w:sz w:val="22"/>
        </w:rPr>
        <w:t>. Use the proceeds of any Credit Extension, whether directly or indirectly, and whether immediately, incidentally or ultimately, to purchase or carry margin stock (within the meaning of Regulation U</w:t>
      </w:r>
      <w:r>
        <w:rPr>
          <w:rFonts w:ascii="Times New Roman" w:hAnsi="Times New Roman"/>
          <w:strike/>
          <w:color w:val="FF0000"/>
          <w:sz w:val="20"/>
        </w:rPr>
        <w:t xml:space="preserve"> </w:t>
      </w:r>
      <w:r>
        <w:rPr>
          <w:rFonts w:ascii="Times New Roman" w:hAnsi="Times New Roman"/>
          <w:strike/>
          <w:color w:val="FF0000"/>
          <w:sz w:val="22"/>
        </w:rPr>
        <w:t>of the FRB</w:t>
      </w:r>
      <w:r>
        <w:rPr>
          <w:rFonts w:ascii="Times New Roman" w:hAnsi="Times New Roman"/>
          <w:color w:val="000000"/>
          <w:sz w:val="22"/>
        </w:rPr>
        <w:t>) or to extend credit to others for the purpose of purchasing or carrying margin stock or to refund indebtedness originally incurred for such purpose.</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7.11. Financial Covenants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Maximum Consolidated</w:t>
      </w:r>
      <w:r>
        <w:rPr>
          <w:color w:val="0000FF"/>
          <w:u w:val="single"/>
        </w:rPr>
        <w:t xml:space="preserve"> </w:t>
      </w:r>
      <w:r>
        <w:rPr>
          <w:rFonts w:ascii="Times New Roman" w:hAnsi="Times New Roman"/>
          <w:i/>
          <w:color w:val="0000FF"/>
          <w:sz w:val="22"/>
          <w:u w:val="single"/>
        </w:rPr>
        <w:t>Secured Net</w:t>
      </w:r>
      <w:r>
        <w:rPr>
          <w:color w:val="0000FF"/>
        </w:rPr>
        <w:t xml:space="preserve"> </w:t>
      </w:r>
      <w:r>
        <w:rPr>
          <w:rFonts w:ascii="Times New Roman" w:hAnsi="Times New Roman"/>
          <w:i/>
          <w:color w:val="000000"/>
          <w:sz w:val="22"/>
        </w:rPr>
        <w:t>Leverage Ratio</w:t>
      </w:r>
      <w:r>
        <w:rPr>
          <w:rFonts w:ascii="Times New Roman" w:hAnsi="Times New Roman"/>
          <w:color w:val="000000"/>
          <w:sz w:val="22"/>
        </w:rPr>
        <w:t xml:space="preserve">. Permit the Consolidated </w:t>
      </w:r>
      <w:r>
        <w:rPr>
          <w:rFonts w:ascii="Times New Roman" w:hAnsi="Times New Roman"/>
          <w:color w:val="0000FF"/>
          <w:sz w:val="22"/>
          <w:u w:val="single"/>
        </w:rPr>
        <w:t>Secured</w:t>
      </w:r>
      <w:r>
        <w:rPr>
          <w:color w:val="0000FF"/>
        </w:rPr>
        <w:t xml:space="preserve"> </w:t>
      </w:r>
      <w:r>
        <w:rPr>
          <w:rFonts w:ascii="Times New Roman" w:hAnsi="Times New Roman"/>
          <w:color w:val="0000FF"/>
          <w:sz w:val="22"/>
          <w:u w:val="single"/>
        </w:rPr>
        <w:t>Net</w:t>
      </w:r>
      <w:r>
        <w:rPr>
          <w:color w:val="0000FF"/>
        </w:rPr>
        <w:t xml:space="preserve"> </w:t>
      </w:r>
      <w:r>
        <w:rPr>
          <w:rFonts w:ascii="Times New Roman" w:hAnsi="Times New Roman"/>
          <w:color w:val="000000"/>
          <w:sz w:val="22"/>
        </w:rPr>
        <w:t>Leverage Ratio for each fiscal quarter of the Domestic Borrower to be greater than 3.25 to 1.00, for any fiscal quarter ending after the Closing Date</w:t>
      </w:r>
      <w:r>
        <w:rPr>
          <w:rFonts w:ascii="Times New Roman" w:hAnsi="Times New Roman"/>
          <w:color w:val="0000FF"/>
          <w:sz w:val="22"/>
        </w:rPr>
        <w:t>;</w:t>
      </w:r>
    </w:p>
    <w:p>
      <w:pPr>
        <w:pStyle w:val="TextBody"/>
        <w:bidi w:val="0"/>
        <w:spacing w:before="240" w:after="283"/>
        <w:jc w:val="both"/>
        <w:rPr>
          <w:rFonts w:ascii="Times New Roman" w:hAnsi="Times New Roman"/>
          <w:sz w:val="20"/>
        </w:rPr>
      </w:pPr>
      <w:r>
        <w:rPr>
          <w:rFonts w:ascii="Times New Roman" w:hAnsi="Times New Roman"/>
          <w:i/>
          <w:color w:val="0000FF"/>
          <w:sz w:val="22"/>
          <w:u w:val="single"/>
        </w:rPr>
        <w:t>provided</w:t>
      </w:r>
      <w:r>
        <w:rPr>
          <w:rFonts w:ascii="Times New Roman" w:hAnsi="Times New Roman"/>
          <w:color w:val="0000FF"/>
          <w:sz w:val="22"/>
          <w:u w:val="single"/>
        </w:rPr>
        <w:t>, that the Domestic Borrower may, by written notice to the Administrative Agent for distribution to</w:t>
      </w:r>
      <w:r>
        <w:rPr>
          <w:rFonts w:ascii="Times New Roman" w:hAnsi="Times New Roman"/>
          <w:color w:val="0000FF"/>
          <w:sz w:val="20"/>
        </w:rPr>
        <w:t xml:space="preserve"> </w:t>
      </w:r>
      <w:r>
        <w:rPr>
          <w:rFonts w:ascii="Times New Roman" w:hAnsi="Times New Roman"/>
          <w:color w:val="0000FF"/>
          <w:sz w:val="22"/>
          <w:u w:val="single"/>
        </w:rPr>
        <w:t>the Lenders (such request to be made in writing by the Domestic Borrower no later than the date on which a</w:t>
      </w:r>
      <w:r>
        <w:rPr>
          <w:rFonts w:ascii="Times New Roman" w:hAnsi="Times New Roman"/>
          <w:color w:val="0000FF"/>
          <w:sz w:val="20"/>
        </w:rPr>
        <w:t xml:space="preserve"> </w:t>
      </w:r>
      <w:r>
        <w:rPr>
          <w:rFonts w:ascii="Times New Roman" w:hAnsi="Times New Roman"/>
          <w:color w:val="0000FF"/>
          <w:sz w:val="22"/>
          <w:u w:val="single"/>
        </w:rPr>
        <w:t>Compliance Certificate is required to be delivered pursuant to Sections 6.02(a) or (b) demonstrating the</w:t>
      </w:r>
      <w:r>
        <w:rPr>
          <w:rFonts w:ascii="Times New Roman" w:hAnsi="Times New Roman"/>
          <w:color w:val="0000FF"/>
          <w:sz w:val="20"/>
        </w:rPr>
        <w:t xml:space="preserve"> </w:t>
      </w:r>
      <w:r>
        <w:rPr>
          <w:rFonts w:ascii="Times New Roman" w:hAnsi="Times New Roman"/>
          <w:color w:val="0000FF"/>
          <w:sz w:val="22"/>
          <w:u w:val="single"/>
        </w:rPr>
        <w:t>Consolidated Secured Net Leverage Ratio for the fiscal quarter during which a Material Acquisition has</w:t>
      </w:r>
      <w:r>
        <w:rPr>
          <w:rFonts w:ascii="Times New Roman" w:hAnsi="Times New Roman"/>
          <w:color w:val="0000FF"/>
          <w:sz w:val="20"/>
        </w:rPr>
        <w:t xml:space="preserve"> </w:t>
      </w:r>
      <w:r>
        <w:rPr>
          <w:rFonts w:ascii="Times New Roman" w:hAnsi="Times New Roman"/>
          <w:color w:val="0000FF"/>
          <w:sz w:val="22"/>
          <w:u w:val="single"/>
        </w:rPr>
        <w:t>occurred), elect to increase the maximum Consolidated Secured Net Leverage Ratio by 0.25 for a period of</w:t>
      </w:r>
      <w:r>
        <w:rPr>
          <w:rFonts w:ascii="Times New Roman" w:hAnsi="Times New Roman"/>
          <w:color w:val="0000FF"/>
          <w:sz w:val="20"/>
        </w:rPr>
        <w:t xml:space="preserve"> </w:t>
      </w:r>
      <w:r>
        <w:rPr>
          <w:rFonts w:ascii="Times New Roman" w:hAnsi="Times New Roman"/>
          <w:color w:val="0000FF"/>
          <w:sz w:val="22"/>
          <w:u w:val="single"/>
        </w:rPr>
        <w:t>four (4) consecutive fiscal quarters</w:t>
      </w:r>
      <w:r>
        <w:rPr>
          <w:rFonts w:ascii="Times New Roman" w:hAnsi="Times New Roman"/>
          <w:color w:val="0000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(inclusive of the fiscal quarter in which such Material Acquisition occurred) in connection with a Material Acquisition occurring during the first of such four fiscal quarters (such period, an “Elevated Covenant Period”); provided, that the Consolidated Secured Net Leverage Ratio shall have been less than 3.25:1.00 immediately prior to giving effect to such Material Acquisition (as evidenced by calculations delivered to the Administrative Agent, which such calculations shall be in form and substance satisfactory to the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Minimum Consolidated Interest Coverage Ratio</w:t>
      </w:r>
      <w:r>
        <w:rPr>
          <w:rFonts w:ascii="Times New Roman" w:hAnsi="Times New Roman"/>
          <w:color w:val="000000"/>
          <w:sz w:val="22"/>
        </w:rPr>
        <w:t xml:space="preserve">. Permit the Consolidated Interest Coverage Ratio for each fiscal quarter of the Domestic Borrower to be less than </w:t>
      </w:r>
      <w:r>
        <w:rPr>
          <w:rFonts w:ascii="Times New Roman" w:hAnsi="Times New Roman"/>
          <w:strike/>
          <w:color w:val="FF0000"/>
          <w:sz w:val="22"/>
        </w:rPr>
        <w:t>3.50</w:t>
      </w:r>
      <w:r>
        <w:rPr>
          <w:rFonts w:ascii="Times New Roman" w:hAnsi="Times New Roman"/>
          <w:color w:val="0000FF"/>
          <w:sz w:val="22"/>
          <w:u w:val="single"/>
        </w:rPr>
        <w:t>3.00</w:t>
      </w:r>
      <w:r>
        <w:rPr>
          <w:color w:val="0000FF"/>
        </w:rPr>
        <w:t xml:space="preserve"> </w:t>
      </w:r>
      <w:r>
        <w:rPr>
          <w:rFonts w:ascii="Times New Roman" w:hAnsi="Times New Roman"/>
          <w:color w:val="000000"/>
          <w:sz w:val="22"/>
        </w:rPr>
        <w:t>to 1.00, for any fiscal quarter ending after the Closing Date.</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7.12. Amendments of Organization Documents</w:t>
      </w:r>
      <w:r>
        <w:rPr>
          <w:rFonts w:ascii="Times New Roman" w:hAnsi="Times New Roman"/>
          <w:color w:val="000000"/>
          <w:sz w:val="22"/>
        </w:rPr>
        <w:t>. Amend any of its Organization Documents in any manner adverse to the Administrative Agent or the other Secured Parties.</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7.13. Accounting Changes</w:t>
      </w:r>
      <w:r>
        <w:rPr>
          <w:rFonts w:ascii="Times New Roman" w:hAnsi="Times New Roman"/>
          <w:color w:val="000000"/>
          <w:sz w:val="22"/>
        </w:rPr>
        <w:t>. Make any change in (a) accounting policies or reporting practices, except as required by GAAP, or (b) fiscal year.</w:t>
      </w:r>
    </w:p>
    <w:p>
      <w:pPr>
        <w:pStyle w:val="TextBody"/>
        <w:bidi w:val="0"/>
        <w:spacing w:before="240" w:after="283"/>
        <w:jc w:val="left"/>
        <w:rPr>
          <w:rFonts w:ascii="Times New Roman" w:hAnsi="Times New Roman"/>
          <w:sz w:val="20"/>
        </w:rPr>
      </w:pPr>
      <w:r>
        <w:rPr>
          <w:rFonts w:ascii="Times New Roman" w:hAnsi="Times New Roman"/>
          <w:i/>
          <w:color w:val="000000"/>
          <w:sz w:val="22"/>
        </w:rPr>
        <w:t>Section 7.14. Prepayments of Indebtedness</w:t>
      </w:r>
      <w:r>
        <w:rPr>
          <w:rFonts w:ascii="Times New Roman" w:hAnsi="Times New Roman"/>
          <w:color w:val="000000"/>
          <w:sz w:val="22"/>
        </w:rPr>
        <w:t>.</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Prepay, redeem, purchase, defease or otherwise satisfy prior to the scheduled maturity thereof in any manner, or make any payment in violation of any subordination terms of, any Indebtedness that is subordinated to the Obligations, except regularly scheduled or required repayments or redemptions of Indebtedness set forth in Schedule 7.02 and refinancings and refundings of such Indebtedness in compliance with Section 7.02(d).</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(b)</w:t>
      </w:r>
    </w:p>
    <w:p>
      <w:pPr>
        <w:pStyle w:val="TextBody"/>
        <w:bidi w:val="0"/>
        <w:spacing w:before="240" w:after="283"/>
        <w:jc w:val="both"/>
        <w:rPr/>
      </w:pPr>
      <w:r>
        <w:rPr>
          <w:rFonts w:ascii="Times New Roman" w:hAnsi="Times New Roman"/>
          <w:color w:val="0000FF"/>
          <w:sz w:val="22"/>
          <w:u w:val="single"/>
        </w:rPr>
        <w:t>Make any voluntary or optional prepayment, redemption, purchase, defeasance or</w:t>
      </w:r>
      <w:r>
        <w:rPr>
          <w:color w:val="0000FF"/>
        </w:rPr>
        <w:t xml:space="preserve"> </w:t>
      </w:r>
      <w:r>
        <w:rPr>
          <w:rFonts w:ascii="Times New Roman" w:hAnsi="Times New Roman"/>
          <w:color w:val="0000FF"/>
          <w:sz w:val="22"/>
          <w:u w:val="single"/>
        </w:rPr>
        <w:t>acquisition for value (including by way of depositing with any trustee with respect thereto money or</w:t>
      </w:r>
      <w:r>
        <w:rPr>
          <w:color w:val="0000FF"/>
        </w:rPr>
        <w:t xml:space="preserve"> </w:t>
      </w:r>
      <w:r>
        <w:rPr>
          <w:rFonts w:ascii="Times New Roman" w:hAnsi="Times New Roman"/>
          <w:color w:val="0000FF"/>
          <w:sz w:val="22"/>
          <w:u w:val="single"/>
        </w:rPr>
        <w:t>securities before due for the purpose of paying when due) prior to the maturity of any Permitted Convertible</w:t>
      </w:r>
      <w:r>
        <w:rPr>
          <w:color w:val="0000FF"/>
        </w:rPr>
        <w:t xml:space="preserve"> </w:t>
      </w:r>
      <w:r>
        <w:rPr>
          <w:rFonts w:ascii="Times New Roman" w:hAnsi="Times New Roman"/>
          <w:color w:val="0000FF"/>
          <w:sz w:val="22"/>
          <w:u w:val="single"/>
        </w:rPr>
        <w:t>Indebtedness, except:</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in connection with any Refinancing Convertible Notes permitted by Section 7.06;</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(ii)</w:t>
      </w:r>
    </w:p>
    <w:p>
      <w:pPr>
        <w:pStyle w:val="TextBody"/>
        <w:bidi w:val="0"/>
        <w:spacing w:before="240" w:after="283"/>
        <w:jc w:val="both"/>
        <w:rPr/>
      </w:pPr>
      <w:r>
        <w:rPr>
          <w:rFonts w:ascii="Times New Roman" w:hAnsi="Times New Roman"/>
          <w:color w:val="0000FF"/>
          <w:sz w:val="22"/>
          <w:u w:val="single"/>
        </w:rPr>
        <w:t>so long as (x) no Default or Event of Default then exists or would be caused</w:t>
      </w:r>
      <w:r>
        <w:rPr>
          <w:color w:val="0000FF"/>
        </w:rPr>
        <w:t xml:space="preserve"> </w:t>
      </w:r>
      <w:r>
        <w:rPr>
          <w:rFonts w:ascii="Times New Roman" w:hAnsi="Times New Roman"/>
          <w:color w:val="0000FF"/>
          <w:sz w:val="22"/>
          <w:u w:val="single"/>
        </w:rPr>
        <w:t>thereby and (y) after giving pro forma effect thereto, the Consolidated Secured Net Leverage Ratio</w:t>
      </w:r>
      <w:r>
        <w:rPr>
          <w:color w:val="0000FF"/>
        </w:rPr>
        <w:t xml:space="preserve"> </w:t>
      </w:r>
      <w:r>
        <w:rPr>
          <w:rFonts w:ascii="Times New Roman" w:hAnsi="Times New Roman"/>
          <w:color w:val="0000FF"/>
          <w:sz w:val="22"/>
          <w:u w:val="single"/>
        </w:rPr>
        <w:t>does not exceed 2.25:1.00, mandatory repayments, repurchases, redemptions or defeasances of</w:t>
      </w:r>
      <w:r>
        <w:rPr>
          <w:color w:val="0000FF"/>
        </w:rPr>
        <w:t xml:space="preserve"> </w:t>
      </w:r>
      <w:r>
        <w:rPr>
          <w:rFonts w:ascii="Times New Roman" w:hAnsi="Times New Roman"/>
          <w:color w:val="0000FF"/>
          <w:sz w:val="22"/>
          <w:u w:val="single"/>
        </w:rPr>
        <w:t>Permitted Convertible Indebtedness;</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(iii)</w:t>
      </w:r>
    </w:p>
    <w:p>
      <w:pPr>
        <w:pStyle w:val="TextBody"/>
        <w:bidi w:val="0"/>
        <w:spacing w:before="240" w:after="283"/>
        <w:jc w:val="both"/>
        <w:rPr/>
      </w:pPr>
      <w:r>
        <w:rPr>
          <w:rFonts w:ascii="Times New Roman" w:hAnsi="Times New Roman"/>
          <w:color w:val="0000FF"/>
          <w:sz w:val="22"/>
          <w:u w:val="single"/>
        </w:rPr>
        <w:t>payments and prepayments of any Permitted Convertible Indebtedness made</w:t>
      </w:r>
      <w:r>
        <w:rPr>
          <w:color w:val="0000FF"/>
        </w:rPr>
        <w:t xml:space="preserve"> </w:t>
      </w:r>
      <w:r>
        <w:rPr>
          <w:rFonts w:ascii="Times New Roman" w:hAnsi="Times New Roman"/>
          <w:color w:val="0000FF"/>
          <w:sz w:val="22"/>
          <w:u w:val="single"/>
        </w:rPr>
        <w:t>solely with the proceeds of common stock or any capital contribution in respect of common stock</w:t>
      </w:r>
      <w:r>
        <w:rPr>
          <w:color w:val="0000FF"/>
        </w:rPr>
        <w:t xml:space="preserve"> </w:t>
      </w:r>
      <w:r>
        <w:rPr>
          <w:rFonts w:ascii="Times New Roman" w:hAnsi="Times New Roman"/>
          <w:color w:val="0000FF"/>
          <w:sz w:val="22"/>
          <w:u w:val="single"/>
        </w:rPr>
        <w:t>of the Domestic Borrower, so long as immediately before and after giving effect to any such</w:t>
      </w:r>
      <w:r>
        <w:rPr>
          <w:color w:val="0000FF"/>
        </w:rPr>
        <w:t xml:space="preserve"> </w:t>
      </w:r>
      <w:r>
        <w:rPr>
          <w:rFonts w:ascii="Times New Roman" w:hAnsi="Times New Roman"/>
          <w:color w:val="0000FF"/>
          <w:sz w:val="22"/>
          <w:u w:val="single"/>
        </w:rPr>
        <w:t>payment or prepayment, no Default or Event of Default then exists;</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(iv)</w:t>
      </w:r>
    </w:p>
    <w:p>
      <w:pPr>
        <w:pStyle w:val="TextBody"/>
        <w:bidi w:val="0"/>
        <w:spacing w:before="240" w:after="283"/>
        <w:jc w:val="both"/>
        <w:rPr/>
      </w:pPr>
      <w:r>
        <w:rPr>
          <w:rFonts w:ascii="Times New Roman" w:hAnsi="Times New Roman"/>
          <w:color w:val="0000FF"/>
          <w:sz w:val="22"/>
          <w:u w:val="single"/>
        </w:rPr>
        <w:t>(A) payments and prepayments of Permitted Convertible Indebtedness as a result</w:t>
      </w:r>
      <w:r>
        <w:rPr>
          <w:color w:val="0000FF"/>
        </w:rPr>
        <w:t xml:space="preserve"> </w:t>
      </w:r>
      <w:r>
        <w:rPr>
          <w:rFonts w:ascii="Times New Roman" w:hAnsi="Times New Roman"/>
          <w:color w:val="0000FF"/>
          <w:sz w:val="22"/>
          <w:u w:val="single"/>
        </w:rPr>
        <w:t>of the conversion of all or any portion of such Permitted Convertible Indebtedness whether settled</w:t>
      </w:r>
      <w:r>
        <w:rPr>
          <w:color w:val="0000FF"/>
        </w:rPr>
        <w:t xml:space="preserve"> </w:t>
      </w:r>
      <w:r>
        <w:rPr>
          <w:rFonts w:ascii="Times New Roman" w:hAnsi="Times New Roman"/>
          <w:color w:val="0000FF"/>
          <w:sz w:val="22"/>
          <w:u w:val="single"/>
        </w:rPr>
        <w:t>in cash, common stock of the Domestic Borrower or any combination thereof, and (B) payments of</w:t>
      </w:r>
      <w:r>
        <w:rPr>
          <w:color w:val="0000FF"/>
        </w:rPr>
        <w:t xml:space="preserve"> </w:t>
      </w:r>
      <w:r>
        <w:rPr>
          <w:rFonts w:ascii="Times New Roman" w:hAnsi="Times New Roman"/>
          <w:color w:val="0000FF"/>
          <w:sz w:val="22"/>
          <w:u w:val="single"/>
        </w:rPr>
        <w:t>interest in respect of Permitted Convertible Indebtedness in the form of payment in kind interest</w:t>
      </w:r>
      <w:r>
        <w:rPr>
          <w:color w:val="0000FF"/>
        </w:rPr>
        <w:t xml:space="preserve"> </w:t>
      </w:r>
      <w:r>
        <w:rPr>
          <w:rFonts w:ascii="Times New Roman" w:hAnsi="Times New Roman"/>
          <w:color w:val="0000FF"/>
          <w:sz w:val="22"/>
          <w:u w:val="single"/>
        </w:rPr>
        <w:t>constituting Indebtedness permitted pursuant to Section 7.02;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(v)</w:t>
      </w:r>
    </w:p>
    <w:p>
      <w:pPr>
        <w:pStyle w:val="TextBody"/>
        <w:bidi w:val="0"/>
        <w:spacing w:before="240" w:after="283"/>
        <w:jc w:val="both"/>
        <w:rPr/>
      </w:pPr>
      <w:r>
        <w:rPr>
          <w:rFonts w:ascii="Times New Roman" w:hAnsi="Times New Roman"/>
          <w:color w:val="0000FF"/>
          <w:sz w:val="22"/>
          <w:u w:val="single"/>
        </w:rPr>
        <w:t>the payment of regularly scheduled interest, expenses and indemnities in respect of</w:t>
      </w:r>
      <w:r>
        <w:rPr>
          <w:color w:val="0000FF"/>
        </w:rPr>
        <w:t xml:space="preserve"> </w:t>
      </w:r>
      <w:r>
        <w:rPr>
          <w:rFonts w:ascii="Times New Roman" w:hAnsi="Times New Roman"/>
          <w:color w:val="0000FF"/>
          <w:sz w:val="22"/>
          <w:u w:val="single"/>
        </w:rPr>
        <w:t>Permitted Convertible Indebtedness.</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7.15. Amendment of Indebtedness. </w:t>
      </w:r>
      <w:r>
        <w:rPr>
          <w:rFonts w:ascii="Times New Roman" w:hAnsi="Times New Roman"/>
          <w:color w:val="000000"/>
          <w:sz w:val="22"/>
        </w:rPr>
        <w:t xml:space="preserve">Amend, modify or change in any manner any term or condition of </w:t>
      </w:r>
      <w:r>
        <w:rPr>
          <w:rFonts w:ascii="Times New Roman" w:hAnsi="Times New Roman"/>
          <w:color w:val="0000FF"/>
          <w:sz w:val="22"/>
          <w:u w:val="single"/>
        </w:rPr>
        <w:t xml:space="preserve">(a) </w:t>
      </w:r>
      <w:r>
        <w:rPr>
          <w:rFonts w:ascii="Times New Roman" w:hAnsi="Times New Roman"/>
          <w:color w:val="000000"/>
          <w:sz w:val="22"/>
        </w:rPr>
        <w:t>any Indebtedness set forth in Schedule 7.02, except for</w:t>
      </w:r>
      <w:r>
        <w:rPr>
          <w:rFonts w:ascii="Times New Roman" w:hAnsi="Times New Roman"/>
          <w:color w:val="0000FF"/>
          <w:sz w:val="20"/>
          <w:u w:val="single"/>
        </w:rPr>
        <w:t xml:space="preserve"> </w:t>
      </w:r>
      <w:r>
        <w:rPr>
          <w:rFonts w:ascii="Times New Roman" w:hAnsi="Times New Roman"/>
          <w:color w:val="0000FF"/>
          <w:sz w:val="22"/>
          <w:u w:val="single"/>
        </w:rPr>
        <w:t>(x)</w:t>
      </w:r>
      <w:r>
        <w:rPr>
          <w:rFonts w:ascii="Times New Roman" w:hAnsi="Times New Roman"/>
          <w:color w:val="0000FF"/>
          <w:sz w:val="20"/>
        </w:rPr>
        <w:t xml:space="preserve"> </w:t>
      </w:r>
      <w:r>
        <w:rPr>
          <w:rFonts w:ascii="Times New Roman" w:hAnsi="Times New Roman"/>
          <w:color w:val="000000"/>
          <w:sz w:val="22"/>
        </w:rPr>
        <w:t>any refinancing, refunding, renewal or extension thereof permitted by Section 7.02(d)</w:t>
      </w:r>
      <w:r>
        <w:rPr>
          <w:rFonts w:ascii="Times New Roman" w:hAnsi="Times New Roman"/>
          <w:color w:val="FF0000"/>
          <w:sz w:val="22"/>
        </w:rPr>
        <w:t xml:space="preserve">, </w:t>
      </w:r>
      <w:r>
        <w:rPr>
          <w:rFonts w:ascii="Times New Roman" w:hAnsi="Times New Roman"/>
          <w:color w:val="000000"/>
          <w:sz w:val="22"/>
        </w:rPr>
        <w:t xml:space="preserve">and </w:t>
      </w:r>
      <w:r>
        <w:rPr>
          <w:rFonts w:ascii="Times New Roman" w:hAnsi="Times New Roman"/>
          <w:strike/>
          <w:color w:val="FF0000"/>
          <w:sz w:val="22"/>
        </w:rPr>
        <w:t>except for</w:t>
      </w:r>
      <w:r>
        <w:rPr>
          <w:rFonts w:ascii="Times New Roman" w:hAnsi="Times New Roman"/>
          <w:color w:val="0000FF"/>
          <w:sz w:val="22"/>
          <w:u w:val="single"/>
        </w:rPr>
        <w:t>(y)</w:t>
      </w:r>
      <w:r>
        <w:rPr>
          <w:rFonts w:ascii="Times New Roman" w:hAnsi="Times New Roman"/>
          <w:color w:val="0000FF"/>
          <w:sz w:val="20"/>
        </w:rPr>
        <w:t xml:space="preserve"> </w:t>
      </w:r>
      <w:r>
        <w:rPr>
          <w:rFonts w:ascii="Times New Roman" w:hAnsi="Times New Roman"/>
          <w:color w:val="000000"/>
          <w:sz w:val="22"/>
        </w:rPr>
        <w:t>any amendment, modification or change of Indebtedness permitted pursuant to Section 7.02(g)</w:t>
      </w:r>
      <w:r>
        <w:rPr>
          <w:rFonts w:ascii="Times New Roman" w:hAnsi="Times New Roman"/>
          <w:color w:val="0000FF"/>
          <w:sz w:val="20"/>
          <w:u w:val="single"/>
        </w:rPr>
        <w:t xml:space="preserve"> </w:t>
      </w:r>
      <w:r>
        <w:rPr>
          <w:rFonts w:ascii="Times New Roman" w:hAnsi="Times New Roman"/>
          <w:color w:val="0000FF"/>
          <w:sz w:val="22"/>
          <w:u w:val="single"/>
        </w:rPr>
        <w:t>and (b) any indenture, convertible note or</w:t>
      </w:r>
      <w:r>
        <w:rPr>
          <w:rFonts w:ascii="Times New Roman" w:hAnsi="Times New Roman"/>
          <w:color w:val="0000FF"/>
          <w:sz w:val="20"/>
        </w:rPr>
        <w:t xml:space="preserve"> </w:t>
      </w:r>
      <w:r>
        <w:rPr>
          <w:rFonts w:ascii="Times New Roman" w:hAnsi="Times New Roman"/>
          <w:color w:val="0000FF"/>
          <w:sz w:val="22"/>
          <w:u w:val="single"/>
        </w:rPr>
        <w:t>similar agreement providing for Permitted Convertible Indebtedness, in any respect which would materially</w:t>
      </w:r>
      <w:r>
        <w:rPr>
          <w:rFonts w:ascii="Times New Roman" w:hAnsi="Times New Roman"/>
          <w:color w:val="0000FF"/>
          <w:sz w:val="20"/>
        </w:rPr>
        <w:t xml:space="preserve"> </w:t>
      </w:r>
      <w:r>
        <w:rPr>
          <w:rFonts w:ascii="Times New Roman" w:hAnsi="Times New Roman"/>
          <w:color w:val="0000FF"/>
          <w:sz w:val="22"/>
          <w:u w:val="single"/>
        </w:rPr>
        <w:t>and adversely affect the rights or interests of the Administrative Agent and the Lenders hereunder, in each</w:t>
      </w:r>
      <w:r>
        <w:rPr>
          <w:rFonts w:ascii="Times New Roman" w:hAnsi="Times New Roman"/>
          <w:color w:val="0000FF"/>
          <w:sz w:val="20"/>
        </w:rPr>
        <w:t xml:space="preserve"> </w:t>
      </w:r>
      <w:r>
        <w:rPr>
          <w:rFonts w:ascii="Times New Roman" w:hAnsi="Times New Roman"/>
          <w:color w:val="0000FF"/>
          <w:sz w:val="22"/>
          <w:u w:val="single"/>
        </w:rPr>
        <w:t>case, without the prior written consent of the Administrative Agent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7.16. Sanctions</w:t>
      </w:r>
      <w:r>
        <w:rPr>
          <w:rFonts w:ascii="Times New Roman" w:hAnsi="Times New Roman"/>
          <w:color w:val="000000"/>
          <w:sz w:val="22"/>
        </w:rPr>
        <w:t>. 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7.17. Anti-Corruption Laws</w:t>
      </w:r>
      <w:r>
        <w:rPr>
          <w:rFonts w:ascii="Times New Roman" w:hAnsi="Times New Roman"/>
          <w:color w:val="000000"/>
          <w:sz w:val="22"/>
        </w:rPr>
        <w:t>. Directly or indirectly, use any Credit Extension or the proceeds of any Credit Extension for any purpose which would breach the United States Foreign Corrupt Practices Act of 1977, the UK Bribery Act 2010 and other anti-corruption legislation in other jurisdictions.</w:t>
      </w:r>
    </w:p>
    <w:p>
      <w:pPr>
        <w:pStyle w:val="TextBody"/>
        <w:bidi w:val="0"/>
        <w:spacing w:before="240" w:after="283"/>
        <w:jc w:val="both"/>
        <w:rPr>
          <w:rFonts w:ascii="Times New Roman" w:hAnsi="Times New Roman"/>
          <w:sz w:val="20"/>
        </w:rPr>
      </w:pPr>
      <w:r>
        <w:rPr>
          <w:rFonts w:ascii="Times New Roman" w:hAnsi="Times New Roman"/>
          <w:i/>
          <w:color w:val="0000FF"/>
          <w:sz w:val="22"/>
          <w:u w:val="single"/>
        </w:rPr>
        <w:t>Section 7.18.</w:t>
      </w:r>
      <w:r>
        <w:rPr>
          <w:rFonts w:ascii="Times New Roman" w:hAnsi="Times New Roman"/>
          <w:color w:val="0000FF"/>
          <w:sz w:val="20"/>
        </w:rPr>
        <w:t xml:space="preserve"> </w:t>
      </w:r>
      <w:r>
        <w:rPr>
          <w:rFonts w:ascii="Times New Roman" w:hAnsi="Times New Roman"/>
          <w:i/>
          <w:color w:val="0000FF"/>
          <w:sz w:val="22"/>
          <w:u w:val="single"/>
        </w:rPr>
        <w:t>Outbound Investment Rules</w:t>
      </w:r>
      <w:r>
        <w:rPr>
          <w:rFonts w:ascii="Times New Roman" w:hAnsi="Times New Roman"/>
          <w:color w:val="0000FF"/>
          <w:sz w:val="22"/>
          <w:u w:val="single"/>
        </w:rPr>
        <w:t>. (a) Be or become a “covered foreign person”, as that</w:t>
      </w:r>
      <w:r>
        <w:rPr>
          <w:rFonts w:ascii="Times New Roman" w:hAnsi="Times New Roman"/>
          <w:color w:val="0000FF"/>
          <w:sz w:val="20"/>
        </w:rPr>
        <w:t xml:space="preserve"> </w:t>
      </w:r>
      <w:r>
        <w:rPr>
          <w:rFonts w:ascii="Times New Roman" w:hAnsi="Times New Roman"/>
          <w:color w:val="0000FF"/>
          <w:sz w:val="22"/>
          <w:u w:val="single"/>
        </w:rPr>
        <w:t>term is defined in the Outbound Investment Rules, or (b) engage, directly or indirectly, in (i) a “covered</w:t>
      </w:r>
      <w:r>
        <w:rPr>
          <w:rFonts w:ascii="Times New Roman" w:hAnsi="Times New Roman"/>
          <w:color w:val="0000FF"/>
          <w:sz w:val="20"/>
        </w:rPr>
        <w:t xml:space="preserve"> </w:t>
      </w:r>
      <w:r>
        <w:rPr>
          <w:rFonts w:ascii="Times New Roman" w:hAnsi="Times New Roman"/>
          <w:color w:val="0000FF"/>
          <w:sz w:val="22"/>
          <w:u w:val="single"/>
        </w:rPr>
        <w:t>activity” or a “covered transaction”, as each such term is defined in the Outbound Investment Rules, (ii) any</w:t>
      </w:r>
      <w:r>
        <w:rPr>
          <w:rFonts w:ascii="Times New Roman" w:hAnsi="Times New Roman"/>
          <w:color w:val="0000FF"/>
          <w:sz w:val="20"/>
        </w:rPr>
        <w:t xml:space="preserve"> </w:t>
      </w:r>
      <w:r>
        <w:rPr>
          <w:rFonts w:ascii="Times New Roman" w:hAnsi="Times New Roman"/>
          <w:color w:val="0000FF"/>
          <w:sz w:val="22"/>
          <w:u w:val="single"/>
        </w:rPr>
        <w:t>activity or transaction that would constitute a “covered activity” or a “covered transaction”, as each such</w:t>
      </w:r>
      <w:r>
        <w:rPr>
          <w:rFonts w:ascii="Times New Roman" w:hAnsi="Times New Roman"/>
          <w:color w:val="0000FF"/>
          <w:sz w:val="20"/>
        </w:rPr>
        <w:t xml:space="preserve"> </w:t>
      </w:r>
      <w:r>
        <w:rPr>
          <w:rFonts w:ascii="Times New Roman" w:hAnsi="Times New Roman"/>
          <w:color w:val="0000FF"/>
          <w:sz w:val="22"/>
          <w:u w:val="single"/>
        </w:rPr>
        <w:t>term is defined in the Outbound Investment Rules, if such Person were a United States Person, or (iii) any</w:t>
      </w:r>
      <w:r>
        <w:rPr>
          <w:rFonts w:ascii="Times New Roman" w:hAnsi="Times New Roman"/>
          <w:color w:val="0000FF"/>
          <w:sz w:val="20"/>
        </w:rPr>
        <w:t xml:space="preserve"> </w:t>
      </w:r>
      <w:r>
        <w:rPr>
          <w:rFonts w:ascii="Times New Roman" w:hAnsi="Times New Roman"/>
          <w:color w:val="0000FF"/>
          <w:sz w:val="22"/>
          <w:u w:val="single"/>
        </w:rPr>
        <w:t>other activity that would cause the Administrative Agent or the Lenders to be in violation of the Outbound</w:t>
      </w:r>
      <w:r>
        <w:rPr>
          <w:rFonts w:ascii="Times New Roman" w:hAnsi="Times New Roman"/>
          <w:color w:val="0000FF"/>
          <w:sz w:val="20"/>
        </w:rPr>
        <w:t xml:space="preserve"> </w:t>
      </w:r>
      <w:r>
        <w:rPr>
          <w:rFonts w:ascii="Times New Roman" w:hAnsi="Times New Roman"/>
          <w:color w:val="0000FF"/>
          <w:sz w:val="22"/>
          <w:u w:val="single"/>
        </w:rPr>
        <w:t>Investment Rules or cause the Administrative Agent or the Lenders to be legally prohibited by the</w:t>
      </w:r>
      <w:r>
        <w:rPr>
          <w:rFonts w:ascii="Times New Roman" w:hAnsi="Times New Roman"/>
          <w:color w:val="0000FF"/>
          <w:sz w:val="20"/>
        </w:rPr>
        <w:t xml:space="preserve"> </w:t>
      </w:r>
      <w:r>
        <w:rPr>
          <w:rFonts w:ascii="Times New Roman" w:hAnsi="Times New Roman"/>
          <w:color w:val="0000FF"/>
          <w:sz w:val="22"/>
          <w:u w:val="single"/>
        </w:rPr>
        <w:t>Outbound Investment Rules from performing under this Agreement.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VIII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EVENTS OF DEFAULT AND REMEDIES</w:t>
      </w:r>
    </w:p>
    <w:p>
      <w:pPr>
        <w:pStyle w:val="TextBody"/>
        <w:bidi w:val="0"/>
        <w:spacing w:before="240" w:after="283"/>
        <w:jc w:val="both"/>
        <w:rPr>
          <w:rFonts w:ascii="Times New Roman" w:hAnsi="Times New Roman"/>
          <w:sz w:val="20"/>
        </w:rPr>
      </w:pPr>
      <w:r>
        <w:rPr>
          <w:rFonts w:ascii="Times New Roman" w:hAnsi="Times New Roman"/>
          <w:i/>
          <w:color w:val="000000"/>
          <w:sz w:val="22"/>
        </w:rPr>
        <w:t>Section 8.01. Events of Default</w:t>
      </w:r>
      <w:r>
        <w:rPr>
          <w:rFonts w:ascii="Times New Roman" w:hAnsi="Times New Roman"/>
          <w:color w:val="000000"/>
          <w:sz w:val="22"/>
        </w:rPr>
        <w:t>. Any of the following shall constitute an Event of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Non-Payment</w:t>
      </w:r>
      <w:r>
        <w:rPr>
          <w:rFonts w:ascii="Times New Roman" w:hAnsi="Times New Roman"/>
          <w:color w:val="000000"/>
          <w:sz w:val="22"/>
        </w:rPr>
        <w:t>. Any Borrower or any other Loan Party fails to pay (i) when and as required to be paid herein, and in the currency required hereunder,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Specific Covenants</w:t>
      </w:r>
      <w:r>
        <w:rPr>
          <w:rFonts w:ascii="Times New Roman" w:hAnsi="Times New Roman"/>
          <w:color w:val="000000"/>
          <w:sz w:val="22"/>
        </w:rPr>
        <w:t>. Any Borrower fails to perform or observe any term, covenant or agreement contained in any of Section 6.01, 6.02(a), 6.03(a), 6.03(b), 6.05 (with respect to the existence of a Loan Party), 6.10, 6.11, 6.12, 6.14, 6.17, or Article VII; 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Other Defaults</w:t>
      </w:r>
      <w:r>
        <w:rPr>
          <w:rFonts w:ascii="Times New Roman" w:hAnsi="Times New Roman"/>
          <w:color w:val="000000"/>
          <w:sz w:val="22"/>
        </w:rPr>
        <w:t>. Any Loan Party fails to perform or observe any other covenant or agreement (not specified in subsection (a) or (b) above) contained in any Loan Document on its part to be performed or observed and such failure continues for five days (if such breach relates to terms or provisions of Section 6.02(b) through (m)) or 30 days (if such breach relates to terms or provisions of any other Section of this Agreement or any other Loan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Representations and Warranties</w:t>
      </w:r>
      <w:r>
        <w:rPr>
          <w:rFonts w:ascii="Times New Roman" w:hAnsi="Times New Roman"/>
          <w:color w:val="000000"/>
          <w:sz w:val="22"/>
        </w:rPr>
        <w:t>. Any representation, warranty, certification or statement of fact made or deemed made by or on behalf of any Borrower or any other Loan Party herein, in any other Loan Document, or in any document delivered in connection herewith or therewith shall be incorrect or misleading in any material respect (or, with respect to any representation and warranty that is qualified as to materiality or Material Adverse Effect, in any respect) when made or deemed made;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Cross-Default</w:t>
      </w:r>
      <w:r>
        <w:rPr>
          <w:rFonts w:ascii="Times New Roman" w:hAnsi="Times New Roman"/>
          <w:color w:val="000000"/>
          <w:sz w:val="22"/>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w:t>
      </w:r>
      <w:r>
        <w:rPr>
          <w:rFonts w:ascii="Times New Roman" w:hAnsi="Times New Roman"/>
          <w:color w:val="0000FF"/>
          <w:sz w:val="22"/>
          <w:u w:val="single"/>
        </w:rPr>
        <w:t xml:space="preserve">; </w:t>
      </w:r>
      <w:r>
        <w:rPr>
          <w:rFonts w:ascii="Times New Roman" w:hAnsi="Times New Roman"/>
          <w:i/>
          <w:color w:val="0000FF"/>
          <w:sz w:val="22"/>
          <w:u w:val="single"/>
        </w:rPr>
        <w:t>provided</w:t>
      </w:r>
      <w:r>
        <w:rPr>
          <w:rFonts w:ascii="Times New Roman" w:hAnsi="Times New Roman"/>
          <w:color w:val="0000FF"/>
          <w:sz w:val="22"/>
          <w:u w:val="single"/>
        </w:rPr>
        <w:t>,</w:t>
      </w:r>
      <w:r>
        <w:rPr>
          <w:color w:val="0000FF"/>
        </w:rPr>
        <w:t xml:space="preserve"> </w:t>
      </w:r>
      <w:r>
        <w:rPr>
          <w:rFonts w:ascii="Times New Roman" w:hAnsi="Times New Roman"/>
          <w:i/>
          <w:color w:val="0000FF"/>
          <w:sz w:val="22"/>
          <w:u w:val="single"/>
        </w:rPr>
        <w:t>however</w:t>
      </w:r>
      <w:r>
        <w:rPr>
          <w:rFonts w:ascii="Times New Roman" w:hAnsi="Times New Roman"/>
          <w:color w:val="0000FF"/>
          <w:sz w:val="22"/>
          <w:u w:val="single"/>
        </w:rPr>
        <w:t>, that the occurrence of an event or condition entitling holders of Permitted Convertible</w:t>
      </w:r>
      <w:r>
        <w:rPr>
          <w:color w:val="0000FF"/>
        </w:rPr>
        <w:t xml:space="preserve"> </w:t>
      </w:r>
      <w:r>
        <w:rPr>
          <w:rFonts w:ascii="Times New Roman" w:hAnsi="Times New Roman"/>
          <w:color w:val="0000FF"/>
          <w:sz w:val="22"/>
          <w:u w:val="single"/>
        </w:rPr>
        <w:t>Indebtedness of the Domestic Borrower to convert such Indebtedness (whether settled in cash,</w:t>
      </w:r>
      <w:r>
        <w:rPr>
          <w:color w:val="0000FF"/>
        </w:rPr>
        <w:t xml:space="preserve"> </w:t>
      </w:r>
      <w:r>
        <w:rPr>
          <w:rFonts w:ascii="Times New Roman" w:hAnsi="Times New Roman"/>
          <w:color w:val="0000FF"/>
          <w:sz w:val="22"/>
          <w:u w:val="single"/>
        </w:rPr>
        <w:t>common stock of the Domestic Borrower or any combination thereof) shall not constitute an Event</w:t>
      </w:r>
      <w:r>
        <w:rPr>
          <w:color w:val="0000FF"/>
        </w:rPr>
        <w:t xml:space="preserve"> </w:t>
      </w:r>
      <w:r>
        <w:rPr>
          <w:rFonts w:ascii="Times New Roman" w:hAnsi="Times New Roman"/>
          <w:color w:val="0000FF"/>
          <w:sz w:val="22"/>
          <w:u w:val="single"/>
        </w:rPr>
        <w:t>of Default unless such event or condition results from an “event of default” (or similar concept)</w:t>
      </w:r>
      <w:r>
        <w:rPr>
          <w:color w:val="0000FF"/>
        </w:rPr>
        <w:t xml:space="preserve"> </w:t>
      </w:r>
      <w:r>
        <w:rPr>
          <w:rFonts w:ascii="Times New Roman" w:hAnsi="Times New Roman"/>
          <w:color w:val="0000FF"/>
          <w:sz w:val="22"/>
          <w:u w:val="single"/>
        </w:rPr>
        <w:t>thereunder or an event of the type that constitutes an Event of Default</w:t>
      </w:r>
      <w:r>
        <w:rPr>
          <w:rFonts w:ascii="Times New Roman" w:hAnsi="Times New Roman"/>
          <w:color w:val="000000"/>
          <w:sz w:val="22"/>
        </w:rPr>
        <w:t>;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 xml:space="preserve">Insolvency Proceedings, Etc. </w:t>
      </w:r>
      <w:r>
        <w:rPr>
          <w:rFonts w:ascii="Times New Roman" w:hAnsi="Times New Roman"/>
          <w:color w:val="000000"/>
          <w:sz w:val="22"/>
        </w:rPr>
        <w:t>The Domestic Borrower or any of its Subsidiaries institutes or consents to the institution of any proceeding under any Debtor Relief Law, or makes an assignment for the benefit of creditors; or applies for or consents to the appointment of any receiver, trustee, custodian, conservator, administrator,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i/>
          <w:color w:val="000000"/>
          <w:sz w:val="22"/>
        </w:rPr>
        <w:t>Inability to Pay Debts; Attachment</w:t>
      </w:r>
      <w:r>
        <w:rPr>
          <w:rFonts w:ascii="Times New Roman" w:hAnsi="Times New Roman"/>
          <w:color w:val="000000"/>
          <w:sz w:val="22"/>
        </w:rPr>
        <w:t>. (i) The Domestic Borrower or any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i/>
          <w:color w:val="000000"/>
          <w:sz w:val="22"/>
        </w:rPr>
        <w:t>Judgments</w:t>
      </w:r>
      <w:r>
        <w:rPr>
          <w:rFonts w:ascii="Times New Roman" w:hAnsi="Times New Roman"/>
          <w:color w:val="000000"/>
          <w:sz w:val="22"/>
        </w:rPr>
        <w:t>. There is entered against any Borrower or any Subsidiary thereof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i/>
          <w:color w:val="000000"/>
          <w:sz w:val="22"/>
        </w:rPr>
        <w:t>ERISA</w:t>
      </w:r>
      <w:r>
        <w:rPr>
          <w:rFonts w:ascii="Times New Roman" w:hAnsi="Times New Roman"/>
          <w:color w:val="000000"/>
          <w:sz w:val="22"/>
        </w:rPr>
        <w:t>. (i) An ERISA Event occurs which has resulted or could reasonably be expected to result in liability of the Domestic Borrower under Title IV of ERISA in an aggregate amount in excess of the Threshold Amount, or (ii) the Domestic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i/>
          <w:color w:val="000000"/>
          <w:sz w:val="22"/>
        </w:rPr>
        <w:t>Foreign Pension Plans</w:t>
      </w:r>
      <w:r>
        <w:rPr>
          <w:rFonts w:ascii="Times New Roman" w:hAnsi="Times New Roman"/>
          <w:color w:val="000000"/>
          <w:sz w:val="22"/>
        </w:rPr>
        <w:t>. (i) There occurs any Foreign Plan Event or any Loan Party or an Affiliate thereof takes any action or contravenes any Applicable Law with respect to a Foreign Pension Plan that could reasonably be expected to have a Material Adverse Effect or (ii) Diodes Zetex Limited, Diodes Zetex Semiconductors Limited or the Domestic Borrower fails to perform any obligation required by the Diodes Zetex Pension Scheme and the result of such failure is the ability of the trustees of such scheme to exercise remedies under the Diodes Zetex Pension Scheme Guarantee or the Diodes Zetex Pension Scheme Legal Charge, whether or not such remedies are actually exercised;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pPr>
      <w:r>
        <w:rPr>
          <w:rFonts w:ascii="Times New Roman" w:hAnsi="Times New Roman"/>
          <w:i/>
          <w:color w:val="000000"/>
          <w:sz w:val="22"/>
        </w:rPr>
        <w:t>Invalidity of Loan Documents</w:t>
      </w:r>
      <w:r>
        <w:rPr>
          <w:rFonts w:ascii="Times New Roman" w:hAnsi="Times New Roman"/>
          <w:color w:val="000000"/>
          <w:sz w:val="22"/>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 it becomes unlawful for a Loan Party to perform any of its obligations under the Loan Documents;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i/>
          <w:color w:val="000000"/>
          <w:sz w:val="22"/>
        </w:rPr>
        <w:t>Change of Control</w:t>
      </w:r>
      <w:r>
        <w:rPr>
          <w:rFonts w:ascii="Times New Roman" w:hAnsi="Times New Roman"/>
          <w:color w:val="000000"/>
          <w:sz w:val="22"/>
        </w:rPr>
        <w:t>. There occurs any Change of Control;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w:t>
      </w:r>
    </w:p>
    <w:p>
      <w:pPr>
        <w:pStyle w:val="TextBody"/>
        <w:bidi w:val="0"/>
        <w:spacing w:before="240" w:after="283"/>
        <w:jc w:val="both"/>
        <w:rPr/>
      </w:pPr>
      <w:r>
        <w:rPr>
          <w:rFonts w:ascii="Times New Roman" w:hAnsi="Times New Roman"/>
          <w:i/>
          <w:color w:val="000000"/>
          <w:sz w:val="22"/>
        </w:rPr>
        <w:t>Collateral Documents</w:t>
      </w:r>
      <w:r>
        <w:rPr>
          <w:rFonts w:ascii="Times New Roman" w:hAnsi="Times New Roman"/>
          <w:color w:val="000000"/>
          <w:sz w:val="22"/>
        </w:rPr>
        <w:t>. Any Collateral Document after delivery thereof pursuant to the terms of the Loan Documents shall for any reason (other than pursuant to the terms thereof) cease to create a valid and perfected first priority Lien (subject to Liens permitted by Section 7.01) on the Collateral purported to be covered thereby, or any Loan Party shall assert the invalidity of such Liens.</w:t>
      </w:r>
    </w:p>
    <w:p>
      <w:pPr>
        <w:pStyle w:val="TextBody"/>
        <w:bidi w:val="0"/>
        <w:spacing w:before="240" w:after="283"/>
        <w:jc w:val="both"/>
        <w:rPr>
          <w:rFonts w:ascii="Times New Roman" w:hAnsi="Times New Roman"/>
          <w:sz w:val="20"/>
        </w:rPr>
      </w:pPr>
      <w:r>
        <w:rPr>
          <w:rFonts w:ascii="Times New Roman" w:hAnsi="Times New Roman"/>
          <w:color w:val="000000"/>
          <w:sz w:val="22"/>
        </w:rPr>
        <w:t>Without limiting the provisions of Article VII, if a Default shall have occurred under the Loan Documents, then such Default will continue to exist until it either is cured (to the extent specifically permitted) in accordance with the Loan Documents or is otherwise expressly waived by Administrative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(with the approval of requisite Appropriate Lenders (in their sole discretion)) as determined in accordance with Section 11.01;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Section 11.01.</w:t>
      </w:r>
    </w:p>
    <w:p>
      <w:pPr>
        <w:pStyle w:val="TextBody"/>
        <w:bidi w:val="0"/>
        <w:spacing w:before="240" w:after="283"/>
        <w:jc w:val="both"/>
        <w:rPr>
          <w:rFonts w:ascii="Times New Roman" w:hAnsi="Times New Roman"/>
          <w:sz w:val="20"/>
        </w:rPr>
      </w:pPr>
      <w:r>
        <w:rPr>
          <w:rFonts w:ascii="Times New Roman" w:hAnsi="Times New Roman"/>
          <w:i/>
          <w:color w:val="000000"/>
          <w:sz w:val="22"/>
        </w:rPr>
        <w:t>Section 8.02. Remedies Upon Event of Default</w:t>
      </w:r>
      <w:r>
        <w:rPr>
          <w:rFonts w:ascii="Times New Roman" w:hAnsi="Times New Roman"/>
          <w:color w:val="000000"/>
          <w:sz w:val="22"/>
        </w:rPr>
        <w:t>. If any Event of Default occurs and is continuing, the Administrative Agent shall, at the request of, or may, with the consent of, the Required Lenders, take any or all of the following 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declare the Commitment of each Lender to make Loans and any obligation of each L/C Issuer to make L/C Credit Extensions to be terminated, whereupon such commitments and obligation shall be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require that each Borrower Cash Collateralize its L/C Obligations (in an amount equal to the Minimum Collateral Amount with respect thereto);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exercise on behalf of itself, the Lenders and the L/C Issuers all rights and remedies available to it, the Lenders and the L/C Issuers under the Loan Documents;</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that upon the occurrence of an actual or deemed entry of an order for relief with respect to any Borrower under the Bankruptcy Code of the United States,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8.03. Application of Funds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Domestic Persons</w:t>
      </w:r>
      <w:r>
        <w:rPr>
          <w:rFonts w:ascii="Times New Roman" w:hAnsi="Times New Roman"/>
          <w:color w:val="000000"/>
          <w:sz w:val="22"/>
        </w:rPr>
        <w:t>. After the exercise of remedies provided for in Section 8.02 (or after the Loans have automatically become immediately due and payable and the L/C Obligations have automatically been required to be Cash Collateralized as set forth in the proviso to Section 8.02), any amounts received on account of the Obligations shall, subject to the provisions of Sections 2.15 and 2.16, be applied by the Administrative Agent in the following order:</w:t>
      </w:r>
    </w:p>
    <w:p>
      <w:pPr>
        <w:pStyle w:val="TextBody"/>
        <w:bidi w:val="0"/>
        <w:spacing w:before="240" w:after="283"/>
        <w:jc w:val="both"/>
        <w:rPr>
          <w:rFonts w:ascii="Times New Roman" w:hAnsi="Times New Roman"/>
          <w:sz w:val="20"/>
        </w:rPr>
      </w:pPr>
      <w:r>
        <w:rPr>
          <w:rFonts w:ascii="Times New Roman" w:hAnsi="Times New Roman"/>
          <w:i/>
          <w:color w:val="000000"/>
          <w:sz w:val="22"/>
        </w:rPr>
        <w:t>First</w:t>
      </w:r>
      <w:r>
        <w:rPr>
          <w:rFonts w:ascii="Times New Roman" w:hAnsi="Times New Roman"/>
          <w:color w:val="000000"/>
          <w:sz w:val="22"/>
        </w:rPr>
        <w:t>, to payment of that portion of the Obligations constituting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before="240" w:after="283"/>
        <w:jc w:val="both"/>
        <w:rPr>
          <w:rFonts w:ascii="Times New Roman" w:hAnsi="Times New Roman"/>
          <w:sz w:val="20"/>
        </w:rPr>
      </w:pPr>
      <w:r>
        <w:rPr>
          <w:rFonts w:ascii="Times New Roman" w:hAnsi="Times New Roman"/>
          <w:i/>
          <w:color w:val="000000"/>
          <w:sz w:val="22"/>
        </w:rPr>
        <w:t>Second</w:t>
      </w:r>
      <w:r>
        <w:rPr>
          <w:rFonts w:ascii="Times New Roman" w:hAnsi="Times New Roman"/>
          <w:color w:val="000000"/>
          <w:sz w:val="22"/>
        </w:rPr>
        <w:t>, to payment of that portion of the Obligations constituting fees, indemnities and other amounts (other than principal, interest, Letter of Credit Fees and any Obligations then owing under Secured Hedge Agreements and Secured Cash Management Agreements) payable to the Lenders and the L/C Issuers (including fees, charges and disbursements of counsel to the respective Lenders and the L/C Issuers arising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under the Loan Documents and amounts payable under Article III), ratably among them in proportion to the respective amounts described in this clause Second payable to them;</w:t>
      </w:r>
    </w:p>
    <w:p>
      <w:pPr>
        <w:pStyle w:val="TextBody"/>
        <w:bidi w:val="0"/>
        <w:spacing w:before="240" w:after="283"/>
        <w:jc w:val="both"/>
        <w:rPr>
          <w:rFonts w:ascii="Times New Roman" w:hAnsi="Times New Roman"/>
          <w:sz w:val="20"/>
        </w:rPr>
      </w:pPr>
      <w:r>
        <w:rPr>
          <w:rFonts w:ascii="Times New Roman" w:hAnsi="Times New Roman"/>
          <w:i/>
          <w:color w:val="000000"/>
          <w:sz w:val="22"/>
        </w:rPr>
        <w:t>Third</w:t>
      </w:r>
      <w:r>
        <w:rPr>
          <w:rFonts w:ascii="Times New Roman" w:hAnsi="Times New Roman"/>
          <w:color w:val="000000"/>
          <w:sz w:val="22"/>
        </w:rPr>
        <w:t>, to payment of that portion of the Obligations constituting accrued and unpaid Letter of Credit Fees and interest on the Loans, L/C Borrowings and other Obligations arising under the Loan Documents (other than any Obligations then owing under Secured Hedge Agreements and Secured Cash Management Agreements), ratably among the Lenders and the L/C Issuers in proportion to the respective amounts described in this clause Third payable to them;</w:t>
      </w:r>
    </w:p>
    <w:p>
      <w:pPr>
        <w:pStyle w:val="TextBody"/>
        <w:bidi w:val="0"/>
        <w:spacing w:before="240" w:after="283"/>
        <w:jc w:val="both"/>
        <w:rPr>
          <w:rFonts w:ascii="Times New Roman" w:hAnsi="Times New Roman"/>
          <w:sz w:val="20"/>
        </w:rPr>
      </w:pPr>
      <w:r>
        <w:rPr>
          <w:rFonts w:ascii="Times New Roman" w:hAnsi="Times New Roman"/>
          <w:i/>
          <w:color w:val="000000"/>
          <w:sz w:val="22"/>
        </w:rPr>
        <w:t>Fourth</w:t>
      </w:r>
      <w:r>
        <w:rPr>
          <w:rFonts w:ascii="Times New Roman" w:hAnsi="Times New Roman"/>
          <w:color w:val="000000"/>
          <w:sz w:val="22"/>
        </w:rPr>
        <w:t>, to payment of that portion of the Obligations constituting unpaid principal of the Loans, L/C Borrowings and Obligations then owing under Secured Hedge Agreements and Secured Cash Management Agreement, ratably among the Lenders, the L/C Issuers, the Hedge Banks and the Cash Management Banks in proportion to the respective amounts described in this clause Fourth held by them;</w:t>
      </w:r>
    </w:p>
    <w:p>
      <w:pPr>
        <w:pStyle w:val="TextBody"/>
        <w:bidi w:val="0"/>
        <w:spacing w:before="240" w:after="283"/>
        <w:jc w:val="both"/>
        <w:rPr>
          <w:rFonts w:ascii="Times New Roman" w:hAnsi="Times New Roman"/>
          <w:sz w:val="20"/>
        </w:rPr>
      </w:pPr>
      <w:r>
        <w:rPr>
          <w:rFonts w:ascii="Times New Roman" w:hAnsi="Times New Roman"/>
          <w:i/>
          <w:color w:val="000000"/>
          <w:sz w:val="22"/>
        </w:rPr>
        <w:t>Fifth</w:t>
      </w:r>
      <w:r>
        <w:rPr>
          <w:rFonts w:ascii="Times New Roman" w:hAnsi="Times New Roman"/>
          <w:color w:val="000000"/>
          <w:sz w:val="22"/>
        </w:rPr>
        <w:t>, to the Administrative Agent for the account of the applicable L/C Issuers, to Cash Collateralize that portion of L/C Obligations comprised of the aggregate undrawn amount of Letters of Credit to the extent not otherwise Cash Collateralized by the applicable Borrower pursuant to Sections 2.03 and 2.15, ratably among the Lenders, the L/C Issuers, the Hedge Banks and the Cash Management Banks in proportion to the respective amounts described in this clause Fifth held by them; and</w:t>
      </w:r>
    </w:p>
    <w:p>
      <w:pPr>
        <w:pStyle w:val="TextBody"/>
        <w:bidi w:val="0"/>
        <w:spacing w:before="240" w:after="283"/>
        <w:jc w:val="both"/>
        <w:rPr>
          <w:rFonts w:ascii="Times New Roman" w:hAnsi="Times New Roman"/>
          <w:sz w:val="20"/>
        </w:rPr>
      </w:pPr>
      <w:r>
        <w:rPr>
          <w:rFonts w:ascii="Times New Roman" w:hAnsi="Times New Roman"/>
          <w:i/>
          <w:color w:val="000000"/>
          <w:sz w:val="22"/>
        </w:rPr>
        <w:t>Last</w:t>
      </w:r>
      <w:r>
        <w:rPr>
          <w:rFonts w:ascii="Times New Roman" w:hAnsi="Times New Roman"/>
          <w:color w:val="000000"/>
          <w:sz w:val="22"/>
        </w:rPr>
        <w:t>, the balance, if any, after all of the Obligations have been indefeasibly paid in full, to the applicable Borrower or as otherwise required by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to Sections 2.03(c) and 2.15,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Persons</w:t>
      </w:r>
      <w:r>
        <w:rPr>
          <w:rFonts w:ascii="Times New Roman" w:hAnsi="Times New Roman"/>
          <w:color w:val="000000"/>
          <w:sz w:val="22"/>
        </w:rPr>
        <w:t xml:space="preserve">. After the exercise of remedies provided for in </w:t>
      </w:r>
      <w:r>
        <w:rPr>
          <w:rFonts w:ascii="Times New Roman" w:hAnsi="Times New Roman"/>
          <w:color w:val="000000"/>
          <w:sz w:val="22"/>
          <w:u w:val="single"/>
        </w:rPr>
        <w:t xml:space="preserve">Section 8.02 </w:t>
      </w:r>
      <w:r>
        <w:rPr>
          <w:rFonts w:ascii="Times New Roman" w:hAnsi="Times New Roman"/>
          <w:color w:val="000000"/>
          <w:sz w:val="22"/>
        </w:rPr>
        <w:t>(or after the Loans have automatically become immediately due and payable and the L/C Obligations have automatically been required to be Cash Collateralized as set forth in the proviso to Section 8.02), any amounts received on account of the Foreign Obligations shall, subject to the provisions of Sections 2.15 and 2.16, be applied by the Administrative Agent in the following order:</w:t>
      </w:r>
    </w:p>
    <w:p>
      <w:pPr>
        <w:pStyle w:val="TextBody"/>
        <w:bidi w:val="0"/>
        <w:spacing w:before="240" w:after="283"/>
        <w:jc w:val="both"/>
        <w:rPr>
          <w:rFonts w:ascii="Times New Roman" w:hAnsi="Times New Roman"/>
          <w:sz w:val="20"/>
        </w:rPr>
      </w:pPr>
      <w:r>
        <w:rPr>
          <w:rFonts w:ascii="Times New Roman" w:hAnsi="Times New Roman"/>
          <w:i/>
          <w:color w:val="000000"/>
          <w:sz w:val="22"/>
        </w:rPr>
        <w:t>First</w:t>
      </w:r>
      <w:r>
        <w:rPr>
          <w:rFonts w:ascii="Times New Roman" w:hAnsi="Times New Roman"/>
          <w:color w:val="000000"/>
          <w:sz w:val="22"/>
        </w:rPr>
        <w:t>, to payment of that portion of the Foreign Obligations constituting fees, indemnities, expenses and other amounts (including fees, charges and disbursements of counsel to the Administrative Agent and amounts payable under Article III) payable to the Administrative Agent in its capacity as such;</w:t>
      </w:r>
    </w:p>
    <w:p>
      <w:pPr>
        <w:pStyle w:val="TextBody"/>
        <w:bidi w:val="0"/>
        <w:spacing w:before="240" w:after="283"/>
        <w:jc w:val="both"/>
        <w:rPr>
          <w:rFonts w:ascii="Times New Roman" w:hAnsi="Times New Roman"/>
          <w:sz w:val="20"/>
        </w:rPr>
      </w:pPr>
      <w:r>
        <w:rPr>
          <w:rFonts w:ascii="Times New Roman" w:hAnsi="Times New Roman"/>
          <w:i/>
          <w:color w:val="000000"/>
          <w:sz w:val="22"/>
        </w:rPr>
        <w:t>Second</w:t>
      </w:r>
      <w:r>
        <w:rPr>
          <w:rFonts w:ascii="Times New Roman" w:hAnsi="Times New Roman"/>
          <w:color w:val="000000"/>
          <w:sz w:val="22"/>
        </w:rPr>
        <w:t>, to payment of that portion of the Foreign Obligations constituting fees, indemnities and other amounts (other than principal, interest, Letter of Credit Fees and any Obligations then owing under Secured Hedge Agreements and Secured Cash Management Agreements) payable to the Lenders and the L/C Issuers (including fees, charges and disbursements of counsel to the respective Lenders and the L/C Issuers arising under the Loan Documents and amounts payable under Article III), ratably among them in proportion to the respective amounts described in this clause Second payable to them;</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Third</w:t>
      </w:r>
      <w:r>
        <w:rPr>
          <w:rFonts w:ascii="Times New Roman" w:hAnsi="Times New Roman"/>
          <w:color w:val="000000"/>
          <w:sz w:val="22"/>
        </w:rPr>
        <w:t>, to payment of that portion of the Foreign Obligations constituting accrued and unpaid Letter of Credit Fees and interest on the Loans, L/C Borrowings and other Obligations arising under the Loan Documents (other than any Obligations then owing under Secured Hedge Agreements and Secured Cash Management Agreements), ratably among the Lenders and the L/C Issuers in proportion to the respective amounts described in this clause Third payable to them;</w:t>
      </w:r>
    </w:p>
    <w:p>
      <w:pPr>
        <w:pStyle w:val="TextBody"/>
        <w:bidi w:val="0"/>
        <w:spacing w:before="240" w:after="283"/>
        <w:jc w:val="both"/>
        <w:rPr>
          <w:rFonts w:ascii="Times New Roman" w:hAnsi="Times New Roman"/>
          <w:sz w:val="20"/>
        </w:rPr>
      </w:pPr>
      <w:r>
        <w:rPr>
          <w:rFonts w:ascii="Times New Roman" w:hAnsi="Times New Roman"/>
          <w:i/>
          <w:color w:val="000000"/>
          <w:sz w:val="22"/>
        </w:rPr>
        <w:t>Fourth</w:t>
      </w:r>
      <w:r>
        <w:rPr>
          <w:rFonts w:ascii="Times New Roman" w:hAnsi="Times New Roman"/>
          <w:color w:val="000000"/>
          <w:sz w:val="22"/>
        </w:rPr>
        <w:t>, to payment of that portion of the Foreign Obligations constituting unpaid principal of the Loans, L/C Borrowings and Foreign Obligations then owing under Secured Hedge Agreements and Secured Cash Management Agreements, ratably among the Lenders, the L/C Issuers, the Hedge Banks and the Cash Management Banks in proportion to the respective amounts described in this clause Fourth held by them;</w:t>
      </w:r>
    </w:p>
    <w:p>
      <w:pPr>
        <w:pStyle w:val="TextBody"/>
        <w:bidi w:val="0"/>
        <w:spacing w:before="240" w:after="283"/>
        <w:jc w:val="both"/>
        <w:rPr>
          <w:rFonts w:ascii="Times New Roman" w:hAnsi="Times New Roman"/>
          <w:sz w:val="20"/>
        </w:rPr>
      </w:pPr>
      <w:r>
        <w:rPr>
          <w:rFonts w:ascii="Times New Roman" w:hAnsi="Times New Roman"/>
          <w:i/>
          <w:color w:val="000000"/>
          <w:sz w:val="22"/>
        </w:rPr>
        <w:t>Fifth</w:t>
      </w:r>
      <w:r>
        <w:rPr>
          <w:rFonts w:ascii="Times New Roman" w:hAnsi="Times New Roman"/>
          <w:color w:val="000000"/>
          <w:sz w:val="22"/>
        </w:rPr>
        <w:t>, to the Administrative Agent for the account of the applicable L/C Issuers, to Cash Collateralize that portion of L/C Obligations constituting Foreign Obligations comprised of the aggregate undrawn amount of Letters of Credit to the extent not otherwise Cash Collateralized by the applicable Borrower pursuant to Sections 2.03 and 2.15, ratably among the Lenders, the L/C Issuers, the Hedge Banks and the Cash Management Banks in proportion to the respective amounts described in this clause Fifth held by them; and</w:t>
      </w:r>
    </w:p>
    <w:p>
      <w:pPr>
        <w:pStyle w:val="TextBody"/>
        <w:bidi w:val="0"/>
        <w:spacing w:before="240" w:after="283"/>
        <w:jc w:val="both"/>
        <w:rPr>
          <w:rFonts w:ascii="Times New Roman" w:hAnsi="Times New Roman"/>
          <w:sz w:val="20"/>
        </w:rPr>
      </w:pPr>
      <w:r>
        <w:rPr>
          <w:rFonts w:ascii="Times New Roman" w:hAnsi="Times New Roman"/>
          <w:i/>
          <w:color w:val="000000"/>
          <w:sz w:val="22"/>
        </w:rPr>
        <w:t>Last</w:t>
      </w:r>
      <w:r>
        <w:rPr>
          <w:rFonts w:ascii="Times New Roman" w:hAnsi="Times New Roman"/>
          <w:color w:val="000000"/>
          <w:sz w:val="22"/>
        </w:rPr>
        <w:t>, the balance, if any, after all of the Foreign Obligations have been indefeasibly paid in full, to the applicable Borrower or as otherwise required by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Subject to Sections 2.03(c) and 2.15, amounts used to Cash Collateralize the aggregate undrawn amount of Letters of Credit pursuant to clause Fifth above shall be applied to satisfy drawings under such Letters of Credit as they occur. If any amount remains on deposit as Cash Collateral after all Letters of Credit have either been fully drawn or expired, such remaining amount shall be applied to the other Foreign Obligations, if any, in the order set forth above. Excluded Swap Obligations with respect to any Loan Party shall not be paid with amounts received from such Loan Party or its assets, but appropriate adjustments shall be made with respect to payments from other Loan Parties to preserve the allocation to Foreign Obligations otherwise set forth above in this Section 8.03.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Cash Management Agreements and Hedge Agreements</w:t>
      </w:r>
      <w:r>
        <w:rPr>
          <w:rFonts w:ascii="Times New Roman" w:hAnsi="Times New Roman"/>
          <w:color w:val="000000"/>
          <w:sz w:val="22"/>
        </w:rPr>
        <w:t>. 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IX for itself and its Affiliates as if a “Lender” party hereto.</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IX</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ADMINISTRATIVE AGENT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9.01. Appointment and Authority</w:t>
      </w:r>
      <w:r>
        <w:rPr>
          <w:rFonts w:ascii="Times New Roman" w:hAnsi="Times New Roman"/>
          <w:color w:val="000000"/>
          <w:sz w:val="22"/>
        </w:rPr>
        <w:t>. (a) Each of the Lenders and each of the L/C Issuers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Borrowers nor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the Administrative Agent any required powers of attorney to execute any Collateral Document governed by the laws of such jurisdiction on such Lender’s or Secured Party’s behalf.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also act as the “collateral agent” and as “security trustee” under the Loan Documents, and each of the Lenders (including in its capacities as a potential Hedge Bank and a potential Cash Management Bank) and each of the L/C Issuers hereby irrevocably appoints and authorizes the Administrative Agent to act as the agent and security trustee of such Lender and such L/C Issuer for purposes of acquiring, holding and enforcing any and all Liens on Collateral granted by any of the Loan Parties to secure any of the Obligations, together with such powers and discretion as are reasonably incidental thereto and as set out in the Loan Documents. In this connection, the Administrative Agent, as “collateral agent” and as “security trustee” and any co-agents, sub-agents and attorneys-in-fact appointed by the Administrative Agent pursuant to Section 9.05 or any other applicable Loan Document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Article IX and Article XI (including Section 11.04(c)) and any other applicable Loan Document, as though such co-agents, sub-agents and attorneys-in-fact were the “collateral agent” or “security trustee,” as the case may be, under the Loan Documents) as if set forth in full herein with respect thereto.</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9.02. Rights as a Lender</w:t>
      </w:r>
      <w:r>
        <w:rPr>
          <w:rFonts w:ascii="Times New Roman" w:hAnsi="Times New Roman"/>
          <w:color w:val="000000"/>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9.03. Exculpatory Provisions</w:t>
      </w:r>
      <w:r>
        <w:rPr>
          <w:rFonts w:ascii="Times New Roman" w:hAnsi="Times New Roman"/>
          <w:color w:val="000000"/>
          <w:sz w:val="22"/>
        </w:rPr>
        <w:t>. The Administrative Agent, the Sustainability Structuring Agent, or each Arranger, as applicable, shall not have any duties or obligations except those expressly set forth herein and in the other Loan Documents, and its duties hereunder shall be administrative in nature. Without limiting the generality of the foregoing, the Administrative Agent or each Arranger, as applicable, and its Related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be subject to any fiduciary or other implied duties, regardless of whether a Default has occurred and is continuing;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i/>
          <w:color w:val="000000"/>
          <w:sz w:val="22"/>
        </w:rPr>
        <w:t xml:space="preserve">provided </w:t>
      </w:r>
      <w:r>
        <w:rPr>
          <w:rFonts w:ascii="Times New Roman" w:hAnsi="Times New Roman"/>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any Arranger or any of their Related Parties in any capacity, except for notices, reports and other documents expressly required to be furnished to the Lenders by the Administrative Agent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11.01 and 8.02)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Domestic Borrower, a Lender or an L/C Issuer.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IV or elsewhere herein, other than to confirm receipt of items expressly required to be delivered to the Administrative Agent.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9.04. Reliance by Administrative Agent</w:t>
      </w:r>
      <w:r>
        <w:rPr>
          <w:rFonts w:ascii="Times New Roman" w:hAnsi="Times New Roman"/>
          <w:color w:val="000000"/>
          <w:sz w:val="22"/>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9.05. Delegation of Duties</w:t>
      </w:r>
      <w:r>
        <w:rPr>
          <w:rFonts w:ascii="Times New Roman" w:hAnsi="Times New Roman"/>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9.06. Resignation of Administrative Agent</w:t>
      </w:r>
      <w:r>
        <w:rPr>
          <w:rFonts w:ascii="Times New Roman" w:hAnsi="Times New Roman"/>
          <w:color w:val="000000"/>
          <w:sz w:val="22"/>
        </w:rPr>
        <w:t xml:space="preserve">. (a) The Administrative Agent may at any time give notice of its resignation to the Lenders, the L/C Issuers and the Domestic Borrower. Upon receipt of any such notice of resignation, the Required Lenders shall have the right, in consultation with the Domestic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hAnsi="Times New Roman"/>
          <w:color w:val="000000"/>
          <w:sz w:val="20"/>
        </w:rPr>
        <w:t>“</w:t>
      </w:r>
      <w:r>
        <w:rPr>
          <w:rFonts w:ascii="Times New Roman" w:hAnsi="Times New Roman"/>
          <w:i/>
          <w:color w:val="000000"/>
          <w:sz w:val="22"/>
        </w:rPr>
        <w:t>Resignation Effective Date”</w:t>
      </w:r>
      <w:r>
        <w:rPr>
          <w:rFonts w:ascii="Times New Roman" w:hAnsi="Times New Roman"/>
          <w:color w:val="000000"/>
          <w:sz w:val="22"/>
        </w:rPr>
        <w:t xml:space="preserve">), then the retiring Administrative Agent may (but shall not be obligated to) on behalf of the Lenders and the L/C Issuers, appoint a successor Administrative Agent meeting the qualifications set forth above; </w:t>
      </w:r>
      <w:r>
        <w:rPr>
          <w:rFonts w:ascii="Times New Roman" w:hAnsi="Times New Roman"/>
          <w:i/>
          <w:color w:val="000000"/>
          <w:sz w:val="22"/>
        </w:rPr>
        <w:t xml:space="preserve">provided </w:t>
      </w:r>
      <w:r>
        <w:rPr>
          <w:rFonts w:ascii="Times New Roman" w:hAnsi="Times New Roman"/>
          <w:color w:val="000000"/>
          <w:sz w:val="22"/>
        </w:rPr>
        <w:t>that in no event shall any successor Administrative Agent be a Defaulting Lender. Whether or not a successor has been appointed, such resignation shall become effective in accordance with such notice on the Resignation 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If the Person serving as Administrative Agent is a Defaulting Lender pursuant to clause (d) of the definition thereof, the Required Lenders may, to the extent permitted by Applicable Law, by notice in writing to the Domestic Borrower and such Person remove such Person as Administrative Agent and, in consultation with the Domestic Borrower, appoint a successor. If no such successor shall have been so appointed by the Required Lenders and shall have accepted such appointment within 30 days (or such earlier day as shall be agreed by the Required Lenders) (the </w:t>
      </w:r>
      <w:r>
        <w:rPr>
          <w:color w:val="000000"/>
        </w:rPr>
        <w:t>“</w:t>
      </w:r>
      <w:r>
        <w:rPr>
          <w:rFonts w:ascii="Times New Roman" w:hAnsi="Times New Roman"/>
          <w:i/>
          <w:color w:val="000000"/>
          <w:sz w:val="22"/>
        </w:rPr>
        <w:t>Removal Effective Date”</w:t>
      </w:r>
      <w:r>
        <w:rPr>
          <w:rFonts w:ascii="Times New Roman" w:hAnsi="Times New Roman"/>
          <w:color w:val="000000"/>
          <w:sz w:val="22"/>
        </w:rPr>
        <w:t>), then such removal shall nonetheless become effective in accordance with such notice on the Removal Effective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3.01(g)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Domestic Borrower and such successor. After the retiring or removed Administrative Agent’s resignation or removal hereunder and under the other Loan Documents, the provisions of this Article and Section 11.04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without limitation, (A) acting as collateral agent or otherwise holding any collateral security on behalf of any of the Secured Parties and (B) in respect of any actions taken in connection with transferring the agency to any successor Administrative Agent.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resignation or removal by Bank of America as Administrative Agent pursuant to this Section shall also constitute its resignation as an L/C Issuer and Swingline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Domestic Borrower of a successor L/C Issuer or Swingline Lender hereunder (which successor shall in all cases be a Lender other than a Defaulting Lender), (a) such successor shall succeed to and become vested with all of the rights, powers, privileges and duties of the retiring L/C Issuer or Swingline Lender, as applicable, (b) the retiring L/C Issuer and Swingline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9.07. Non-Reliance on Administrative Agent and Other Lenders</w:t>
      </w:r>
      <w:r>
        <w:rPr>
          <w:rFonts w:ascii="Times New Roman" w:hAnsi="Times New Roman"/>
          <w:color w:val="000000"/>
          <w:sz w:val="22"/>
        </w:rPr>
        <w:t>. Each Lender and each L/C 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L/C Issuer as to any matter, including whether the Administrative Agent or any Arranger have disclosed material information in their (or their Related Parties’) possession. Each Lender and each L/C Issuer represents to the Administrative Agent and each Arranger that it has, independently and without reliance upon the Administrative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each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an L/C Issuer for the purpose of making, acquiring or holding commercial loans and providing other facilities set forth herein as may be applicable to such Lender or such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9.08. No Other Duties, Etc. </w:t>
      </w:r>
      <w:r>
        <w:rPr>
          <w:rFonts w:ascii="Times New Roman" w:hAnsi="Times New Roman"/>
          <w:color w:val="000000"/>
          <w:sz w:val="22"/>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an L/C Issuer hereunder.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9.09. Administrative Agent May File Proofs of Claim</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Sections 2.03(h) and 2.03(i), 2.09, 2.10(b) and 11.04) allowed in such judicial proceeding;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Sections 2.09, 2.10(b) and 11.04.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or in any such proceeding.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(k) of Section 11.01 of this Agreement) and (C)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9.10. Collateral and Guaranty Matters</w:t>
      </w:r>
      <w:r>
        <w:rPr>
          <w:rFonts w:ascii="Times New Roman" w:hAnsi="Times New Roman"/>
          <w:color w:val="000000"/>
          <w:sz w:val="22"/>
        </w:rPr>
        <w:t>. Each Lender (including in its capacities as a potential Cash Management Bank and a potential Hedge Bank) and each L/C Issuer irrevocably authorize the Administrative Agent, at its option and in its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 (iii) subject to Section 11.01, if approved, authorized or ratified in writing by the Required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subordinate any Lien on any property granted to or held by the Administrative Agent under any Loan Document to the holder of any Lien on such property that is permitted by Section 7.01(j);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release any Guarantor from its obligations under the Guaranty, and to release any pledge of Equity Interests of such Person, if such Person ceases to be a Subsidiary as a result of a transaction permitted under the Loan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Section 9.10. In each case as specified in this Section 9.10,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Section 9.10.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240" w:after="283"/>
        <w:jc w:val="both"/>
        <w:rPr>
          <w:rFonts w:ascii="Times New Roman" w:hAnsi="Times New Roman"/>
          <w:sz w:val="20"/>
        </w:rPr>
      </w:pPr>
      <w:r>
        <w:rPr>
          <w:rFonts w:ascii="Times New Roman" w:hAnsi="Times New Roman"/>
          <w:i/>
          <w:color w:val="000000"/>
          <w:sz w:val="22"/>
        </w:rPr>
        <w:t>Section 9.11. Secured Cash Management Agreements and Secured Hedge Agreements</w:t>
      </w:r>
      <w:r>
        <w:rPr>
          <w:rFonts w:ascii="Times New Roman" w:hAnsi="Times New Roman"/>
          <w:color w:val="000000"/>
          <w:sz w:val="22"/>
        </w:rPr>
        <w:t xml:space="preserve">. Except as otherwise expressly set forth herein or in any Guaranty or any Collateral Document, no Cash Management Bank or Hedge Bank that obtains the benefits of Section 8.03,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t>
      </w:r>
      <w:r>
        <w:rPr>
          <w:rFonts w:ascii="Times New Roman" w:hAnsi="Times New Roman"/>
          <w:strike/>
          <w:color w:val="FF0000"/>
          <w:sz w:val="22"/>
        </w:rPr>
        <w:t>written notice</w:t>
      </w:r>
      <w:r>
        <w:rPr>
          <w:rFonts w:ascii="Times New Roman" w:hAnsi="Times New Roman"/>
          <w:color w:val="0000FF"/>
          <w:sz w:val="22"/>
          <w:u w:val="single"/>
        </w:rPr>
        <w:t>a Secured Party Designation Notice</w:t>
      </w:r>
      <w:r>
        <w:rPr>
          <w:rFonts w:ascii="Times New Roman" w:hAnsi="Times New Roman"/>
          <w:color w:val="0000FF"/>
          <w:sz w:val="20"/>
        </w:rPr>
        <w:t xml:space="preserve"> </w:t>
      </w:r>
      <w:r>
        <w:rPr>
          <w:rFonts w:ascii="Times New Roman" w:hAnsi="Times New Roman"/>
          <w:color w:val="000000"/>
          <w:sz w:val="22"/>
        </w:rPr>
        <w:t>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a Facility Termination Date.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9.12. Certain ERISA Matters</w:t>
      </w:r>
      <w:r>
        <w:rPr>
          <w:rFonts w:ascii="Times New Roman" w:hAnsi="Times New Roman"/>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the Sustainability Structuring Agent and each Arranger, and not, for the avoidance of doubt, to or for the benefit of the Borrowers or any other Loan Party, that at least one of the following is and will be true: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other representation, warranty and covenant as may be agreed in writing between the Administrative Agent, in its sole discretion, and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9.13. Recovery of Erroneous Payments. </w:t>
      </w:r>
      <w:r>
        <w:rPr>
          <w:rFonts w:ascii="Times New Roman" w:hAnsi="Times New Roman"/>
          <w:color w:val="000000"/>
          <w:sz w:val="22"/>
        </w:rPr>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GUARANTY</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10.01. The Guaranty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Each of the Global Guarantors hereby jointly and severally guarantees to the Secured Parties, as primary obligor and not as surety, the prompt payment of all Obligations in full when due (whether at stated maturity, as a mandatory prepayment, by acceleration, as a mandatory cash collateralization or otherwise) strictly in accordance with the terms thereof. The Global Guarantors hereby further agree that if any of the Obligations are not paid in full when due (whether at stated maturity, as a mandatory prepayment, by acceleration, as a mandatory cash collateralization or otherwise), the Global Guarantors will, jointly and severally, promptly pay the same, without any demand or notice whatsoever (other than as otherwise expressly required pursuant to the Loan Documents),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Each of the Foreign Guarantors hereby jointly and severally guarantees the Secured Parties, as primary obligor and not as surety, the prompt payment of all Foreign Obligations in full when due (whether at stated maturity, as a mandatory prepayment, by acceleration, as a mandatory cash collateralization or otherwise) strictly in accordance with the terms thereof. Each of the Foreign Guarantors hereby further agrees that if any of such Foreign Obligations are not paid in full when due (whether at stated maturity, as a mandatory prepayment, by acceleration, as a mandatory cash collateralization or otherwise), the Foreign Guarantors will, jointly and severally, promptly pay the same, without any demand or notice whatsoever (other than as otherwise expressly required pursuant to the Loan Documents), and that in the case of any extension of time of payment or renewal of any of such obligations, the same will be promptly paid in full when due (whether at extended maturity, as a mandatory prepayment, by acceleration, as a mandatory cash collateralization or otherwise) in accordance with the terms of such extension or renewal.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Domestic Borrower</w:t>
      </w:r>
      <w:r>
        <w:rPr>
          <w:rFonts w:ascii="Times New Roman" w:hAnsi="Times New Roman"/>
          <w:color w:val="000000"/>
          <w:sz w:val="22"/>
        </w:rPr>
        <w:t xml:space="preserve">. The Domestic Borrower hereby guarantees to the Secured Parties, as primary obligor and not as surety, the prompt payment of all Foreign Obligations in full when due (whether at stated maturity, as a mandatory prepayment, by acceleration, as a mandatory cash collateralization or otherwise) strictly in accordance with the terms thereof. The Domestic Borrower hereby further agrees that if any of such Foreign Obligations are not paid in full when due (whether at stated maturity, as a mandatory prepayment, by acceleration, as a mandatory cash collateralization or otherwise), it will promptly pay the same, without any demand or notice whatsoever (other than as otherwise expressly required pursuant to the Loan Documents), and that in the case of any extension of time of payment or renewal of any of such obligations, the same will be promptly paid in full when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due (whether at extended maturity, as a mandatory prepayment, by acceleration, as a mandatory cash collateralization or otherwise) in accordance with the terms of such extension or renewal.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Savings Clause</w:t>
      </w:r>
      <w:r>
        <w:rPr>
          <w:rFonts w:ascii="Times New Roman" w:hAnsi="Times New Roman"/>
          <w:color w:val="000000"/>
          <w:sz w:val="22"/>
        </w:rPr>
        <w:t>. Notwithstanding any provision to the contrary contained herein or in any other of the Loan Documents, Swap Contracts or Cash Management Agreements, the obligations of each Guarantor (in its capacity as such) under this Agreement and the other Loan Documents shall (A) exclude any Excluded Swap Obligations with respect to such Guarantor and (B) be limited to an aggregate amount equal to the largest amount that would not render such obligations subject to avoidance under the Debtor Relief Laws or any comparable provisions of any applicable Law, and any waiver of rights of a Foreign Guarantor made under this Article X which is invalid, ineffective or unenforceable in whole, in part or to any extent under the Applicable Law of the Foreign Guarantor’s jurisdiction of incorporation or operation shall apply only to the extent that such waiver is valid and enforceable.</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10.02. Obligations Unconditional</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The obligations of the Global Guarantors under Section 10.01 are joint and several, absolute and unconditional, irrespective of the value, genuineness, validity, regularity or enforceability of any of the Loan Documents, Swap Contracts or Cash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it being the intent of this Section 10.02 that the obligations of the Global Guarantors hereunder shall be absolute and unconditional under any and all circumstances. Each Global Guarantor agrees that such Global Guarantor shall have no right of subrogation, indemnity, reimbursement or contribution against the Borrowers or any other Guarantor for amounts paid under this Article X until such time as the Obligations have been paid in full and the Commitments have expired or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The obligations of the Foreign Guarantors under Section 10.01 are joint and several, absolute and unconditional, irrespective of the value, genuineness, validity, regularity or enforceability of any of the Loan Documents, Swap Contracts or Cash Management Agreements, or any other agreement or instrument referred to therein, or any substitution, release, impairment or exchange of any other guarantee of or security for any of the Foreign Obligations, and, to the fullest extent permitted by applicable Law, irrespective of any other circumstance whatsoever that might otherwise constitute a legal or equitable discharge or defense of a surety or guarantor, it being the intent of this Section 10.02 that the obligations of the Foreign Guarantors hereunder shall be absolute and unconditional under any and all circumstances. Each of the Foreign Guarantors agrees that such Foreign Guarantor shall have no right of subrogation, indemnity, reimbursement or contribution against the Foreign Borrower, the Domestic Borrower or any other Guarantor for amounts paid under this Article X until such time as the Obligations have been paid in full and the Commitments have expired or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Domestic Borrower</w:t>
      </w:r>
      <w:r>
        <w:rPr>
          <w:rFonts w:ascii="Times New Roman" w:hAnsi="Times New Roman"/>
          <w:color w:val="000000"/>
          <w:sz w:val="22"/>
        </w:rPr>
        <w:t xml:space="preserve">. The obligations of the Domestic Borrower under Section 10.01 are absolute and unconditional, irrespective of the value, genuineness, validity, regularity or enforceability of any of the Loan Documents, Swap Contracts or Cash Management Agreements, or any other agreement or instrument referred to therein, or any substitution, release, impairment or exchange of any other guarantee of or security for any of the Foreign Obligations, and, to the fullest extent permitted by applicable Law, irrespective of any other circumstance whatsoever that might otherwise constitute a legal or equitable discharge or defense of a surety or guarantor, it being the intent of this Section 10.02 that the obligations of the Domestic Borrower hereunder shall be absolute and unconditional under any and all circumstances. The Domestic Borrower agrees that it shall have no right of subrogation, indemnity, reimbursement or contribution against the Foreign Borrower or any other Guarantor for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amounts paid under this Article X until such time as the Obligations have been paid in full and the Commitments have expired or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Certain Waivers</w:t>
      </w:r>
      <w:r>
        <w:rPr>
          <w:rFonts w:ascii="Times New Roman" w:hAnsi="Times New Roman"/>
          <w:color w:val="000000"/>
          <w:sz w:val="22"/>
        </w:rPr>
        <w:t>. Without limiting the generality of the foregoing subsections (a), (b) and (c), it is agreed that, to the fullest extent permitted by Law, the occurrence of any one or more of the following shall not alter or impair the liability of the Domestic Borrower or any Guarantor hereunder, which shall remain absolute and unconditional as described 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at any time or from time to time, without notice to the Domestic Borrower or any Guarantor, the time for any performance of or compliance with any of the Obligations shall be extended, or such performance or compliance shall be waived;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of the acts mentioned in any of the provisions of any of the Loan Documents, any Swap Contract between any Loan Party and any Lender or any Affiliate of a Lender, any Cash Management Agreement between any Loan Party and any Lender or any Affiliate of a Lender, or any other agreement or instrument referred to in the Loan Documents, such Swap Contracts or such Cash Management Agreements shall be done or omitted;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maturity of any of the Obligations shall be accelerated, or any of the Obligations shall be modified, supplemented or amended in any respect, or any right under any of the Loan Documents, any Swap Contract between any Loan Party and any Lender or any Affiliate of a Lender, any Cash Management Agreement between any Loan Party and any Lender or any Affiliate of a Lender, or any other agreement or instrument referred to in the Loan Documents, such Swap Contracts or such Cash Management Agreements shall be waived or any other guarantee of any of the Obligations or any security therefor shall be released, impaired or exchanged in whole or in part or otherwise dealt 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Lien granted to, or in favor of, the Administrative Agent acting as “collateral agent” in accordance with Section 9.01(b) or any holder of the Obligations as security for any of the Obligations shall fail to attach or be perfected;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of the Obligations shall be determined to be void or voidable (including for the benefit of any creditor of the Domestic Borrower or any Guarantor) or shall be subordinated to the claims of any Person (including any creditor of the Domestic Borrower or any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Certain Additional Waivers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 respect to its obligations under this Article X, the Domestic Borrower and each Guarantor hereby expressly waives diligence, presentment, demand of payment, protest and all notices (other than as otherwise expressly required pursuant to the Loan Documents) whatsoever, and any requirement that the Administrative Agent or any other holder of the Obligations exhaust any right, power or remedy or proceed against any Person under any of the Loan Documents, any Swap Contract between any Loan Party and any Lender or any Affiliate of a Lender, any Cash Management Agreement between any Loan Party and any Lender or any Affiliate of a Lender, or any other agreement or instrument referred to in the Loan Documents, such Swap Contracts or such Cash Management Agreements, or against any other Person under any other guarantee of, or security for, any of the Obligations;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waives any rights and defenses that are or may become available to it by reason of §§ 2787 to 2855, inclusive, and §§ 2899 and 3433 of the California Civil Code. As provided below, this Guaranty shall be governed by, and construed in accordance with, the laws of the State of New York. The foregoing waivers and the provisions hereinafter set forth in this Guaranty which pertain to California law are included solely out of an abundance of caution, and shall not be construed to mean that any of the above referenced provisions of California law are in any way applicable to this Guaranty or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and each Guarantor hereby expressly waives (a) any defense arising by reason of any disability or other defense of the Borrowers or any other guarantor, or the cessation from any cause whatsoever (including any act or omission of any Secured Party) of the liability of any Borrower or any other Loan Party; (b) any defense based on any claim that such Guarantor’s obligations exceed or are more burdensome than those of the Borrowers or any other Loan Party; (c) the benefit of any statute of limitations affecting any Guarantor’s liability hereunder; (d) any right to proceed against the Borrowers or any other Loan Party, proceed against or exhaust any security for the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Secured Obligations.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10.03. Reinstatement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The obligations of each Global Guarantor under this Article X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Global Guarantor agrees that it will indemnify each Secured Party on demand for all reasonable costs and expenses (including the reasonable fees, charges and disbursements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The obligations of each Foreign Guarantor under this Article X shall be automatically reinstated if and to the extent that for any reason any payment by or on behalf of any Person in respect of the Foreign Obligations is rescinded or must be otherwise restored by any holder of any of the Foreign Obligations, whether as a result of any proceedings in bankruptcy or reorganization or otherwise, and each of the Foreign Guarantors agrees that it will indemnify each Secured Party on demand for all reasonable costs and expenses (including the reasonable fees, charges and disbursements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Domestic Borrower</w:t>
      </w:r>
      <w:r>
        <w:rPr>
          <w:rFonts w:ascii="Times New Roman" w:hAnsi="Times New Roman"/>
          <w:color w:val="000000"/>
          <w:sz w:val="22"/>
        </w:rPr>
        <w:t>. The obligations of the Domestic Borrower under this Article X shall be automatically reinstated if and to the extent that for any reason any payment by or on behalf of any Person in respect of the Foreign Obligations is rescinded or must be otherwise restored by any holder of any of the Foreign Obligations, whether as a result of any proceedings in bankruptcy or reorganization or otherwise, and the Domestic Borrower agrees that it will indemnify each Secured Party on demand for all reasonable costs and expenses (including the reasonable fees, charges and disbursements of counsel) incurred by such Person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10.04. Subrogation and Contribution</w:t>
      </w:r>
      <w:r>
        <w:rPr>
          <w:rFonts w:ascii="Times New Roman" w:hAnsi="Times New Roman"/>
          <w:color w:val="000000"/>
          <w:sz w:val="22"/>
        </w:rPr>
        <w:t>. The Domestic Borrower and each Guarantor agrees that it shall have no right of recourse to security for the Obligations, except through the exercise of rights of subrogation pursuant to Section 10.02 and through the exercise of rights of contribution pursuant to Section 10.06.</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10.05. Remedies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Each of the Global Guarantors agrees that, to the fullest extent permitted by Law, as between the Global Guarantors, on the one hand, and holders of the Obligations, on the other hand, the Obligations may be declared to be forthwith due and payable as provided in Section 8.02 (and shall be deemed to have become automatically due and payable in the circumstances provided in said Section 8.02) for purposes of Section 10.01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Global Guarantors for purposes of Section 10.01. The Global Guarantors acknowledge and agree that their obligations hereunder are secured in accordance with the terms of the Collateral Documents and that the holders of the Obligations may exercise their remedies thereunder in accordance with the terms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Each of the Foreign Guarantors agrees that, to the fullest extent permitted by Law, as between the Foreign Guarantors, on the one hand, and the holders of the Foreign Obligations, on the other hand, the Foreign Obligations may be declared to be forthwith due and payable as provided in Section 8.02 (and shall be deemed to have become automatically due and payable in the circumstances provided in said Section 8.02) for purposes of Section 10.01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and payable), the Foreign Obligations (whether or not due and payable by any other Person) shall forthwith become due and payable by the Foreign Guarantors for purposes of Section 10.01. Each of the Foreign Guarantors acknowledges and agrees that its obligations hereunder are secured in accordance with the terms of the Collateral Documents and that the holders of the Foreign Obligations may exercise their remedies thereunder in accordance with the terms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Domestic Borrower</w:t>
      </w:r>
      <w:r>
        <w:rPr>
          <w:rFonts w:ascii="Times New Roman" w:hAnsi="Times New Roman"/>
          <w:color w:val="000000"/>
          <w:sz w:val="22"/>
        </w:rPr>
        <w:t xml:space="preserve">. The Domestic Borrower agrees that, to the fullest extent permitted by Law, as between the Domestic Borrower, on the one hand, and the holders of the Foreign Obligations, on the other hand, the Foreign Obligations may be declared to be forthwith due and payable as provided in Section 8.02 (and shall be deemed to have become automatically due and payable in the circumstances provided in said Section 8.02) for purposes of Section 10.01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payable), the Foreign Obligations (whether or not due and payable by any other Person) shall forthwith become due and payable by the Domestic Borrower for purposes of Section 10.01. The Domestic Borrower acknowledges and agrees that its obligations hereunder are secured in accordance with the terms of the Collateral Documents and that the holders of the Foreign Obligations may exercise their remedies thereunder in accordance with the terms thereof.</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10.06. Rights of Contribution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The Domestic Borrower and the Global Guarantors hereby agree as among themselves that, in connection with payments made under this Article X, each Global Guarantor shall have a right of contribution from each other Global Guarantor and the Domestic Borrower (with respect to its guaranty under Section 10.01(c)) in accordance with applicable Law. Such contribution rights shall be subordinate and subject in right of payment to the Obligations until such time as the Obligations have been irrevocably paid in full and the commitments relating thereto shall have expired or been terminated, and none of the Global Guarantors shall exercise any such contribution rights until the Obligations have been irrevocably paid in full and the commitments relating thereto shall have expired or been terminated.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The Domestic Borrower, the Global Guarantors and the Foreign Guarantors hereby agree as among themselves that, in connection with payments made under this Article X, the Foreign Guarantors shall have a right of contribution from the Domestic Borrower (with respect to its guaranty under Section 10.01(c)) and each other Guarantor in accordance with applicable Law. Such contribution rights shall be subordinate and subject in right of payment to the Obligations until such time as the Obligations have been irrevocably paid in full and the commitments relating thereto shall have expired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been terminated, and none of the Foreign Guarantors shall exercise any such contribution rights until the Obligations have been irrevocably paid in full and the commitments relating thereto shall have expired or been terminated.</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10.07. Guarantee of Payment; Continuing Guarantee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Global Guarantors</w:t>
      </w:r>
      <w:r>
        <w:rPr>
          <w:rFonts w:ascii="Times New Roman" w:hAnsi="Times New Roman"/>
          <w:color w:val="000000"/>
          <w:sz w:val="22"/>
        </w:rPr>
        <w:t>. The guarantee given by the Global Guarantors in this Article X is a guaranty of payment and not of collection, is a continuing guarantee, shall apply to all Obligations whenever arising and shall remain in full force and effect until the Facility Termination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Foreign Guarantors</w:t>
      </w:r>
      <w:r>
        <w:rPr>
          <w:rFonts w:ascii="Times New Roman" w:hAnsi="Times New Roman"/>
          <w:color w:val="000000"/>
          <w:sz w:val="22"/>
        </w:rPr>
        <w:t>. The guarantee given by the Foreign Guarantors in this Article X is a guaranty of payment and not of collection, is a continuing guarantee, shall apply to all Foreign Obligations whenever arising and shall remain in full force and effect until the Facility Termination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Domestic Borrower</w:t>
      </w:r>
      <w:r>
        <w:rPr>
          <w:rFonts w:ascii="Times New Roman" w:hAnsi="Times New Roman"/>
          <w:color w:val="000000"/>
          <w:sz w:val="22"/>
        </w:rPr>
        <w:t>. The guarantee given by the Domestic Borrower in this Article X is a guaranty of payment and not of collection, is a continuing guarantee, shall apply to all Foreign Obligations whenever arising and shall remain in full force and effect until the Facility Termination Date.</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10.08. Additional Guarantor Waivers and Agreements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Each Loan Party understands and acknowledges that if the Secured Parties foreclose judicially or nonjudicially against any real property security for the Obligations, that foreclosure could impair or destroy any ability that such Loan Party may have to seek reimbursement, contribution, or indemnification from any other Loan Party or others based on any right such Loan Party may have of subrogation, reimbursement, contribution, or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indemnification for any amounts paid by such Loan Party under this Guaranty. Each Loan Party further understands and acknowledges that in the absence of this paragraph, such potential impairment or destruction of such Loan Party’s rights, if any, may entitle such Loan Party to assert a defense to this Guaranty based on Section 580d of the California Code of Civil Procedure as interpreted in Union Bank v. Gradsky, 265 Cal. App. 2d 40 (1968). By executing this Guaranty, each Loan Party freely, irrevocably, and unconditionally: (i) waives and relinquishes that defense and agrees that such Loan Party will be fully liable under this Guaranty even though the Secured Parties may foreclose, either by judicial foreclosure or by exercise of power of sale, any deed of trust securing the Obligations; (ii) agrees that such Loan Party will not assert that defense in any action or proceeding which the Secured Parties may commence to enforce this Guaranty; (iii) acknowledges and agrees that the rights and defenses waived by such Loan Party in this Guaranty include any right or defense that such Loan Party may have or be entitled to assert based upon or arising out of any one or more of §§ 580a, 580b, 580d, or 726 of the California Code of Civil Procedure or § 2848 of the California Civil Code; and (iv) acknowledges and agrees that the Secured Parties are relying on this waiver in creating the Obligations, and that this waiver is a material part of the consideration which the Secured Parties are receiving for creating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waives all rights and defenses that such Loan Party may have because any of the Obligations is secured by real property. This means, among other things: (i) the Secured Parties may collect from any Loan Party without first foreclosing on any real or personal property collateral pledged by the other Loan Parties; and (ii) if the Secured Parties foreclose on any real property collateral pledged by the other Loan Parties: (A) the amount of the Obligations may be reduced only by the price for which that collateral is sold at the foreclosure sale, even if the collateral is worth more than the sale price, and (B)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Secured Parties may collect from any Loan Party even if the Secured Parties, by foreclosing on the real property collateral, have destroyed any right such Loan Party may have to collect from the other Loan Parties. This is an unconditional and irrevocable waiver of any rights and defenses each Loan Party may have because any of the Obligations is secured by real property. These rights and defenses include, but are not limited to, any rights or defenses based upon § 580a, 580b, 580d, or 726 of the California Code of Civil Procedure.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waives any right or defense it may have at law or equity, including California Code of Civil Procedure § 580a, to a fair market value hearing or action to determine a deficiency judgment after a foreclosure.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waives all rights and defenses arising out of an election of remedies by the Secured Parties, even though that election of remedies, such as a nonjudicial foreclosure with respect to security for the Obligations, has destroyed such Loan Party’s rights of subrogation and reimbursement against the Borrowers or any other Loan Party by the operation of § 580d of the California Code of Civil Procedure or otherwise.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Loan Party waives any and all rights of subrogation, reimbursement, indemnification and contribution and any other rights and defenses that are or may become available to such Loan Party by virtue of Sections 2787 to 2855, inclusive, of the California Civil Code.</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10.09. Appointment of Domestic Borrower</w:t>
      </w:r>
      <w:r>
        <w:rPr>
          <w:rFonts w:ascii="Times New Roman" w:hAnsi="Times New Roman"/>
          <w:color w:val="000000"/>
          <w:sz w:val="22"/>
        </w:rPr>
        <w:t>. Each of the Loan Parties hereby appoints the Domestic Borrower to act as its agent for all purposes of this Agreement, the other Loan Documents and all other documents and electronic platforms entered into in connection herewith and agrees that (a) the Domestic Borrower may execute such documents and provide such authorizations on behalf of such Loan Parties as the Domestic Borrower deems appropriate in its sole discretion and each Loan Party shall be obligated by all of the terms of any such document and/or authorization executed on its behalf, (b) any notice or communication delivered by the Administrative Agent, an L/C Issuer or a Lender to the Domestic Borrower shall be deemed delivered to each Loan Party and (c)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Administrative Agent, the L/C Issuers or the Lenders may accept, and be permitted to rely on, any document, authorization, instrument or agreement executed by the Domestic Borrower on behalf of each of the Loan Parties.</w:t>
      </w:r>
      <w:r>
        <w:rPr>
          <w:rFonts w:ascii="Times New Roman" w:hAnsi="Times New Roman"/>
          <w:color w:val="0000FF"/>
          <w:sz w:val="20"/>
          <w:u w:val="single"/>
        </w:rPr>
        <w:t xml:space="preserve"> </w:t>
      </w:r>
      <w:r>
        <w:rPr>
          <w:rFonts w:ascii="Times New Roman" w:hAnsi="Times New Roman"/>
          <w:color w:val="0000FF"/>
          <w:sz w:val="22"/>
          <w:u w:val="single"/>
        </w:rPr>
        <w:t>The Foreign Borrower, each</w:t>
      </w:r>
      <w:r>
        <w:rPr>
          <w:rFonts w:ascii="Times New Roman" w:hAnsi="Times New Roman"/>
          <w:color w:val="0000FF"/>
          <w:sz w:val="20"/>
        </w:rPr>
        <w:t xml:space="preserve"> </w:t>
      </w:r>
      <w:r>
        <w:rPr>
          <w:rFonts w:ascii="Times New Roman" w:hAnsi="Times New Roman"/>
          <w:color w:val="0000FF"/>
          <w:sz w:val="22"/>
          <w:u w:val="single"/>
        </w:rPr>
        <w:t>Foreign Guarantor and each other Loan Party hereby consents to the service of process in any suit, action or</w:t>
      </w:r>
      <w:r>
        <w:rPr>
          <w:rFonts w:ascii="Times New Roman" w:hAnsi="Times New Roman"/>
          <w:color w:val="0000FF"/>
          <w:sz w:val="20"/>
        </w:rPr>
        <w:t xml:space="preserve"> </w:t>
      </w:r>
      <w:r>
        <w:rPr>
          <w:rFonts w:ascii="Times New Roman" w:hAnsi="Times New Roman"/>
          <w:color w:val="0000FF"/>
          <w:sz w:val="22"/>
          <w:u w:val="single"/>
        </w:rPr>
        <w:t>proceeding by the mailing thereof by the Administrative Agent or any Lender by hand or overnight courier</w:t>
      </w:r>
      <w:r>
        <w:rPr>
          <w:rFonts w:ascii="Times New Roman" w:hAnsi="Times New Roman"/>
          <w:color w:val="0000FF"/>
          <w:sz w:val="20"/>
        </w:rPr>
        <w:t xml:space="preserve"> </w:t>
      </w:r>
      <w:r>
        <w:rPr>
          <w:rFonts w:ascii="Times New Roman" w:hAnsi="Times New Roman"/>
          <w:color w:val="0000FF"/>
          <w:sz w:val="22"/>
          <w:u w:val="single"/>
        </w:rPr>
        <w:t>service or mailed by certified or registered mail, at the notice address of the Domestic Borrower set forth on</w:t>
      </w:r>
      <w:r>
        <w:rPr>
          <w:rFonts w:ascii="Times New Roman" w:hAnsi="Times New Roman"/>
          <w:color w:val="0000FF"/>
          <w:sz w:val="20"/>
        </w:rPr>
        <w:t xml:space="preserve"> </w:t>
      </w:r>
      <w:r>
        <w:rPr>
          <w:rFonts w:ascii="Times New Roman" w:hAnsi="Times New Roman"/>
          <w:color w:val="0000FF"/>
          <w:sz w:val="22"/>
          <w:u w:val="single"/>
        </w:rPr>
        <w:t>Schedule 11.02, and agrees that nothing herein shall affect the right to effect service of process in any other</w:t>
      </w:r>
      <w:r>
        <w:rPr>
          <w:rFonts w:ascii="Times New Roman" w:hAnsi="Times New Roman"/>
          <w:color w:val="0000FF"/>
          <w:sz w:val="20"/>
        </w:rPr>
        <w:t xml:space="preserve"> </w:t>
      </w:r>
      <w:r>
        <w:rPr>
          <w:rFonts w:ascii="Times New Roman" w:hAnsi="Times New Roman"/>
          <w:color w:val="0000FF"/>
          <w:sz w:val="22"/>
          <w:u w:val="single"/>
        </w:rPr>
        <w:t>manner permitted by law, or shall limit the right to sue in any other jurisdiction.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10.10. Keepwell</w:t>
      </w:r>
      <w:r>
        <w:rPr>
          <w:rFonts w:ascii="Times New Roman" w:hAnsi="Times New Roman"/>
          <w:color w:val="000000"/>
          <w:sz w:val="22"/>
        </w:rPr>
        <w:t>. 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Article X voidable under Applicable Law relating to fraudulent conveyance or fraudulent transfer, and not for any greater amount).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obligations and undertakings of each Qualified ECP Guarantor under this Section shall remain in full force and effect until the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bidi w:val="0"/>
        <w:spacing w:before="240" w:after="283"/>
        <w:jc w:val="both"/>
        <w:rPr>
          <w:rFonts w:ascii="Times New Roman" w:hAnsi="Times New Roman"/>
          <w:sz w:val="20"/>
        </w:rPr>
      </w:pPr>
      <w:r>
        <w:rPr>
          <w:rFonts w:ascii="Times New Roman" w:hAnsi="Times New Roman"/>
          <w:i/>
          <w:color w:val="000000"/>
          <w:sz w:val="22"/>
        </w:rPr>
        <w:t>Section 10.11. Condition of Borrowers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Guarantor acknowledges and agrees that it has the sole responsibility for, and has adequate means of, obtaining from the Borrowers and any other guarantor such information concerning the financial condition, business and operations of the Borrowers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Borrowers or any other guarantor (each Guarantor waiving any duty on the part of the Secured Parties to disclose such information and any defense relating to the failure to provide the same).</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ARTICLE XI</w:t>
      </w:r>
    </w:p>
    <w:p>
      <w:pPr>
        <w:pStyle w:val="Heading2"/>
        <w:bidi w:val="0"/>
        <w:spacing w:before="240" w:after="283"/>
        <w:jc w:val="center"/>
        <w:rPr>
          <w:rFonts w:ascii="Times New Roman" w:hAnsi="Times New Roman"/>
          <w:color w:val="000000"/>
          <w:sz w:val="22"/>
        </w:rPr>
      </w:pPr>
      <w:r>
        <w:rPr>
          <w:rFonts w:ascii="Times New Roman" w:hAnsi="Times New Roman"/>
          <w:color w:val="000000"/>
          <w:sz w:val="22"/>
        </w:rPr>
        <w:t>MISCELLANEOUS</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11.01. Amendments, Etc. </w:t>
      </w:r>
      <w:r>
        <w:rPr>
          <w:rFonts w:ascii="Times New Roman" w:hAnsi="Times New Roman"/>
          <w:color w:val="000000"/>
          <w:sz w:val="22"/>
        </w:rPr>
        <w:t>Subject to Section 3.03, no amendment or waiver of any provision of this Agreement or any other Loan Document, and no consent to any departure by any Borrower or any other Loan Party therefrom, shall be effective unless in writing signed by the Required Lenders (or by the Administrative Agent with the consent of the Required Lenders) and the Borrowers or the applicable Loan Party, as the case may be,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acknowledged by the Administrative Agent, and each such waiver or consent shall be effective only in the specific instance and for the specific purpose for which given; </w:t>
      </w:r>
      <w:r>
        <w:rPr>
          <w:rFonts w:ascii="Times New Roman" w:hAnsi="Times New Roman"/>
          <w:i/>
          <w:color w:val="000000"/>
          <w:sz w:val="22"/>
        </w:rPr>
        <w:t xml:space="preserve">provided </w:t>
      </w:r>
      <w:r>
        <w:rPr>
          <w:rFonts w:ascii="Times New Roman" w:hAnsi="Times New Roman"/>
          <w:color w:val="000000"/>
          <w:sz w:val="22"/>
        </w:rPr>
        <w:t>that no such amendment, waiver or consent shall: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condition set forth in Section 4.01(a) without the written consent of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waive any condition set forth in Section 4.02 as to any Credit Extension under the Revolving Credit Facility without the written consent of the Required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extend or increase the Commitment of any Lender (or reinstate any Commitment terminated pursuant to Section 8.02) without the written consent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postpone any date fixed by this Agreement or any other Loan Document for any payment (excluding mandatory prepayments, if any) of principal, interest, fees or other amounts due to the Lenders (or any of them) or reduce the amount of, waive or excuse any such payment hereunder or under any other Loan Document without the written consent of each Lender directly affected thereby;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reduce the principal of, or the rate of interest specified herein on, any Loan or L/C Borrowing, or (subject to clause (iv) of the second proviso to this Section 11.01) any fees or other amounts payable hereunder or under any other Loan Document without the written consent of each </w:t>
      </w:r>
      <w:r>
        <w:rPr>
          <w:rFonts w:ascii="Times New Roman" w:hAnsi="Times New Roman"/>
          <w:color w:val="000000"/>
          <w:sz w:val="20"/>
        </w:rPr>
        <w:t xml:space="preserve">Lender directly affected thereby; </w:t>
      </w:r>
      <w:r>
        <w:rPr>
          <w:rFonts w:ascii="Times New Roman" w:hAnsi="Times New Roman"/>
          <w:i/>
          <w:color w:val="000000"/>
          <w:sz w:val="20"/>
        </w:rPr>
        <w:t xml:space="preserve">provided </w:t>
      </w:r>
      <w:r>
        <w:rPr>
          <w:rFonts w:ascii="Times New Roman" w:hAnsi="Times New Roman"/>
          <w:color w:val="000000"/>
          <w:sz w:val="20"/>
        </w:rPr>
        <w:t>that only the consent of the Required Lenders shall be necessary (i) to amend the definition of “Default Rate” or to waive any obligation of the Borrowers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(i) change Section 2.13 or Section 8.03 in a manner that would alter the pro rata sharing of payments required thereby without the written consent of each Lender, or (ii) subordinate, or have the effect of subordinating, the Obligations hereunder to any other Indebtedness or other obligation, in each case, without the written consent of each Lender directly affected thereby, or (iii</w:t>
      </w:r>
      <w:r>
        <w:rPr>
          <w:rFonts w:ascii="Times New Roman" w:hAnsi="Times New Roman"/>
          <w:color w:val="0000FF"/>
          <w:sz w:val="22"/>
          <w:u w:val="single"/>
        </w:rPr>
        <w:t>) except as otherwise permitted under Section 9.10 (as in effect as of the</w:t>
      </w:r>
      <w:r>
        <w:rPr>
          <w:color w:val="0000FF"/>
        </w:rPr>
        <w:t xml:space="preserve"> </w:t>
      </w:r>
      <w:r>
        <w:rPr>
          <w:rFonts w:ascii="Times New Roman" w:hAnsi="Times New Roman"/>
          <w:color w:val="0000FF"/>
          <w:sz w:val="22"/>
          <w:u w:val="single"/>
        </w:rPr>
        <w:t>Closing Date), subordinate, or have the effect of subordinating, any of the Liens securing the</w:t>
      </w:r>
      <w:r>
        <w:rPr>
          <w:color w:val="0000FF"/>
        </w:rPr>
        <w:t xml:space="preserve"> </w:t>
      </w:r>
      <w:r>
        <w:rPr>
          <w:rFonts w:ascii="Times New Roman" w:hAnsi="Times New Roman"/>
          <w:color w:val="0000FF"/>
          <w:sz w:val="22"/>
          <w:u w:val="single"/>
        </w:rPr>
        <w:t>Obligations to any Liens securing any other Indebtedness or other obligation, or otherwise</w:t>
      </w:r>
      <w:r>
        <w:rPr>
          <w:color w:val="0000FF"/>
        </w:rPr>
        <w:t xml:space="preserve"> </w:t>
      </w:r>
      <w:r>
        <w:rPr>
          <w:rFonts w:ascii="Times New Roman" w:hAnsi="Times New Roman"/>
          <w:color w:val="0000FF"/>
          <w:sz w:val="22"/>
          <w:u w:val="single"/>
        </w:rPr>
        <w:t>adversely affect the priority of any of the Liens securing the Obligations relative to any other Liens,</w:t>
      </w:r>
      <w:r>
        <w:rPr>
          <w:color w:val="0000FF"/>
        </w:rPr>
        <w:t xml:space="preserve"> </w:t>
      </w:r>
      <w:r>
        <w:rPr>
          <w:rFonts w:ascii="Times New Roman" w:hAnsi="Times New Roman"/>
          <w:color w:val="0000FF"/>
          <w:sz w:val="22"/>
          <w:u w:val="single"/>
        </w:rPr>
        <w:t>in each case, without the written consent of each Lender directly affected thereby, or (iv</w:t>
      </w:r>
      <w:r>
        <w:rPr>
          <w:rFonts w:ascii="Times New Roman" w:hAnsi="Times New Roman"/>
          <w:color w:val="000000"/>
          <w:sz w:val="22"/>
        </w:rPr>
        <w:t xml:space="preserve">) change the order of application of any reduction in the Commitments or any prepayment of Loans among the Facilities from the application thereof set forth in the applicable provisions of Section 2.05 or </w:t>
      </w:r>
      <w:r>
        <w:rPr>
          <w:rFonts w:ascii="Times New Roman" w:hAnsi="Times New Roman"/>
          <w:color w:val="000000"/>
          <w:sz w:val="20"/>
        </w:rPr>
        <w:t>2.06 in any manner that materially and adversely affects the Lenders under a Facility without the written consent of (A) if such Facility is an Incremental Term Facility, the Required Incremental Term Lenders and (B) if such Facility is the Revolving Credit Facility, the Required Revolving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the definitions specified in clause (ii) of this Section 11.01(g)), without the written consent of each Lender or (ii) the definition of “Required Revolving Lenders” or “Required Incremental Term Lenders” without the written consent of each Lender under the applicable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release all or substantially all of the Collateral in any transaction or series of related transactions, without the written consent of each Lender;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release all or substantially all of the value of the Guaranty without the written consent of each Lender, except to the extent the release of any Guarantor is permitted pursuant to Section 9.10 (in which case such release may be made by the Administrative Agent acting alone);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release any Borrower or permit any Borrower to assign or transfer any of its rights or obligations under this Agreement or the other Loan Documents without the consent of each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impose any greater restriction on the ability of any Lender under a Facility to assign any of its rights or obligations hereunder without the written consent of (i) if such Facility is an Incremental Term Facility, the Required Incremental Term Lenders and (ii) if such Facility is the Revolving Credit Facility, the Required Revolving Lenders;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pPr>
      <w:r>
        <w:rPr>
          <w:rFonts w:ascii="Times New Roman" w:hAnsi="Times New Roman"/>
          <w:color w:val="000000"/>
          <w:sz w:val="22"/>
        </w:rPr>
        <w:t xml:space="preserve">amend Section 1.06 or the definition of “Alternative Currency”, “Alternative Currency Daily Rate”, or “Alternative Currency Term Rate” other than as provided for below or as provided in Section 1.06, without the written consent of each Revolving Credit Lender; and </w:t>
      </w:r>
      <w:r>
        <w:rPr>
          <w:rFonts w:ascii="Times New Roman" w:hAnsi="Times New Roman"/>
          <w:i/>
          <w:color w:val="000000"/>
          <w:sz w:val="22"/>
        </w:rPr>
        <w:t xml:space="preserve">provided, further, </w:t>
      </w:r>
      <w:r>
        <w:rPr>
          <w:rFonts w:ascii="Times New Roman" w:hAnsi="Times New Roman"/>
          <w:color w:val="000000"/>
          <w:sz w:val="22"/>
        </w:rPr>
        <w:t>that (i)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herein to the contrary, this Agreement may be amended with the written consent of the Administrative Agent, each Lender that is providing new or increased Commitments pursuant to Sections 2.17 or Section 2.18, as applicable, and the Borrowers (i) to add one or more additional revolving credit or incremental term loan facilities to this Agreement, in each case subject to the applicable limitations in Section 2.17 and Section 2.18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the Lenders providing such additional credit facilities to participate in any required vote or action required to be approved by the Required Lenders or by any other number, percentage or class of Lenders hereunder.</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anything to the contrary herein, this Agreement or any provision hereof may be amended, amended and restated, supplemented or otherwise modified without the consent of a Lender (but with the consent of the Borrowers, the Administrative Agent and the other Lenders whose consent is required pursuant to this Section 11.01) if, upon giving effect to such amendment, amendment and restatement, supplement or other modification, by the terms of such agreement, such Lender shall no longer be a party hereto, the Commitments of such Lender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shall have terminated, such Lender shall have no other commitment or other obligation hereunder and such Lender shall have been paid in full all principal, interest and other amounts owing to it or accrued for its account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herein to the contrary, this Agreement may be amended with the written consent of the Administrative Agent, Bank of America in its capacity as L/C Issuer with respect to Letters of Credit denominated in Alternative Currencies, the Borrowers and the Lenders affected thereby to amend the definitions of “Alternative Currency”, “Alternative Currency Daily Rate”, “Alternative Currency Term Rate”, or Section 1.06, as applicable, solely to add additional currency options and the applicable interest rate with respect thereto, in each case solely to the extent permitted pursuant to Section 1.06.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 provision herein to the contrary, if the Administrative Agent and the Borrowers acting together identify any ambiguity, omission, mistake, typographical error or other defect in any provision of this Agreement or any other Loan Document (including the schedules and exhibits thereto),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11.02. Notices; Effectiveness; Electronic Communication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Notices Generally</w:t>
      </w:r>
      <w:r>
        <w:rPr>
          <w:rFonts w:ascii="Times New Roman" w:hAnsi="Times New Roman"/>
          <w:color w:val="000000"/>
          <w:sz w:val="22"/>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w:t>
      </w:r>
      <w:r>
        <w:rPr>
          <w:strike/>
          <w:color w:val="FF0000"/>
        </w:rPr>
        <w:t xml:space="preserve"> </w:t>
      </w:r>
      <w:r>
        <w:rPr>
          <w:rFonts w:ascii="Times New Roman" w:hAnsi="Times New Roman"/>
          <w:strike/>
          <w:color w:val="FF0000"/>
          <w:sz w:val="22"/>
        </w:rPr>
        <w:t>facsimile or</w:t>
      </w:r>
      <w:r>
        <w:rPr>
          <w:color w:val="FF0000"/>
        </w:rPr>
        <w:t xml:space="preserve"> </w:t>
      </w:r>
      <w:r>
        <w:rPr>
          <w:rFonts w:ascii="Times New Roman" w:hAnsi="Times New Roman"/>
          <w:color w:val="000000"/>
          <w:sz w:val="22"/>
        </w:rPr>
        <w:t>e-mail transmission as follows, and all notices and other communications expressly permitted hereunder to be given by telephone shall be made to the applicable telephone number,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rPr>
        <w:t xml:space="preserve">if to any Borrower or any other Loan Party, the Administrative Agent, any L/C Issuer or the Swingline Lender, to the address, </w:t>
      </w:r>
      <w:r>
        <w:rPr>
          <w:rFonts w:ascii="Times New Roman" w:hAnsi="Times New Roman"/>
          <w:strike/>
          <w:color w:val="FF0000"/>
          <w:sz w:val="22"/>
        </w:rPr>
        <w:t xml:space="preserve">facsimile number, </w:t>
      </w:r>
      <w:r>
        <w:rPr>
          <w:rFonts w:ascii="Times New Roman" w:hAnsi="Times New Roman"/>
          <w:color w:val="000000"/>
          <w:sz w:val="22"/>
        </w:rPr>
        <w:t>e-mail address or telephone number specified for such Person on Schedule 11.02;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color w:val="000000"/>
          <w:sz w:val="22"/>
        </w:rPr>
        <w:t xml:space="preserve">if to any other Lender, to the address, </w:t>
      </w:r>
      <w:r>
        <w:rPr>
          <w:rFonts w:ascii="Times New Roman" w:hAnsi="Times New Roman"/>
          <w:strike/>
          <w:color w:val="FF0000"/>
          <w:sz w:val="22"/>
        </w:rPr>
        <w:t xml:space="preserve">facsimile number, </w:t>
      </w:r>
      <w:r>
        <w:rPr>
          <w:rFonts w:ascii="Times New Roman" w:hAnsi="Times New Roman"/>
          <w:color w:val="000000"/>
          <w:sz w:val="22"/>
        </w:rPr>
        <w:t>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pStyle w:val="TextBody"/>
        <w:bidi w:val="0"/>
        <w:spacing w:before="240" w:after="283"/>
        <w:jc w:val="both"/>
        <w:rPr>
          <w:rFonts w:ascii="Times New Roman" w:hAnsi="Times New Roman"/>
          <w:sz w:val="20"/>
        </w:rPr>
      </w:pPr>
      <w:r>
        <w:rPr>
          <w:rFonts w:ascii="Times New Roman" w:hAnsi="Times New Roman"/>
          <w:color w:val="000000"/>
          <w:sz w:val="22"/>
        </w:rPr>
        <w:t>Notices and other communications sent by hand or overnight courier service, or mailed by certified or registered mail, shall be deemed to have been given when received</w:t>
      </w:r>
      <w:r>
        <w:rPr>
          <w:rFonts w:ascii="Times New Roman" w:hAnsi="Times New Roman"/>
          <w:strike/>
          <w:color w:val="FF0000"/>
          <w:sz w:val="22"/>
        </w:rPr>
        <w:t>; notices and other communications</w:t>
      </w:r>
      <w:r>
        <w:rPr>
          <w:rFonts w:ascii="Times New Roman" w:hAnsi="Times New Roman"/>
          <w:color w:val="FF0000"/>
          <w:sz w:val="20"/>
        </w:rPr>
        <w:t xml:space="preserve"> </w:t>
      </w:r>
      <w:r>
        <w:rPr>
          <w:rFonts w:ascii="Times New Roman" w:hAnsi="Times New Roman"/>
          <w:strike/>
          <w:color w:val="FF0000"/>
          <w:sz w:val="22"/>
        </w:rPr>
        <w:t>sent by facsimile shall be deemed to have been given when sent (except that, if not given during normal</w:t>
      </w:r>
      <w:r>
        <w:rPr>
          <w:rFonts w:ascii="Times New Roman" w:hAnsi="Times New Roman"/>
          <w:color w:val="FF0000"/>
          <w:sz w:val="20"/>
        </w:rPr>
        <w:t xml:space="preserve"> </w:t>
      </w:r>
      <w:r>
        <w:rPr>
          <w:rFonts w:ascii="Times New Roman" w:hAnsi="Times New Roman"/>
          <w:strike/>
          <w:color w:val="FF0000"/>
          <w:sz w:val="22"/>
        </w:rPr>
        <w:t>business hours for the recipient, shall be deemed to have been given at the opening of business on the next</w:t>
      </w:r>
      <w:r>
        <w:rPr>
          <w:rFonts w:ascii="Times New Roman" w:hAnsi="Times New Roman"/>
          <w:color w:val="FF0000"/>
          <w:sz w:val="20"/>
        </w:rPr>
        <w:t xml:space="preserve"> </w:t>
      </w:r>
      <w:r>
        <w:rPr>
          <w:rFonts w:ascii="Times New Roman" w:hAnsi="Times New Roman"/>
          <w:strike/>
          <w:color w:val="FF0000"/>
          <w:sz w:val="22"/>
        </w:rPr>
        <w:t>Business Day for the</w:t>
      </w:r>
      <w:r>
        <w:rPr>
          <w:rFonts w:ascii="Times New Roman" w:hAnsi="Times New Roman"/>
          <w:color w:val="FF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strike/>
          <w:color w:val="FF0000"/>
          <w:sz w:val="22"/>
        </w:rPr>
        <w:t>recipient)</w:t>
      </w:r>
      <w:r>
        <w:rPr>
          <w:rFonts w:ascii="Times New Roman" w:hAnsi="Times New Roman"/>
          <w:color w:val="000000"/>
          <w:sz w:val="22"/>
        </w:rPr>
        <w:t>. Notices and other communications delivered through electronic communications to the extent provided in subsection (b) below, shall be effective as provided in such subsection (b).</w:t>
      </w:r>
    </w:p>
    <w:p>
      <w:pPr>
        <w:pStyle w:val="TextBody"/>
        <w:bidi w:val="0"/>
        <w:jc w:val="left"/>
        <w:rPr/>
      </w:pPr>
      <w:r>
        <w:rPr/>
        <w:t> </w:t>
      </w:r>
    </w:p>
    <w:tbl>
      <w:tblPr>
        <w:tblW w:w="8323" w:type="dxa"/>
        <w:jc w:val="left"/>
        <w:tblInd w:w="0" w:type="dxa"/>
        <w:tblLayout w:type="fixed"/>
        <w:tblCellMar>
          <w:top w:w="28" w:type="dxa"/>
          <w:left w:w="28" w:type="dxa"/>
          <w:bottom w:w="28" w:type="dxa"/>
          <w:right w:w="28" w:type="dxa"/>
        </w:tblCellMar>
      </w:tblPr>
      <w:tblGrid>
        <w:gridCol w:w="3286"/>
        <w:gridCol w:w="146"/>
        <w:gridCol w:w="48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This Agreement was prepared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Chapman and Cutler LLP</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28" w:after="283"/>
              <w:jc w:val="left"/>
              <w:rPr>
                <w:rFonts w:ascii="Times New Roman" w:hAnsi="Times New Roman"/>
                <w:sz w:val="22"/>
              </w:rPr>
            </w:pPr>
            <w:r>
              <w:rPr>
                <w:rFonts w:ascii="Times New Roman" w:hAnsi="Times New Roman"/>
                <w:strike/>
                <w:color w:val="FF0000"/>
                <w:sz w:val="22"/>
              </w:rPr>
              <w:t>201</w:t>
            </w:r>
            <w:r>
              <w:rPr>
                <w:rFonts w:ascii="Times New Roman" w:hAnsi="Times New Roman"/>
                <w:color w:val="0000FF"/>
                <w:sz w:val="22"/>
                <w:u w:val="single"/>
              </w:rPr>
              <w:t>650</w:t>
            </w:r>
            <w:r>
              <w:rPr>
                <w:rFonts w:ascii="Times New Roman" w:hAnsi="Times New Roman"/>
                <w:color w:val="0000FF"/>
                <w:sz w:val="22"/>
              </w:rPr>
              <w:t xml:space="preserve"> </w:t>
            </w:r>
            <w:r>
              <w:rPr>
                <w:rFonts w:ascii="Times New Roman" w:hAnsi="Times New Roman"/>
                <w:color w:val="000000"/>
                <w:sz w:val="22"/>
              </w:rPr>
              <w:t xml:space="preserve">South </w:t>
            </w:r>
            <w:r>
              <w:rPr>
                <w:rFonts w:ascii="Times New Roman" w:hAnsi="Times New Roman"/>
                <w:strike/>
                <w:color w:val="FF0000"/>
                <w:sz w:val="22"/>
              </w:rPr>
              <w:t>College</w:t>
            </w:r>
            <w:r>
              <w:rPr>
                <w:rFonts w:ascii="Times New Roman" w:hAnsi="Times New Roman"/>
                <w:color w:val="0000FF"/>
                <w:sz w:val="22"/>
                <w:u w:val="single"/>
              </w:rPr>
              <w:t>Tryon</w:t>
            </w:r>
            <w:r>
              <w:rPr>
                <w:rFonts w:ascii="Times New Roman" w:hAnsi="Times New Roman"/>
                <w:color w:val="0000FF"/>
                <w:sz w:val="22"/>
              </w:rPr>
              <w:t xml:space="preserve"> </w:t>
            </w:r>
            <w:r>
              <w:rPr>
                <w:rFonts w:ascii="Times New Roman" w:hAnsi="Times New Roman"/>
                <w:color w:val="000000"/>
                <w:sz w:val="22"/>
              </w:rPr>
              <w:t xml:space="preserve">Street, Suite </w:t>
            </w:r>
            <w:r>
              <w:rPr>
                <w:rFonts w:ascii="Times New Roman" w:hAnsi="Times New Roman"/>
                <w:strike/>
                <w:color w:val="FF0000"/>
                <w:sz w:val="22"/>
              </w:rPr>
              <w:t>1600</w:t>
            </w:r>
            <w:r>
              <w:rPr>
                <w:rFonts w:ascii="Times New Roman" w:hAnsi="Times New Roman"/>
                <w:color w:val="0000FF"/>
                <w:sz w:val="22"/>
                <w:u w:val="single"/>
              </w:rPr>
              <w:t>200</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Charlotte, NC </w:t>
            </w:r>
            <w:r>
              <w:rPr>
                <w:rFonts w:ascii="Times New Roman" w:hAnsi="Times New Roman"/>
                <w:strike/>
                <w:color w:val="FF0000"/>
                <w:sz w:val="22"/>
              </w:rPr>
              <w:t>28244</w:t>
            </w:r>
            <w:r>
              <w:rPr>
                <w:rFonts w:ascii="Times New Roman" w:hAnsi="Times New Roman"/>
                <w:color w:val="0000FF"/>
                <w:sz w:val="22"/>
                <w:u w:val="single"/>
              </w:rPr>
              <w:t>28202</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Attention: René LeBlanc-Allman</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27" w:after="283"/>
              <w:jc w:val="left"/>
              <w:rPr>
                <w:rFonts w:ascii="Times New Roman" w:hAnsi="Times New Roman"/>
                <w:color w:val="000000"/>
                <w:sz w:val="22"/>
              </w:rPr>
            </w:pPr>
            <w:r>
              <w:rPr>
                <w:rFonts w:ascii="Times New Roman" w:hAnsi="Times New Roman"/>
                <w:color w:val="000000"/>
                <w:sz w:val="22"/>
              </w:rPr>
              <w:t>Phone: (980) 495-7301</w:t>
            </w:r>
          </w:p>
        </w:tc>
      </w:tr>
      <w:tr>
        <w:trPr/>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E-mail: </w:t>
            </w:r>
            <w:r>
              <w:rPr>
                <w:rFonts w:ascii="Times New Roman" w:hAnsi="Times New Roman"/>
                <w:sz w:val="22"/>
              </w:rPr>
              <w:t>rleblanc@chapman.com</w:t>
            </w:r>
          </w:p>
        </w:tc>
      </w:tr>
    </w:tbl>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Electronic Communications</w:t>
      </w:r>
      <w:r>
        <w:rPr>
          <w:rFonts w:ascii="Times New Roman" w:hAnsi="Times New Roman"/>
          <w:color w:val="000000"/>
          <w:sz w:val="22"/>
        </w:rPr>
        <w:t xml:space="preserve">. Notices and other communications to the Administrative Agent, the Lenders, the Swingline Lender and the L/C Issuers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apply to notices to any Lender, the Swingline Lender or any L/C Issuer pursuant to Article II if such Lender, the Swingline Lender or such L/C Issuer, as applicable, has notified the Administrative Agent that it is incapable of receiving notices under such Article by electronic communication. The Administrative Agent, the Swingline Lender, any L/C Issuer or the Borrowers may each, in its discretion, agree to accept notices and other communications to it hereunder by electronic communications pursuant to procedures approved by it; </w:t>
      </w:r>
      <w:r>
        <w:rPr>
          <w:rFonts w:ascii="Times New Roman" w:hAnsi="Times New Roman"/>
          <w:i/>
          <w:color w:val="000000"/>
          <w:sz w:val="22"/>
        </w:rPr>
        <w:t xml:space="preserve">provided </w:t>
      </w:r>
      <w:r>
        <w:rPr>
          <w:rFonts w:ascii="Times New Roman" w:hAnsi="Times New Roman"/>
          <w:color w:val="000000"/>
          <w:sz w:val="22"/>
        </w:rPr>
        <w:t>that approval of such procedures may be limited to particular notices or communications.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and other communications posted to an Internet or intranet website shall be deemed received by the intended recipient upon the sender’s receipt of an acknowledgment from the intended recipient (such as by the “return receipt requested” function, as available, return e-mail address or other written acknowledgment) indicating that such notice or communication is available and identifying the website address therefor; </w:t>
      </w:r>
      <w:r>
        <w:rPr>
          <w:rFonts w:ascii="Times New Roman" w:hAnsi="Times New Roman"/>
          <w:i/>
          <w:color w:val="000000"/>
          <w:sz w:val="22"/>
        </w:rPr>
        <w:t xml:space="preserve">provided </w:t>
      </w:r>
      <w:r>
        <w:rPr>
          <w:rFonts w:ascii="Times New Roman" w:hAnsi="Times New Roman"/>
          <w:color w:val="000000"/>
          <w:sz w:val="22"/>
        </w:rPr>
        <w:t>that for both clauses (i) and (ii), if such notice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The Platform</w:t>
      </w:r>
      <w:r>
        <w:rPr>
          <w:rFonts w:ascii="Times New Roman" w:hAnsi="Times New Roman"/>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 THE BORROWER MATERIALS OR THE PLATFORM. In no event shall the Administrative Agent or any of its Related Parties (collectively, the </w:t>
      </w:r>
      <w:r>
        <w:rPr>
          <w:rFonts w:ascii="Times New Roman" w:hAnsi="Times New Roman"/>
          <w:color w:val="000000"/>
          <w:sz w:val="20"/>
        </w:rPr>
        <w:t>“</w:t>
      </w:r>
      <w:r>
        <w:rPr>
          <w:rFonts w:ascii="Times New Roman" w:hAnsi="Times New Roman"/>
          <w:i/>
          <w:color w:val="000000"/>
          <w:sz w:val="22"/>
        </w:rPr>
        <w:t>Agent Parties”</w:t>
      </w:r>
      <w:r>
        <w:rPr>
          <w:rFonts w:ascii="Times New Roman" w:hAnsi="Times New Roman"/>
          <w:color w:val="000000"/>
          <w:sz w:val="22"/>
        </w:rPr>
        <w:t>) have any liability to any Borrower, any Lender, any L/C Issuer or any other Person for losses, claims, damages, liabilities or expenses of any kind (whether in tort, contract or otherwise) arising out of any Borrower’s, any Loan Party’s or the Administrative Agent’s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transmission of Borrower Materials or notices through the Platform, any other electronic platform or electronic messaging service, or through the Internet.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 xml:space="preserve">Change of Address, Etc. </w:t>
      </w:r>
      <w:r>
        <w:rPr>
          <w:rFonts w:ascii="Times New Roman" w:hAnsi="Times New Roman"/>
          <w:color w:val="000000"/>
          <w:sz w:val="22"/>
        </w:rPr>
        <w:t>Each of the Borrowers, the Administrative Agent, each L/C Issuer and the Swingline Lender may change its address</w:t>
      </w:r>
      <w:r>
        <w:rPr>
          <w:rFonts w:ascii="Times New Roman" w:hAnsi="Times New Roman"/>
          <w:strike/>
          <w:color w:val="FF0000"/>
          <w:sz w:val="22"/>
        </w:rPr>
        <w:t>, facsimile</w:t>
      </w:r>
      <w:r>
        <w:rPr>
          <w:color w:val="FF0000"/>
        </w:rPr>
        <w:t xml:space="preserve"> </w:t>
      </w:r>
      <w:r>
        <w:rPr>
          <w:rFonts w:ascii="Times New Roman" w:hAnsi="Times New Roman"/>
          <w:color w:val="000000"/>
          <w:sz w:val="22"/>
        </w:rPr>
        <w:t>or telephone number or e-mail address for notices and other communications hereunder by notice to the other parties hereto. Each other Lender may change its address</w:t>
      </w:r>
      <w:r>
        <w:rPr>
          <w:rFonts w:ascii="Times New Roman" w:hAnsi="Times New Roman"/>
          <w:strike/>
          <w:color w:val="FF0000"/>
          <w:sz w:val="22"/>
        </w:rPr>
        <w:t>, facsimile</w:t>
      </w:r>
      <w:r>
        <w:rPr>
          <w:color w:val="FF0000"/>
        </w:rPr>
        <w:t xml:space="preserve"> </w:t>
      </w:r>
      <w:r>
        <w:rPr>
          <w:rFonts w:ascii="Times New Roman" w:hAnsi="Times New Roman"/>
          <w:color w:val="000000"/>
          <w:sz w:val="22"/>
        </w:rPr>
        <w:t>or telephone number or e-mail address for notices and other communications hereunder by notice to the Domestic Borrower, the Administrative Agent, each L/C Issuer and the Swingline Lender. In addition, each Lender agrees to notify the Administrative Agent from time to time to ensure that the Administrative Agent has on record (i) an effective address, contact name, telephone</w:t>
      </w:r>
      <w:r>
        <w:rPr>
          <w:strike/>
          <w:color w:val="FF0000"/>
        </w:rPr>
        <w:t xml:space="preserve"> </w:t>
      </w:r>
      <w:r>
        <w:rPr>
          <w:rFonts w:ascii="Times New Roman" w:hAnsi="Times New Roman"/>
          <w:strike/>
          <w:color w:val="FF0000"/>
          <w:sz w:val="22"/>
        </w:rPr>
        <w:t xml:space="preserve">number, facsimile </w:t>
      </w:r>
      <w:r>
        <w:rPr>
          <w:rFonts w:ascii="Times New Roman" w:hAnsi="Times New Roman"/>
          <w:color w:val="000000"/>
          <w:sz w:val="20"/>
        </w:rPr>
        <w:t>number and e-mail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respective securities for purposes of United States Federal or state securities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Reliance by Administrative Agent, L/C Issuers and Lenders</w:t>
      </w:r>
      <w:r>
        <w:rPr>
          <w:rFonts w:ascii="Times New Roman" w:hAnsi="Times New Roman"/>
          <w:color w:val="000000"/>
          <w:sz w:val="22"/>
        </w:rPr>
        <w:t>. The Administrative Agent, the L/C Issuers and the Lenders shall be entitled to rely and act upon any notices (including telephonic or electronic notices, Committed Loan Notices, Letter of Credit Applications, Notices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Borrowers shall, jointly and severally,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11.03. No Waiver; Cumulative Remedies; Enforcement</w:t>
      </w:r>
      <w:r>
        <w:rPr>
          <w:rFonts w:ascii="Times New Roman" w:hAnsi="Times New Roman"/>
          <w:color w:val="000000"/>
          <w:sz w:val="22"/>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Section 8.02 for the benefit of all the Lenders and all the L/C Issuers; </w:t>
      </w:r>
      <w:r>
        <w:rPr>
          <w:rFonts w:ascii="Times New Roman" w:hAnsi="Times New Roman"/>
          <w:i/>
          <w:color w:val="000000"/>
          <w:sz w:val="22"/>
        </w:rPr>
        <w:t xml:space="preserve">provided </w:t>
      </w:r>
      <w:r>
        <w:rPr>
          <w:rFonts w:ascii="Times New Roman" w:hAnsi="Times New Roman"/>
          <w:color w:val="000000"/>
          <w:sz w:val="22"/>
        </w:rPr>
        <w:t>that the foregoing shall not prohibit (a) the Administrative Agent from exercising on its own behalf the rights and remedies that inure to its benefit (solely in its capacity as Administrative Agent) hereunder and under the other Loan Documents, (b) any L/C Issuer or the Swingline Lender from exercising the rights and remedies that inure to its benefit (solely in its capacity as an L/C Issuer or Swingline Lender, as the case may be) hereunder and under the other Loan Documents, (c) any Lender from exercising setoff rights in accordance with Section 11.08 (subject to the terms of Section 2.13), or (d) any Lender from filing proofs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of claim or appearing and filing pleadings on its own behalf during the pendency of a proceeding relative to any Loan Party under any Debtor Relief Law; and </w:t>
      </w:r>
      <w:r>
        <w:rPr>
          <w:rFonts w:ascii="Times New Roman" w:hAnsi="Times New Roman"/>
          <w:i/>
          <w:color w:val="000000"/>
          <w:sz w:val="22"/>
        </w:rPr>
        <w:t xml:space="preserve">provided, further, </w:t>
      </w:r>
      <w:r>
        <w:rPr>
          <w:rFonts w:ascii="Times New Roman" w:hAnsi="Times New Roman"/>
          <w:color w:val="000000"/>
          <w:sz w:val="22"/>
        </w:rPr>
        <w:t>that if at any time there is no Person acting as Administrative Agent hereunder and under the other Loan Documents, then (i) the Required Lenders shall have the rights otherwise ascribed to the Administrative Agent pursuant to Section 8.02 and (ii) in addition to the matters set forth in clauses (b), (c) and (d) of the preceding proviso and subject to Section 2.13, any Lender may, with the consent of the Required Lenders, enforce any rights and remedies available to it and as authorized by the Required Lenders.</w:t>
      </w:r>
    </w:p>
    <w:p>
      <w:pPr>
        <w:pStyle w:val="TextBody"/>
        <w:bidi w:val="0"/>
        <w:spacing w:before="240" w:after="283"/>
        <w:jc w:val="left"/>
        <w:rPr>
          <w:rFonts w:ascii="Times New Roman" w:hAnsi="Times New Roman"/>
          <w:sz w:val="20"/>
        </w:rPr>
      </w:pPr>
      <w:r>
        <w:rPr>
          <w:rFonts w:ascii="Times New Roman" w:hAnsi="Times New Roman"/>
          <w:i/>
          <w:color w:val="000000"/>
          <w:sz w:val="22"/>
        </w:rPr>
        <w:t>Section 11.04. Expenses; Indemnity; Damage Waiver</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Costs and Expenses</w:t>
      </w:r>
      <w:r>
        <w:rPr>
          <w:rFonts w:ascii="Times New Roman" w:hAnsi="Times New Roman"/>
          <w:color w:val="000000"/>
          <w:sz w:val="22"/>
        </w:rPr>
        <w:t>. Each Borrower and each other Loan Party shall, jointly and severally, pay (i) all reasonable</w:t>
      </w:r>
      <w:r>
        <w:rPr>
          <w:color w:val="0000FF"/>
          <w:u w:val="single"/>
        </w:rPr>
        <w:t xml:space="preserve"> </w:t>
      </w:r>
      <w:r>
        <w:rPr>
          <w:rFonts w:ascii="Times New Roman" w:hAnsi="Times New Roman"/>
          <w:color w:val="0000FF"/>
          <w:sz w:val="22"/>
          <w:u w:val="single"/>
        </w:rPr>
        <w:t>and documented</w:t>
      </w:r>
      <w:r>
        <w:rPr>
          <w:color w:val="0000FF"/>
        </w:rPr>
        <w:t xml:space="preserve"> </w:t>
      </w:r>
      <w:r>
        <w:rPr>
          <w:rFonts w:ascii="Times New Roman" w:hAnsi="Times New Roman"/>
          <w:color w:val="000000"/>
          <w:sz w:val="22"/>
        </w:rPr>
        <w:t>out-of-pocket expenses incurred by the Administrative Agent and its Affiliates (including the reasonable fees, charges and disbursements of one primary counsel for the Administrative Agent and one local counsel for the Administrative Agent in each relevant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w:t>
      </w:r>
      <w:r>
        <w:rPr>
          <w:color w:val="0000FF"/>
          <w:u w:val="single"/>
        </w:rPr>
        <w:t xml:space="preserve"> </w:t>
      </w:r>
      <w:r>
        <w:rPr>
          <w:rFonts w:ascii="Times New Roman" w:hAnsi="Times New Roman"/>
          <w:color w:val="0000FF"/>
          <w:sz w:val="22"/>
          <w:u w:val="single"/>
        </w:rPr>
        <w:t>and documented</w:t>
      </w:r>
      <w:r>
        <w:rPr>
          <w:color w:val="0000FF"/>
        </w:rPr>
        <w:t xml:space="preserve"> </w:t>
      </w:r>
      <w:r>
        <w:rPr>
          <w:rFonts w:ascii="Times New Roman" w:hAnsi="Times New Roman"/>
          <w:color w:val="000000"/>
          <w:sz w:val="22"/>
        </w:rPr>
        <w:t>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one primary counsel for the Administrative Agent, any Lender or any L/C Issuer, taken as a whole, and one local counsel for all such Persons, taken as a whole, in each relevant jurisdiction)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Indemnification</w:t>
      </w:r>
      <w:r>
        <w:rPr>
          <w:rFonts w:ascii="Times New Roman" w:hAnsi="Times New Roman"/>
          <w:color w:val="000000"/>
          <w:sz w:val="22"/>
        </w:rPr>
        <w:t xml:space="preserve">. Each Borrower and each other Loan Party shall, jointly and severally, indemnify the Administrative Agent (and any sub-agent thereof), each Arranger, each Lender and each L/C Issuer, and each Related Party of any of the foregoing Persons (each such Person being called an </w:t>
      </w:r>
      <w:r>
        <w:rPr>
          <w:color w:val="000000"/>
        </w:rPr>
        <w:t>“</w:t>
      </w:r>
      <w:r>
        <w:rPr>
          <w:rFonts w:ascii="Times New Roman" w:hAnsi="Times New Roman"/>
          <w:i/>
          <w:color w:val="000000"/>
          <w:sz w:val="22"/>
        </w:rPr>
        <w:t>Indemnitee”</w:t>
      </w:r>
      <w:r>
        <w:rPr>
          <w:rFonts w:ascii="Times New Roman" w:hAnsi="Times New Roman"/>
          <w:color w:val="000000"/>
          <w:sz w:val="22"/>
        </w:rPr>
        <w:t xml:space="preserve">) against, and hold each Indemnitee harmless from, any and all losses, claims, damages, liabilities and related expenses (including the fees, charges and disbursements of one primary counsel for the Indemnitees, taken as a whole, one local counsel in each relevant jurisdiction for the Indemnitees, taken as a whole, and solely in the case of an actual or potential conflict of interest, one additional counsel in each relevant jurisdiction for all affected Indemnitees, taken as a whole) incurred by any Indemnitee or asserted against any Indemnitee by any Person (including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Section 3.01),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prospective claim, litigation, investigation or proceeding relating to any of the foregoing, whether based on contract, tort or any other theory, whether brought by a third party or by any Borrower or any other Loan Party, and regardless of whether any Indemnitee is a party thereto, </w:t>
      </w:r>
      <w:r>
        <w:rPr>
          <w:rFonts w:ascii="Times New Roman" w:hAnsi="Times New Roman"/>
          <w:b/>
          <w:color w:val="000000"/>
          <w:sz w:val="22"/>
        </w:rPr>
        <w:t>IN ALL CASES, WHETHER OR NOT CAUSED BY OR ARISING, IN WHOLE OR IN PART, OUT OF THE COMPARATIVE, CONTRIBUTORY OR SOLE NEGLIGENCE OF THE INDEMNITEE</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any Borrower or any other Loan Party against an Indemnitee for breach in bad faith of such Indemnitee’s obligations hereunder or under any other Loan Document, if such Borrower or such Loan Party has obtained a final and nonappealable judgment in its favor on such claim as determined by a court of competent jurisdiction or (z) result from a claim not involving an act or omission of the Borrowers and that is brought by an Indemnitee against another Indemnitee (other than against the Arrangers or the Administrative Agent in their capacities as such). Without limiting the provisions of Section 3.01(c), this Section 11.04(b) shall not apply with respect to Taxes other than any Taxes that represent losses, claims, damages, etc. arising from any non-Tax claim.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Reimbursement by Lenders</w:t>
      </w:r>
      <w:r>
        <w:rPr>
          <w:rFonts w:ascii="Times New Roman" w:hAnsi="Times New Roman"/>
          <w:color w:val="000000"/>
          <w:sz w:val="22"/>
        </w:rPr>
        <w:t xml:space="preserve">. To the extent that the Borrowers or other Loan Parties for any reason fail to indefeasibly pay any amount required under subsection (a) or (b), as applicable, of this Section to be paid by it to the Administrative Agent (or any sub-agent thereof), an Arranger, any L/C Issuer, the Swingline Lender or any Related Party of any of the foregoing, each Lender severally agrees to pay to the Administrative Agent (or any such sub-agent), such L/C Issuer, the Swingline Lender or such Related Party, as the case may be, such Lender’s pro rata share (determined as of the time that the applicable unreimbursed expense or indemnity payment is sought based on each Lender’s share of the aggregate unused Revolving Credit Commitments </w:t>
      </w:r>
      <w:r>
        <w:rPr>
          <w:rFonts w:ascii="Times New Roman" w:hAnsi="Times New Roman"/>
          <w:color w:val="000000"/>
          <w:sz w:val="22"/>
          <w:u w:val="single"/>
        </w:rPr>
        <w:t>plus</w:t>
      </w:r>
      <w:r>
        <w:rPr>
          <w:color w:val="000000"/>
        </w:rPr>
        <w:t xml:space="preserve"> </w:t>
      </w:r>
      <w:r>
        <w:rPr>
          <w:rFonts w:ascii="Times New Roman" w:hAnsi="Times New Roman"/>
          <w:color w:val="000000"/>
          <w:sz w:val="22"/>
        </w:rPr>
        <w:t xml:space="preserve">the Total Outstandings (with the aggregate amount of each Revolving Credit Lender’s risk participation and funded participation in L/C Obligations and Swingline Loans being deemed “held” by such Revolving Credit Lender)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hAnsi="Times New Roman"/>
          <w:i/>
          <w:color w:val="000000"/>
          <w:sz w:val="22"/>
        </w:rPr>
        <w:t xml:space="preserve">provided, further, </w:t>
      </w:r>
      <w:r>
        <w:rPr>
          <w:rFonts w:ascii="Times New Roman" w:hAnsi="Times New Roman"/>
          <w:color w:val="000000"/>
          <w:sz w:val="22"/>
        </w:rPr>
        <w:t>that, the unreimbursed expense or indemnified loss, claim, damage, liability or related expense, as the case may be, was incurred by or asserted against the Administrative Agent (or any such sub-agent), an Arranger, any L/C Issuer or the Swingline Lender in its capacity as such, or against any Related Party of any of the foregoing acting for the Administrative Agent (or any such sub-agent), such Arranger, such L/C Issuer or the Swingline Lender in connection with such capacity. The obligations of the Lenders under this subsection (c) are subject to the provisions of Section 2.12(d).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 xml:space="preserve">Waiver of Consequential Damages, Etc. </w:t>
      </w:r>
      <w:r>
        <w:rPr>
          <w:rFonts w:ascii="Times New Roman" w:hAnsi="Times New Roman"/>
          <w:color w:val="000000"/>
          <w:sz w:val="22"/>
        </w:rPr>
        <w:t>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Payments</w:t>
      </w:r>
      <w:r>
        <w:rPr>
          <w:rFonts w:ascii="Times New Roman" w:hAnsi="Times New Roman"/>
          <w:color w:val="000000"/>
          <w:sz w:val="22"/>
        </w:rPr>
        <w:t>. All amounts due under this Section shall be payable not later than ten Business Days after demand therefor.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Foreign Borrower/Foreign Guarantors</w:t>
      </w:r>
      <w:r>
        <w:rPr>
          <w:rFonts w:ascii="Times New Roman" w:hAnsi="Times New Roman"/>
          <w:color w:val="000000"/>
          <w:sz w:val="22"/>
        </w:rPr>
        <w:t>. Notwithstanding anything to the contrary in this Agreement or any other Loan Document, the obligations of the Foreign Borrower and the Foreign Guarantors with respect to the indemnification and expense reimbursement obligations set forth in this Section 11.04 and Section 11.02(e) shall, to the extent reasonably ascertainable, be limited to losses, claims, damages, liabilities, costs and expenses arising out of or relating to the obligations of Foreign Borrower and the Foreign Guarantors under this Agreement and the other Loan Documents (including the enforcement thereof) and the Foreign Borrower’s use or proposed use of the proceeds of any Loan made to the Foreign Borrower or Letter of Credit issued for the account of the Foreign Borrower or Foreign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i/>
          <w:color w:val="000000"/>
          <w:sz w:val="22"/>
        </w:rPr>
        <w:t>Survival</w:t>
      </w:r>
      <w:r>
        <w:rPr>
          <w:rFonts w:ascii="Times New Roman" w:hAnsi="Times New Roman"/>
          <w:color w:val="000000"/>
          <w:sz w:val="22"/>
        </w:rPr>
        <w:t>. The agreements in this Section and the indemnity provisions of Section 11.02(e) shall survive the resignation of the Administrative Agent, the L/C Issuers and the Swingline Lender, the replacement of any Lender, the termination of the Aggregate Commitments and the repayment, satisfaction or discharge of all the other Obligations.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11.05. Payments Set Aside</w:t>
      </w:r>
      <w:r>
        <w:rPr>
          <w:rFonts w:ascii="Times New Roman" w:hAnsi="Times New Roman"/>
          <w:color w:val="000000"/>
          <w:sz w:val="22"/>
        </w:rPr>
        <w:t>.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repayment. The obligations of the Lenders and the L/C Issuers under clause (b) of the preceding sentence shall survive the payment in full of the Obligations and the termination of this Agreement.</w:t>
      </w:r>
    </w:p>
    <w:p>
      <w:pPr>
        <w:pStyle w:val="TextBody"/>
        <w:bidi w:val="0"/>
        <w:spacing w:before="240" w:after="283"/>
        <w:jc w:val="left"/>
        <w:rPr>
          <w:rFonts w:ascii="Times New Roman" w:hAnsi="Times New Roman"/>
          <w:sz w:val="20"/>
        </w:rPr>
      </w:pPr>
      <w:r>
        <w:rPr>
          <w:rFonts w:ascii="Times New Roman" w:hAnsi="Times New Roman"/>
          <w:i/>
          <w:color w:val="000000"/>
          <w:sz w:val="22"/>
        </w:rPr>
        <w:t>Section 11.06. Successors and Assigns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Successors and Assigns Generally</w:t>
      </w:r>
      <w:r>
        <w:rPr>
          <w:rFonts w:ascii="Times New Roman" w:hAnsi="Times New Roman"/>
          <w:color w:val="000000"/>
          <w:sz w:val="22"/>
        </w:rPr>
        <w:t>. The provisions of this Agreement and the other Loan Documents shall be binding upon and inure to the benefit of the parties hereto and thereto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(except as otherwise permitted pursuant to Section 7.04)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Assignments by Lenders</w:t>
      </w:r>
      <w:r>
        <w:rPr>
          <w:rFonts w:ascii="Times New Roman" w:hAnsi="Times New Roman"/>
          <w:color w:val="000000"/>
          <w:sz w:val="22"/>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Swingline Loans) at the time owing to it); </w:t>
      </w:r>
      <w:r>
        <w:rPr>
          <w:rFonts w:ascii="Times New Roman" w:hAnsi="Times New Roman"/>
          <w:i/>
          <w:color w:val="000000"/>
          <w:sz w:val="22"/>
        </w:rPr>
        <w:t xml:space="preserve">provided </w:t>
      </w:r>
      <w:r>
        <w:rPr>
          <w:rFonts w:ascii="Times New Roman" w:hAnsi="Times New Roman"/>
          <w:color w:val="000000"/>
          <w:sz w:val="22"/>
        </w:rPr>
        <w:t>that (in each case with respect to any Facility) any such assignment shall be subject to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Minimum Amounts.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Incremental Term Facility, unless each of the Administrative Agent and, so long as no Event of Default has occurred and is continuing, the Domestic Borrower otherwise consents (each such consent not to be unreasonably withheld or delayed).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pPr>
      <w:r>
        <w:rPr>
          <w:rFonts w:ascii="Times New Roman" w:hAnsi="Times New Roman"/>
          <w:i/>
          <w:color w:val="000000"/>
          <w:sz w:val="22"/>
        </w:rPr>
        <w:t>Proportionate Amounts</w:t>
      </w:r>
      <w:r>
        <w:rPr>
          <w:rFonts w:ascii="Times New Roman" w:hAnsi="Times New Roman"/>
          <w:color w:val="000000"/>
          <w:sz w:val="22"/>
        </w:rPr>
        <w:t>. Each partial assignment shall be made as an assignment of a proportionate part of all the assigning Lender’s rights and obligations under this Agreement and the other Loan Documents with respect to the Loans and/or the Commitment assigned, except that this clause (ii) shall not (A) apply to the Swingline Lender’s rights and obligations in respect of Swingline Loans or (B) prohibit any Lender from assigning all or a portion of its rights and obligations among separate Facilities on a non-pro rata basis;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pPr>
      <w:r>
        <w:rPr>
          <w:rFonts w:ascii="Times New Roman" w:hAnsi="Times New Roman"/>
          <w:i/>
          <w:color w:val="000000"/>
          <w:sz w:val="22"/>
        </w:rPr>
        <w:t>Required Consents.</w:t>
      </w:r>
      <w:r>
        <w:rPr>
          <w:color w:val="000000"/>
        </w:rPr>
        <w:t xml:space="preserve"> </w:t>
      </w:r>
      <w:r>
        <w:rPr>
          <w:rFonts w:ascii="Times New Roman" w:hAnsi="Times New Roman"/>
          <w:color w:val="000000"/>
          <w:sz w:val="22"/>
        </w:rPr>
        <w:t>No consent shall be required for any assignment except to the extent required by subsection (b)(i)(B) of this Section and, in addition: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consent of the Domestic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hAnsi="Times New Roman"/>
          <w:i/>
          <w:color w:val="000000"/>
          <w:sz w:val="22"/>
        </w:rPr>
        <w:t xml:space="preserve">provided </w:t>
      </w:r>
      <w:r>
        <w:rPr>
          <w:rFonts w:ascii="Times New Roman" w:hAnsi="Times New Roman"/>
          <w:color w:val="000000"/>
          <w:sz w:val="22"/>
        </w:rPr>
        <w:t>that the Domestic Borrower shall be deemed to have consented to any such assignment unless it shall object thereto by written notice to the Administrative Agent within ten (10) Business Days after having received notice thereof;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the Administrative Agent (such consent not to be unreasonably withheld or delayed) shall be required for assignments in respect of (i) any Revolving Credit Commitment if such assignment is to a Person that is not a Revolving Credit Lender, an Affiliate of such Revolving Credit Lender or an Approved Fund with respect to such Revolving Credit Lender or (ii) any Incremental Term Loan (if any), if in each case, such assignment is to a Person that is not a Lender, an Affiliate of such Lender or an Approved Fund with respect to such Lender;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consent of each L/C Issuer and the Swingline Lender shall be required for any assignment in respect of the Revolving Credit Facility.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pPr>
      <w:r>
        <w:rPr>
          <w:rFonts w:ascii="Times New Roman" w:hAnsi="Times New Roman"/>
          <w:i/>
          <w:color w:val="000000"/>
          <w:sz w:val="22"/>
        </w:rPr>
        <w:t>Assignment and Assumption</w:t>
      </w:r>
      <w:r>
        <w:rPr>
          <w:rFonts w:ascii="Times New Roman" w:hAnsi="Times New Roman"/>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 w:hAnsi="Times New Roman"/>
          <w:i/>
          <w:color w:val="000000"/>
          <w:sz w:val="22"/>
        </w:rPr>
        <w:t xml:space="preserve">provided </w:t>
      </w:r>
      <w:r>
        <w:rPr>
          <w:rFonts w:ascii="Times New Roman" w:hAnsi="Times New Roman"/>
          <w:color w:val="000000"/>
          <w:sz w:val="22"/>
        </w:rPr>
        <w:t>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pPr>
      <w:r>
        <w:rPr>
          <w:rFonts w:ascii="Times New Roman" w:hAnsi="Times New Roman"/>
          <w:i/>
          <w:color w:val="000000"/>
          <w:sz w:val="22"/>
        </w:rPr>
        <w:t>No Assignment to Certain Persons</w:t>
      </w:r>
      <w:r>
        <w:rPr>
          <w:rFonts w:ascii="Times New Roman" w:hAnsi="Times New Roman"/>
          <w:color w:val="000000"/>
          <w:sz w:val="22"/>
        </w:rPr>
        <w:t>. No such assignment shall be made (A) to any Borrower or any of its Affiliates or Subsidiaries,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w:t>
      </w:r>
    </w:p>
    <w:p>
      <w:pPr>
        <w:pStyle w:val="TextBody"/>
        <w:bidi w:val="0"/>
        <w:spacing w:before="240" w:after="283"/>
        <w:jc w:val="both"/>
        <w:rPr/>
      </w:pPr>
      <w:r>
        <w:rPr>
          <w:rFonts w:ascii="Times New Roman" w:hAnsi="Times New Roman"/>
          <w:i/>
          <w:color w:val="000000"/>
          <w:sz w:val="22"/>
        </w:rPr>
        <w:t>Certain Additional Payments</w:t>
      </w:r>
      <w:r>
        <w:rPr>
          <w:rFonts w:ascii="Times New Roman" w:hAnsi="Times New Roman"/>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Domestic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240" w:after="283"/>
        <w:jc w:val="both"/>
        <w:rPr>
          <w:rFonts w:ascii="Times New Roman" w:hAnsi="Times New Roman"/>
          <w:sz w:val="20"/>
        </w:rPr>
      </w:pPr>
      <w:r>
        <w:rPr>
          <w:rFonts w:ascii="Times New Roman" w:hAnsi="Times New Roman"/>
          <w:color w:val="000000"/>
          <w:sz w:val="22"/>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subject to Sections 9.06(a) and 11.06 but shall continue to be entitled to the benefits of Sections 3.01, 3.04, 3.05, and 11.04 with respect to facts and circumstances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occurring prior to the effective date of such assignment); </w:t>
      </w:r>
      <w:r>
        <w:rPr>
          <w:rFonts w:ascii="Times New Roman" w:hAnsi="Times New Roman"/>
          <w:i/>
          <w:color w:val="000000"/>
          <w:sz w:val="22"/>
        </w:rPr>
        <w:t xml:space="preserve">provided </w:t>
      </w:r>
      <w:r>
        <w:rPr>
          <w:rFonts w:ascii="Times New Roman" w:hAnsi="Times New Roman"/>
          <w:color w:val="000000"/>
          <w:sz w:val="22"/>
        </w:rPr>
        <w:t>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Register</w:t>
      </w:r>
      <w:r>
        <w:rPr>
          <w:rFonts w:ascii="Times New Roman" w:hAnsi="Times New Roman"/>
          <w:color w:val="000000"/>
          <w:sz w:val="22"/>
        </w:rPr>
        <w:t xml:space="preserve">.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color w:val="000000"/>
        </w:rPr>
        <w:t>“</w:t>
      </w:r>
      <w:r>
        <w:rPr>
          <w:rFonts w:ascii="Times New Roman" w:hAnsi="Times New Roman"/>
          <w:i/>
          <w:color w:val="000000"/>
          <w:sz w:val="22"/>
        </w:rPr>
        <w:t>Register”</w:t>
      </w:r>
      <w:r>
        <w:rPr>
          <w:rFonts w:ascii="Times New Roman" w:hAnsi="Times New Roman"/>
          <w:color w:val="000000"/>
          <w:sz w:val="22"/>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Participations</w:t>
      </w:r>
      <w:r>
        <w:rPr>
          <w:rFonts w:ascii="Times New Roman" w:hAnsi="Times New Roman"/>
          <w:color w:val="000000"/>
          <w:sz w:val="22"/>
        </w:rPr>
        <w:t xml:space="preserve">. Any Lender may at any time, without the consent of, or notice to, any Borrower or the Administrative Agent, sell participations to any Person (other than a natural Person, or a holding company, investment vehicle or trust for, or owned and operated for the primary benefit for a natural Person, a Defaulting Lender or the Domestic Borrower or any of the Domestic Borrower’s Affiliates or Subsidiaries) (each, a </w:t>
      </w:r>
      <w:r>
        <w:rPr>
          <w:color w:val="000000"/>
        </w:rPr>
        <w:t>“</w:t>
      </w:r>
      <w:r>
        <w:rPr>
          <w:rFonts w:ascii="Times New Roman" w:hAnsi="Times New Roman"/>
          <w:i/>
          <w:color w:val="000000"/>
          <w:sz w:val="22"/>
        </w:rPr>
        <w:t>Participant”</w:t>
      </w:r>
      <w:r>
        <w:rPr>
          <w:rFonts w:ascii="Times New Roman" w:hAnsi="Times New Roman"/>
          <w:color w:val="000000"/>
          <w:sz w:val="22"/>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hAnsi="Times New Roman"/>
          <w:i/>
          <w:color w:val="000000"/>
          <w:sz w:val="22"/>
        </w:rPr>
        <w:t xml:space="preserve">provided </w:t>
      </w:r>
      <w:r>
        <w:rPr>
          <w:rFonts w:ascii="Times New Roman" w:hAnsi="Times New Roman"/>
          <w:color w:val="000000"/>
          <w:sz w:val="22"/>
        </w:rPr>
        <w:t>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Section 11.04(c) without regard to the existence of any participation.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color w:val="000000"/>
          <w:sz w:val="22"/>
        </w:rPr>
        <w:t xml:space="preserve">provided </w:t>
      </w:r>
      <w:r>
        <w:rPr>
          <w:rFonts w:ascii="Times New Roman" w:hAnsi="Times New Roman"/>
          <w:color w:val="000000"/>
          <w:sz w:val="22"/>
        </w:rPr>
        <w:t xml:space="preserve">that such agreement or instrument may provide that such Lender will not, without the consent of the Participant, agree to any amendment, waiver or other modification described in the first proviso to Section 11.01 that affects such Participant. The Loan Parties agree that each Participant shall be entitled to the benefits of Sections 3.01, 3.04 and 3.05 to the same extent as if it were a Lender and had acquired its interest by assignment pursuant to subsection (b) of this Section (it being understood that the documentation required under Section 3.01(e) shall be delivered to the Lender who sells the participation) to the same extent as if it were a Lender and had acquired its interest by assignment pursuant to paragraph (b) of this Section; </w:t>
      </w:r>
      <w:r>
        <w:rPr>
          <w:rFonts w:ascii="Times New Roman" w:hAnsi="Times New Roman"/>
          <w:i/>
          <w:color w:val="000000"/>
          <w:sz w:val="22"/>
        </w:rPr>
        <w:t xml:space="preserve">provided </w:t>
      </w:r>
      <w:r>
        <w:rPr>
          <w:rFonts w:ascii="Times New Roman" w:hAnsi="Times New Roman"/>
          <w:color w:val="000000"/>
          <w:sz w:val="22"/>
        </w:rPr>
        <w:t>that such Participant (A) agrees to be subject to the provisions of Sections 3.06 and 11.13 as if it were an assignee under paragraph (b) of this Section and (B) shall not be entitled to receive any greater payment under Sections3.01 or 3.04,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such Borrower’s request and expense, to use reasonable efforts to cooperate with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Borrower to effectuate the provisions of Section 3.06 with respect to any Participant. To the extent permitted by law, each Participant also shall be entitled to the benefits of Section 11.08 as though it were a Lender; </w:t>
      </w:r>
      <w:r>
        <w:rPr>
          <w:rFonts w:ascii="Times New Roman" w:hAnsi="Times New Roman"/>
          <w:i/>
          <w:color w:val="000000"/>
          <w:sz w:val="22"/>
        </w:rPr>
        <w:t xml:space="preserve">provided </w:t>
      </w:r>
      <w:r>
        <w:rPr>
          <w:rFonts w:ascii="Times New Roman" w:hAnsi="Times New Roman"/>
          <w:color w:val="000000"/>
          <w:sz w:val="22"/>
        </w:rPr>
        <w:t xml:space="preserve">that such Participant agrees to be subject to Section 2.13 as though it were a Lender. Each Lender that sells a participation shall, acting solely for this purpose as a non-fiduciary agent of such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0"/>
        </w:rPr>
        <w:t>“</w:t>
      </w:r>
      <w:r>
        <w:rPr>
          <w:rFonts w:ascii="Times New Roman" w:hAnsi="Times New Roman"/>
          <w:i/>
          <w:color w:val="000000"/>
          <w:sz w:val="22"/>
        </w:rPr>
        <w:t>Participant Register”</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Certain Pledges</w:t>
      </w:r>
      <w:r>
        <w:rPr>
          <w:rFonts w:ascii="Times New Roman" w:hAnsi="Times New Roman"/>
          <w:color w:val="000000"/>
          <w:sz w:val="22"/>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hAnsi="Times New Roman"/>
          <w:i/>
          <w:color w:val="000000"/>
          <w:sz w:val="22"/>
        </w:rPr>
        <w:t xml:space="preserve">provided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Resignation as L/C Issuer or Swingline Lender after Assignment</w:t>
      </w:r>
      <w:r>
        <w:rPr>
          <w:rFonts w:ascii="Times New Roman" w:hAnsi="Times New Roman"/>
          <w:color w:val="000000"/>
          <w:sz w:val="22"/>
        </w:rPr>
        <w:t xml:space="preserve">. Notwithstanding anything to the contrary contained herein, if at any time any L/C Issuer or the Swingline Lender assigns all of its Revolving Credit Commitment and Revolving Credit Loans pursuant to subsection (b) above, (i) such L/C Issuer may, upon 30 days’ notice to the Domestic Borrower and the Lenders, resign as L/C Issuer and/or (ii) the Swingline Lender may, upon 30 days’ notice to the Domestic Borrower, resign as Swingline Lender. In the event of any such resignation as an L/C Issuer or Swingline Lender, the Domestic Borrower shall be entitled to appoint from among the Lenders a successor L/C Issuer or Swingline Lender hereunder; </w:t>
      </w:r>
      <w:r>
        <w:rPr>
          <w:rFonts w:ascii="Times New Roman" w:hAnsi="Times New Roman"/>
          <w:i/>
          <w:color w:val="000000"/>
          <w:sz w:val="22"/>
        </w:rPr>
        <w:t xml:space="preserve">provided </w:t>
      </w:r>
      <w:r>
        <w:rPr>
          <w:rFonts w:ascii="Times New Roman" w:hAnsi="Times New Roman"/>
          <w:color w:val="000000"/>
          <w:sz w:val="22"/>
        </w:rPr>
        <w:t>that no failure by the Domestic Borrower to appoint any such successor shall affect the resignation of the applicable L/C Issuer or the Swingline Lender as an L/C Issuer or Swingline Lender, as the case may be. If an L/C Issuer resigns as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Section 2.03(c)).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the applicable retiring L/C Issuer to effectively assume the obligations of such applicable retiring L/C Issuer with respect to such Letters of Credit.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11.07. Treatment of Certain Information; Confidentiality</w:t>
      </w:r>
      <w:r>
        <w:rPr>
          <w:rFonts w:ascii="Times New Roman" w:hAnsi="Times New Roman"/>
          <w:color w:val="000000"/>
          <w:sz w:val="22"/>
        </w:rPr>
        <w:t xml:space="preserve">. Each of the Administrative Agent, the Lenders and the L/C Issuers agrees to maintain the confidentiality of the Information (as defined below), except that Information may be disclosed (a) to its Affiliates, its auditors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Section 2.17(c) and Section 2.18(b) or (ii) any actual or prospective party (or its Related Parties) to any swap, derivative or other transaction under which payments are to be made by reference to a Borrower and its respective obligations, this Agreement or payments hereunder, (g) on a confidential basis to (i) any rating agency in connection with rating a Borrower or its Subsidiaries or the credit facilities provided hereunder, (ii) the provider of any Platform or other electronic delivery service used by the Administrative Agent, any L/C Issuer or the Swingline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Domestic Borrower, (i) to the extent such Information (x) becomes publicly available other than as a result of a breach of this Section or (y) becomes available to the Administrative Agent, any Lender, any L/C Issuer or any of their respective Affiliates on a nonconfidential basis from a source other than the Domestic Borrower or (j) is independently discovered or developed by a party hereto without utilizing any Information received from the Borrowers or violating the terms of this Section 11.07. For purposes of this Section, “Information” means all information received from the Domestic Borrower or any Subsidiary thereof relating to the Domestic Borrower or any Subsidiary thereof or any of their respective businesses, other than any such information that is available to the Administrative Agent, any Lender or any L/C Issuer on a nonconfidential basis prior to disclosure by the Domestic Borrower or any Subsidiary thereof; </w:t>
      </w:r>
      <w:r>
        <w:rPr>
          <w:rFonts w:ascii="Times New Roman" w:hAnsi="Times New Roman"/>
          <w:i/>
          <w:color w:val="000000"/>
          <w:sz w:val="22"/>
        </w:rPr>
        <w:t xml:space="preserve">provided </w:t>
      </w:r>
      <w:r>
        <w:rPr>
          <w:rFonts w:ascii="Times New Roman" w:hAnsi="Times New Roman"/>
          <w:color w:val="000000"/>
          <w:sz w:val="22"/>
        </w:rPr>
        <w:t>that, in the case of information received from the Domestic Borrower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r>
        <w:rPr>
          <w:rFonts w:ascii="Times New Roman" w:hAnsi="Times New Roman"/>
          <w:color w:val="0000FF"/>
          <w:sz w:val="20"/>
          <w:u w:val="single"/>
        </w:rPr>
        <w:t xml:space="preserve"> </w:t>
      </w:r>
      <w:r>
        <w:rPr>
          <w:rFonts w:ascii="Times New Roman" w:hAnsi="Times New Roman"/>
          <w:color w:val="0000FF"/>
          <w:sz w:val="22"/>
          <w:u w:val="single"/>
        </w:rPr>
        <w:t>For the avoidance of</w:t>
      </w:r>
      <w:r>
        <w:rPr>
          <w:rFonts w:ascii="Times New Roman" w:hAnsi="Times New Roman"/>
          <w:color w:val="0000FF"/>
          <w:sz w:val="20"/>
        </w:rPr>
        <w:t xml:space="preserve"> </w:t>
      </w:r>
      <w:r>
        <w:rPr>
          <w:rFonts w:ascii="Times New Roman" w:hAnsi="Times New Roman"/>
          <w:color w:val="0000FF"/>
          <w:sz w:val="22"/>
          <w:u w:val="single"/>
        </w:rPr>
        <w:t>doubt, nothing herein prohibits any individual from communicating or disclosing information regarding</w:t>
      </w:r>
      <w:r>
        <w:rPr>
          <w:rFonts w:ascii="Times New Roman" w:hAnsi="Times New Roman"/>
          <w:color w:val="0000FF"/>
          <w:sz w:val="20"/>
        </w:rPr>
        <w:t xml:space="preserve"> </w:t>
      </w:r>
      <w:r>
        <w:rPr>
          <w:rFonts w:ascii="Times New Roman" w:hAnsi="Times New Roman"/>
          <w:color w:val="0000FF"/>
          <w:sz w:val="22"/>
          <w:u w:val="single"/>
        </w:rPr>
        <w:t>suspected violations of laws, rules, or regulations to a governmental, regulatory, or self-regulatory authority</w:t>
      </w:r>
      <w:r>
        <w:rPr>
          <w:rFonts w:ascii="Times New Roman" w:hAnsi="Times New Roman"/>
          <w:color w:val="0000FF"/>
          <w:sz w:val="20"/>
        </w:rPr>
        <w:t xml:space="preserve"> </w:t>
      </w:r>
      <w:r>
        <w:rPr>
          <w:rFonts w:ascii="Times New Roman" w:hAnsi="Times New Roman"/>
          <w:color w:val="0000FF"/>
          <w:sz w:val="22"/>
          <w:u w:val="single"/>
        </w:rPr>
        <w:t>without any notification to any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Administrative Agent, the Lenders and the L/C Issuers acknowledges that (a) the Information may include material non-public information concerning the Domestic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Loan Parties consent to the publication by the Administrative Agent or any Lender of customary advertising material relating to the transactions contemplated hereby using the name, product photographs, logo or trademark of the Loan Parties.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11.08. Right of Setoff</w:t>
      </w:r>
      <w:r>
        <w:rPr>
          <w:rFonts w:ascii="Times New Roman" w:hAnsi="Times New Roman"/>
          <w:color w:val="000000"/>
          <w:sz w:val="22"/>
        </w:rPr>
        <w:t xml:space="preserve">. 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Loan Party against any and all of the obligations of such Borrower or such Loan Party now or hereafter existing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such Borrower or such Loan Party may be contingent or unmatured, secured or unsecured, or are owed to a branch, office or Affiliate of such Lender or such L/C Issuer different from the branch, office or Affiliate holding such deposit or obligated on such indebtedness; </w:t>
      </w:r>
      <w:r>
        <w:rPr>
          <w:rFonts w:ascii="Times New Roman" w:hAnsi="Times New Roman"/>
          <w:i/>
          <w:color w:val="000000"/>
          <w:sz w:val="22"/>
        </w:rPr>
        <w:t xml:space="preserve">provided </w:t>
      </w:r>
      <w:r>
        <w:rPr>
          <w:rFonts w:ascii="Times New Roman" w:hAnsi="Times New Roman"/>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Section 2.16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Domestic Borrower and the Administrative Agent promptly after any such setoff and application; </w:t>
      </w:r>
      <w:r>
        <w:rPr>
          <w:rFonts w:ascii="Times New Roman" w:hAnsi="Times New Roman"/>
          <w:i/>
          <w:color w:val="000000"/>
          <w:sz w:val="22"/>
        </w:rPr>
        <w:t xml:space="preserve">provided </w:t>
      </w:r>
      <w:r>
        <w:rPr>
          <w:rFonts w:ascii="Times New Roman" w:hAnsi="Times New Roman"/>
          <w:color w:val="000000"/>
          <w:sz w:val="22"/>
        </w:rPr>
        <w:t>that the failure to give such notice shall not affect the validity of such setoff and application.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11.09. Interest Rate Limitation</w:t>
      </w:r>
      <w:r>
        <w:rPr>
          <w:rFonts w:ascii="Times New Roman" w:hAnsi="Times New Roman"/>
          <w:color w:val="000000"/>
          <w:sz w:val="22"/>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olor w:val="000000"/>
          <w:sz w:val="20"/>
        </w:rPr>
        <w:t>“</w:t>
      </w:r>
      <w:r>
        <w:rPr>
          <w:rFonts w:ascii="Times New Roman" w:hAnsi="Times New Roman"/>
          <w:i/>
          <w:color w:val="000000"/>
          <w:sz w:val="22"/>
        </w:rPr>
        <w:t>Maximum Rate”</w:t>
      </w:r>
      <w:r>
        <w:rPr>
          <w:rFonts w:ascii="Times New Roman" w:hAnsi="Times New Roman"/>
          <w:color w:val="000000"/>
          <w:sz w:val="22"/>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11.10. Counterparts; Integration; Effectiveness</w:t>
      </w:r>
      <w:r>
        <w:rPr>
          <w:rFonts w:ascii="Times New Roman" w:hAnsi="Times New Roman"/>
          <w:color w:val="000000"/>
          <w:sz w:val="22"/>
        </w:rPr>
        <w:t>. 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together, bear the signatures of each of the other parties hereto. Delivery of an executed counterpart of a signature page of this Agreement or any other Loan Document, or any certificate delivered thereunder, by</w:t>
      </w:r>
      <w:r>
        <w:rPr>
          <w:rFonts w:ascii="Times New Roman" w:hAnsi="Times New Roman"/>
          <w:strike/>
          <w:color w:val="FF0000"/>
          <w:sz w:val="20"/>
        </w:rPr>
        <w:t xml:space="preserve"> </w:t>
      </w:r>
      <w:r>
        <w:rPr>
          <w:rFonts w:ascii="Times New Roman" w:hAnsi="Times New Roman"/>
          <w:strike/>
          <w:color w:val="FF0000"/>
          <w:sz w:val="22"/>
        </w:rPr>
        <w:t>facsimile or</w:t>
      </w:r>
      <w:r>
        <w:rPr>
          <w:rFonts w:ascii="Times New Roman" w:hAnsi="Times New Roman"/>
          <w:color w:val="FF0000"/>
          <w:sz w:val="20"/>
        </w:rPr>
        <w:t xml:space="preserve"> </w:t>
      </w:r>
      <w:r>
        <w:rPr>
          <w:rFonts w:ascii="Times New Roman" w:hAnsi="Times New Roman"/>
          <w:color w:val="000000"/>
          <w:sz w:val="22"/>
        </w:rPr>
        <w:t>e-mail transmission (</w:t>
      </w:r>
      <w:r>
        <w:rPr>
          <w:rFonts w:ascii="Times New Roman" w:hAnsi="Times New Roman"/>
          <w:i/>
          <w:color w:val="000000"/>
          <w:sz w:val="22"/>
        </w:rPr>
        <w:t xml:space="preserve">e.g., </w:t>
      </w:r>
      <w:r>
        <w:rPr>
          <w:rFonts w:ascii="Times New Roman" w:hAnsi="Times New Roman"/>
          <w:color w:val="000000"/>
          <w:sz w:val="20"/>
        </w:rPr>
        <w:t>“</w:t>
      </w:r>
      <w:r>
        <w:rPr>
          <w:rFonts w:ascii="Times New Roman" w:hAnsi="Times New Roman"/>
          <w:color w:val="000000"/>
          <w:sz w:val="22"/>
        </w:rPr>
        <w:t>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w:t>
      </w:r>
      <w:r>
        <w:rPr>
          <w:rFonts w:ascii="Times New Roman" w:hAnsi="Times New Roman"/>
          <w:strike/>
          <w:color w:val="FF0000"/>
          <w:sz w:val="20"/>
        </w:rPr>
        <w:t xml:space="preserve"> </w:t>
      </w:r>
      <w:r>
        <w:rPr>
          <w:rFonts w:ascii="Times New Roman" w:hAnsi="Times New Roman"/>
          <w:strike/>
          <w:color w:val="FF0000"/>
          <w:sz w:val="22"/>
        </w:rPr>
        <w:t>facsimile transmission or</w:t>
      </w:r>
      <w:r>
        <w:rPr>
          <w:rFonts w:ascii="Times New Roman" w:hAnsi="Times New Roman"/>
          <w:color w:val="FF0000"/>
          <w:sz w:val="20"/>
        </w:rPr>
        <w:t xml:space="preserve"> </w:t>
      </w:r>
      <w:r>
        <w:rPr>
          <w:rFonts w:ascii="Times New Roman" w:hAnsi="Times New Roman"/>
          <w:color w:val="000000"/>
          <w:sz w:val="22"/>
        </w:rPr>
        <w:t>e-mail transmission shall be promptly followed by such manually executed counterpart.</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11.11. Survival of Representations and Warranties</w:t>
      </w:r>
      <w:r>
        <w:rPr>
          <w:rFonts w:ascii="Times New Roman" w:hAnsi="Times New Roman"/>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11.12. Severability</w:t>
      </w:r>
      <w:r>
        <w:rPr>
          <w:rFonts w:ascii="Times New Roman" w:hAnsi="Times New Roman"/>
          <w:color w:val="000000"/>
          <w:sz w:val="22"/>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Section 11.12, if and to the extent that the enforceability of any provisions in this Agreement relating to Defaulting Lenders shall be limited by Debtor Relief Laws, as determined in good faith by the Administrative Agent, any L/C Issuer or the Swingline Lender, as applicable, then such provisions shall be deemed to be in effect only to the extent not so limited.</w:t>
      </w:r>
    </w:p>
    <w:p>
      <w:pPr>
        <w:pStyle w:val="TextBody"/>
        <w:bidi w:val="0"/>
        <w:spacing w:before="240" w:after="283"/>
        <w:jc w:val="left"/>
        <w:rPr>
          <w:rFonts w:ascii="Times New Roman" w:hAnsi="Times New Roman"/>
          <w:sz w:val="20"/>
        </w:rPr>
      </w:pPr>
      <w:r>
        <w:rPr>
          <w:rFonts w:ascii="Times New Roman" w:hAnsi="Times New Roman"/>
          <w:i/>
          <w:color w:val="000000"/>
          <w:sz w:val="22"/>
        </w:rPr>
        <w:t>Section 11.13. Replacement of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If the Domestic Borrower is entitled to replace a Lender pursuant to the provisions of Section 3.06, or if any Lender is a Defaulting Lender or a Non-Consenting Lender, then the Domestic Borrower may, at its sole expense and effort, upon notice to such Lender and the Administrative Agent, require such Lender to assign and delegate, without recourse (in accordance with and subject to the restrictions contained in, and consents required by, Section 11.06),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Domestic Borrower shall have paid to the Administrative Agent the assignment fee (if any) specified in Section 11.06(b);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shall have received payment of an amount equal to 100% of the outstanding principal of its Loans and L/C Advances, accrued interest thereon, accrued fees and all other amounts payable to it hereunder and under the other Loan Documents (including any amounts under Section 3.05) from the assignee (to the extent of such outstanding principal and accrued interest and fees) or the Borrowers (in the case of all other amounts);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any such assignment resulting from a claim for compensation under Section 3.04 or payments required to be made pursuant to Section 3.01, such assignment will result in a reduction in such compensation or payments thereafter;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assignment does not conflict with applicable Laws;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case of an assignment resulting from a Lender becoming a Non-Consenting Lender, the applicable assignee shall have consented to the applicable amendment, waiver or consent.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Lender shall not be required to make any such assignment or delegation if, prior thereto, as a result of a waiver by such Lender or otherwise, the circumstances entitling the Domestic Borrower to require such assignment and delegation cease to apply.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party hereto agrees that (i) an assignment required pursuant to this Section 11.13 may be effected pursuant to an Assignment and Assumption executed by the Domestic Borrower, the Administrative Agent and the assignee and (ii) the Lender required to make such assignment need not be a party thereto in order for such assignment to be effective and shall be deemed to have consented to an be bound by the terms thereof; </w:t>
      </w:r>
      <w:r>
        <w:rPr>
          <w:rFonts w:ascii="Times New Roman" w:hAnsi="Times New Roman"/>
          <w:i/>
          <w:color w:val="000000"/>
          <w:sz w:val="22"/>
        </w:rPr>
        <w:t xml:space="preserve">provided </w:t>
      </w:r>
      <w:r>
        <w:rPr>
          <w:rFonts w:ascii="Times New Roman" w:hAnsi="Times New Roman"/>
          <w:color w:val="000000"/>
          <w:sz w:val="22"/>
        </w:rPr>
        <w:t>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in this Section 11.13 to the contrary, (A)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Section 9.06.</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Section 11.14. Governing Law; Jurisdiction; Etc.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GOVERNING LAW</w:t>
      </w:r>
      <w:r>
        <w:rPr>
          <w:rFonts w:ascii="Times New Roman" w:hAnsi="Times New Roman"/>
          <w:color w:val="000000"/>
          <w:sz w:val="22"/>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SUBMISSION TO JURISDICTION</w:t>
      </w:r>
      <w:r>
        <w:rPr>
          <w:rFonts w:ascii="Times New Roman" w:hAnsi="Times New Roman"/>
          <w:color w:val="000000"/>
          <w:sz w:val="22"/>
        </w:rPr>
        <w:t xml:space="preserve">.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ANY OTHER LOAN PARTY OR ITS PROPERTIES IN THE COURTS OF ANY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WAIVER OF VENUE</w:t>
      </w:r>
      <w:r>
        <w:rPr>
          <w:rFonts w:ascii="Times New Roman" w:hAnsi="Times New Roman"/>
          <w:color w:val="000000"/>
          <w:sz w:val="22"/>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AND UNCONDITIONALLY WAIVES, TO THE FULLEST EXTENT PERMITTED BY APPLICABLE LAW, THE DEFENSE OF AN INCONVENIENT FORUM TO THE MAINTENANCE OF SUCH ACTION OR PROCEEDING IN ANY SUCH COURT.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SERVICE OF PROCESS</w:t>
      </w:r>
      <w:r>
        <w:rPr>
          <w:rFonts w:ascii="Times New Roman" w:hAnsi="Times New Roman"/>
          <w:color w:val="000000"/>
          <w:sz w:val="22"/>
        </w:rPr>
        <w:t>. EACH PARTY HERETO IRREVOCABLY CONSENTS TO SERVICE OF PROCESS IN THE MANNER</w:t>
      </w:r>
      <w:r>
        <w:rPr>
          <w:rFonts w:ascii="Times New Roman" w:hAnsi="Times New Roman"/>
          <w:color w:val="0000FF"/>
          <w:sz w:val="22"/>
          <w:u w:val="single"/>
        </w:rPr>
        <w:t>, AND TO THE PARTIES,</w:t>
      </w:r>
      <w:r>
        <w:rPr>
          <w:color w:val="0000FF"/>
        </w:rPr>
        <w:t xml:space="preserve"> </w:t>
      </w:r>
      <w:r>
        <w:rPr>
          <w:rFonts w:ascii="Times New Roman" w:hAnsi="Times New Roman"/>
          <w:color w:val="000000"/>
          <w:sz w:val="22"/>
        </w:rPr>
        <w:t xml:space="preserve">PROVIDED FOR NOTICES IN </w:t>
      </w:r>
      <w:r>
        <w:rPr>
          <w:rFonts w:ascii="Times New Roman" w:hAnsi="Times New Roman"/>
          <w:color w:val="0000FF"/>
          <w:sz w:val="22"/>
          <w:u w:val="single"/>
        </w:rPr>
        <w:t>SECTION 10.09 AND</w:t>
      </w:r>
      <w:r>
        <w:rPr>
          <w:color w:val="0000FF"/>
        </w:rPr>
        <w:t xml:space="preserve"> </w:t>
      </w:r>
      <w:r>
        <w:rPr>
          <w:rFonts w:ascii="Times New Roman" w:hAnsi="Times New Roman"/>
          <w:color w:val="000000"/>
          <w:sz w:val="22"/>
        </w:rPr>
        <w:t>SECTION 11.02. NOTHING IN THIS AGREEMENT WILL AFFECT THE RIGHT OF ANY PARTY HERETO TO SERVE PROCESS IN ANY OTHER MANNER PERMITTED BY APPLICABLE LAW.</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11.15. Waiver of Jury Trial</w:t>
      </w:r>
      <w:r>
        <w:rPr>
          <w:rFonts w:ascii="Times New Roman" w:hAnsi="Times New Roman"/>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11.16. California Judicial Reference</w:t>
      </w:r>
      <w:r>
        <w:rPr>
          <w:rFonts w:ascii="Times New Roman" w:hAnsi="Times New Roman"/>
          <w:color w:val="000000"/>
          <w:sz w:val="22"/>
        </w:rPr>
        <w:t xml:space="preserve">. If any action or proceeding is filed in a court of the State of California by or against any party hereto in connection with any of the transactions contemplated by this Agreement or any other Loan Document, (a) the court shall, and is hereby directed to, make a general reference pursuant to California Code of Civil Procedure Section 638 to a referee (who shall be a single active or retired judge) to hear and determine all of the issues in such action or proceeding (whether of fact or of law) and to report a statement of decision; </w:t>
      </w:r>
      <w:r>
        <w:rPr>
          <w:rFonts w:ascii="Times New Roman" w:hAnsi="Times New Roman"/>
          <w:i/>
          <w:color w:val="000000"/>
          <w:sz w:val="22"/>
        </w:rPr>
        <w:t xml:space="preserve">provided </w:t>
      </w:r>
      <w:r>
        <w:rPr>
          <w:rFonts w:ascii="Times New Roman" w:hAnsi="Times New Roman"/>
          <w:color w:val="000000"/>
          <w:sz w:val="22"/>
        </w:rPr>
        <w:t>that at the option of any party to such proceeding, any such issues pertaining to a “provisional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remedy” as defined in California Code of Civil Procedure Section 1281.8 shall be heard and determined by the court, and (b) without limiting the generality of Section 11.04, the Domestic Borrower shall be solely responsible to pay all fees and expenses of any referee appointed in such action or proceeding.</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11.17. No Advisory or Fiduciary Responsibility</w:t>
      </w:r>
      <w:r>
        <w:rPr>
          <w:rFonts w:ascii="Times New Roman" w:hAnsi="Times New Roman"/>
          <w:color w:val="000000"/>
          <w:sz w:val="22"/>
        </w:rPr>
        <w:t>. In connection with all aspects of each transaction contemplated hereby (including in connection with any amendment, waiver or other modification hereof or of any other Loan Document), each Borrower and each other Loan Party acknowledges and agrees, and acknowledges their respective Affiliates’ understandings, that: (i) (A) the arranging and other services regarding this Agreement provided by the Administrative Agent, the Arrangers, and the Lenders and their respective Affiliates are arm’s-length commercial transactions between each Borrower, each other Loan Party and their respective Affiliates, on the one hand, and the Administrative Agent, the Arrangers and the Lenders and their respective Affiliates, on the other hand, (B) each Borrower and each other Loan Party has consulted its own legal, accounting, regulatory and tax advisors to the extent it has deemed appropriate, and (C) each Borrower and each other Loan Party is capable of evaluating, and understands and accepts, the terms, risks and conditions of the transactions contemplated hereby and by the other Loan Documents; (ii) (A) the Administrative Agent, each Arranger and each Lender and their respective Affiliates each is and has been acting solely as a principal and, except as expressly agreed in writing by the relevant parties, has not been, is not, and will not be acting as an advisor, agent or fiduciary for any Borrower, or any other Loan Party or any of their respective Affiliates, or any other Person and (B) neither the Administrative Agent nor any Arranger nor any Lender nor any of their respective Affiliates has any obligation to any Borrower,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any Borrower, any other Loan Party and their respective Affiliates, and neither the Administrative Agent, nor any Arranger, nor any Lender nor any of their respective Affiliates has any obligation to disclose any of such interests to any Borrower, any other Loan Party or any of their respective Affiliates. To the fullest extent permitted by law, each Borrower and each other Loan Party hereby waives and releases any claims that it may have against the Administrative Agent, any Arranger or any Lender or any of their respective Affiliates with respect to any breach or alleged breach of agency or fiduciary duty in connection with any aspect of any transaction contemplated hereby.</w:t>
      </w:r>
    </w:p>
    <w:p>
      <w:pPr>
        <w:pStyle w:val="TextBody"/>
        <w:bidi w:val="0"/>
        <w:spacing w:before="240" w:after="283"/>
        <w:jc w:val="left"/>
        <w:rPr>
          <w:rFonts w:ascii="Times New Roman" w:hAnsi="Times New Roman"/>
          <w:sz w:val="20"/>
        </w:rPr>
      </w:pPr>
      <w:r>
        <w:rPr>
          <w:rFonts w:ascii="Times New Roman" w:hAnsi="Times New Roman"/>
          <w:i/>
          <w:color w:val="000000"/>
          <w:sz w:val="22"/>
        </w:rPr>
        <w:t>Section 11.18. Electronic Execution of Assignments and Certain Other Documents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This Agreement, any Loan Document and any other Communication, including Communications required to be in writing, may be in the form of an Electronic Record and may be executed using Electronic Signatures. Each of the Loan Parties and each of the Administrative Agent, the L/C Issuer, the Swingline Lender, and each Lender (collectively, each a “</w:t>
      </w:r>
      <w:r>
        <w:rPr>
          <w:rFonts w:ascii="Times New Roman" w:hAnsi="Times New Roman"/>
          <w:i/>
          <w:color w:val="000000"/>
          <w:sz w:val="22"/>
        </w:rPr>
        <w:t>Credit Party</w:t>
      </w:r>
      <w:r>
        <w:rPr>
          <w:rFonts w:ascii="Times New Roman" w:hAnsi="Times New Roman"/>
          <w:color w:val="000000"/>
          <w:sz w:val="20"/>
        </w:rPr>
        <w:t>”</w:t>
      </w:r>
      <w:r>
        <w:rPr>
          <w:rFonts w:ascii="Times New Roman" w:hAnsi="Times New Roman"/>
          <w:color w:val="000000"/>
          <w:sz w:val="22"/>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hAnsi="Times New Roman"/>
          <w:i/>
          <w:color w:val="000000"/>
          <w:sz w:val="22"/>
        </w:rPr>
        <w:t>Electronic Copy</w:t>
      </w:r>
      <w:r>
        <w:rPr>
          <w:rFonts w:ascii="Times New Roman" w:hAnsi="Times New Roman"/>
          <w:color w:val="000000"/>
          <w:sz w:val="20"/>
        </w:rPr>
        <w:t>”</w:t>
      </w:r>
      <w:r>
        <w:rPr>
          <w:rFonts w:ascii="Times New Roman" w:hAnsi="Times New Roman"/>
          <w:color w:val="000000"/>
          <w:sz w:val="22"/>
        </w:rPr>
        <w:t>), which shall be deemed created in the ordinary course of such Person’s business, and destroy the original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without limiting the foregoing, (a) to the extent the Administrative Agent, L/C Issuer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w:t>
      </w:r>
      <w:r>
        <w:rPr>
          <w:rFonts w:ascii="Times New Roman" w:hAnsi="Times New Roman"/>
          <w:strike/>
          <w:color w:val="FF0000"/>
          <w:sz w:val="22"/>
        </w:rPr>
        <w:t>telecopy, emailed</w:t>
      </w:r>
      <w:r>
        <w:rPr>
          <w:rFonts w:ascii="Times New Roman" w:hAnsi="Times New Roman"/>
          <w:color w:val="0000FF"/>
          <w:sz w:val="22"/>
          <w:u w:val="single"/>
        </w:rPr>
        <w:t>email,</w:t>
      </w:r>
      <w:r>
        <w:rPr>
          <w:rFonts w:ascii="Times New Roman" w:hAnsi="Times New Roman"/>
          <w:color w:val="0000FF"/>
          <w:sz w:val="20"/>
        </w:rPr>
        <w:t xml:space="preserve"> </w:t>
      </w:r>
      <w:r>
        <w:rPr>
          <w:rFonts w:ascii="Times New Roman" w:hAnsi="Times New Roman"/>
          <w:color w:val="000000"/>
          <w:sz w:val="22"/>
        </w:rPr>
        <w:t>.pdf or any other electronic means). The Administrative Agent, L/C Issuer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and each Credit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11.19. USA PATRIOT Act</w:t>
      </w:r>
      <w:r>
        <w:rPr>
          <w:rFonts w:ascii="Times New Roman" w:hAnsi="Times New Roman"/>
          <w:color w:val="000000"/>
          <w:sz w:val="22"/>
        </w:rPr>
        <w:t xml:space="preserve">. Each Lender that is subject to the Act (as hereinafter defined) and the Administrative Agent (for itself and not on behalf of any Lender) hereby notifies the Borrowers and the other Loan Parties that pursuant to the requirements of the USA PATRIOT Act (Title III of Pub. L. 107-56 (signed into law October 26, 2001)) (the </w:t>
      </w:r>
      <w:r>
        <w:rPr>
          <w:rFonts w:ascii="Times New Roman" w:hAnsi="Times New Roman"/>
          <w:color w:val="000000"/>
          <w:sz w:val="20"/>
        </w:rPr>
        <w:t>“</w:t>
      </w:r>
      <w:r>
        <w:rPr>
          <w:rFonts w:ascii="Times New Roman" w:hAnsi="Times New Roman"/>
          <w:i/>
          <w:color w:val="000000"/>
          <w:sz w:val="22"/>
        </w:rPr>
        <w:t>Act”</w:t>
      </w:r>
      <w:r>
        <w:rPr>
          <w:rFonts w:ascii="Times New Roman" w:hAnsi="Times New Roman"/>
          <w:color w:val="000000"/>
          <w:sz w:val="22"/>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Each Borrower and each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Act.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11.20. </w:t>
      </w:r>
      <w:r>
        <w:rPr>
          <w:rFonts w:ascii="Times New Roman" w:hAnsi="Times New Roman"/>
          <w:b/>
          <w:i/>
          <w:color w:val="000000"/>
          <w:sz w:val="22"/>
        </w:rPr>
        <w:t>ENTIRE AGREEMENT</w:t>
      </w:r>
      <w:r>
        <w:rPr>
          <w:rFonts w:ascii="Times New Roman" w:hAnsi="Times New Roman"/>
          <w:b/>
          <w:color w:val="000000"/>
          <w:sz w:val="22"/>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11.21. Judgment Currency</w:t>
      </w:r>
      <w:r>
        <w:rPr>
          <w:rFonts w:ascii="Times New Roman" w:hAnsi="Times New Roman"/>
          <w:color w:val="000000"/>
          <w:sz w:val="22"/>
        </w:rPr>
        <w:t xml:space="preserve">.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hAnsi="Times New Roman"/>
          <w:color w:val="000000"/>
          <w:sz w:val="20"/>
        </w:rPr>
        <w:t>“</w:t>
      </w:r>
      <w:r>
        <w:rPr>
          <w:rFonts w:ascii="Times New Roman" w:hAnsi="Times New Roman"/>
          <w:i/>
          <w:color w:val="000000"/>
          <w:sz w:val="22"/>
        </w:rPr>
        <w:t>Judgment Currency”</w:t>
      </w:r>
      <w:r>
        <w:rPr>
          <w:rFonts w:ascii="Times New Roman" w:hAnsi="Times New Roman"/>
          <w:color w:val="000000"/>
          <w:sz w:val="22"/>
        </w:rPr>
        <w:t xml:space="preserve">) other than that in which such sum is denominated in accordance with the applicable provisions of this Agreement (the </w:t>
      </w:r>
      <w:r>
        <w:rPr>
          <w:rFonts w:ascii="Times New Roman" w:hAnsi="Times New Roman"/>
          <w:color w:val="000000"/>
          <w:sz w:val="20"/>
        </w:rPr>
        <w:t>“</w:t>
      </w:r>
      <w:r>
        <w:rPr>
          <w:rFonts w:ascii="Times New Roman" w:hAnsi="Times New Roman"/>
          <w:i/>
          <w:color w:val="000000"/>
          <w:sz w:val="22"/>
        </w:rPr>
        <w:t>Agreement Currency”</w:t>
      </w:r>
      <w:r>
        <w:rPr>
          <w:rFonts w:ascii="Times New Roman" w:hAnsi="Times New Roman"/>
          <w:color w:val="000000"/>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11.22. Acknowledgment and Consent to Bail-In of Affected Financial Institutions</w:t>
      </w:r>
      <w:r>
        <w:rPr>
          <w:rFonts w:ascii="Times New Roman" w:hAnsi="Times New Roman"/>
          <w:color w:val="000000"/>
          <w:sz w:val="22"/>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t>
      </w:r>
      <w:r>
        <w:rPr>
          <w:rFonts w:ascii="Times New Roman" w:hAnsi="Times New Roman"/>
          <w:strike/>
          <w:color w:val="FF0000"/>
          <w:sz w:val="22"/>
        </w:rPr>
        <w:t>write-down</w:t>
      </w:r>
      <w:r>
        <w:rPr>
          <w:rFonts w:ascii="Times New Roman" w:hAnsi="Times New Roman"/>
          <w:color w:val="0000FF"/>
          <w:sz w:val="22"/>
          <w:u w:val="single"/>
        </w:rPr>
        <w:t>Write-Down</w:t>
      </w:r>
      <w:r>
        <w:rPr>
          <w:rFonts w:ascii="Times New Roman" w:hAnsi="Times New Roman"/>
          <w:color w:val="0000FF"/>
          <w:sz w:val="20"/>
        </w:rPr>
        <w:t xml:space="preserve"> </w:t>
      </w:r>
      <w:r>
        <w:rPr>
          <w:rFonts w:ascii="Times New Roman" w:hAnsi="Times New Roman"/>
          <w:color w:val="000000"/>
          <w:sz w:val="22"/>
        </w:rPr>
        <w:t xml:space="preserve">and </w:t>
      </w:r>
      <w:r>
        <w:rPr>
          <w:rFonts w:ascii="Times New Roman" w:hAnsi="Times New Roman"/>
          <w:strike/>
          <w:color w:val="FF0000"/>
          <w:sz w:val="22"/>
        </w:rPr>
        <w:t>conversion powers</w:t>
      </w:r>
      <w:r>
        <w:rPr>
          <w:rFonts w:ascii="Times New Roman" w:hAnsi="Times New Roman"/>
          <w:color w:val="0000FF"/>
          <w:sz w:val="22"/>
          <w:u w:val="single"/>
        </w:rPr>
        <w:t>Conversion Powers</w:t>
      </w:r>
      <w:r>
        <w:rPr>
          <w:rFonts w:ascii="Times New Roman" w:hAnsi="Times New Roman"/>
          <w:color w:val="0000FF"/>
          <w:sz w:val="20"/>
        </w:rPr>
        <w:t xml:space="preserve"> </w:t>
      </w:r>
      <w:r>
        <w:rPr>
          <w:rFonts w:ascii="Times New Roman" w:hAnsi="Times New Roman"/>
          <w:color w:val="000000"/>
          <w:sz w:val="22"/>
        </w:rPr>
        <w:t>of the applicable Resolution Authority and agrees and consents to, and acknowledges and agrees to be bound 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the effects of any Bail-</w:t>
      </w:r>
      <w:r>
        <w:rPr>
          <w:rFonts w:ascii="Times New Roman" w:hAnsi="Times New Roman"/>
          <w:strike/>
          <w:color w:val="FF0000"/>
          <w:sz w:val="22"/>
        </w:rPr>
        <w:t>in</w:t>
      </w:r>
      <w:r>
        <w:rPr>
          <w:rFonts w:ascii="Times New Roman" w:hAnsi="Times New Roman"/>
          <w:color w:val="0000FF"/>
          <w:sz w:val="22"/>
          <w:u w:val="single"/>
        </w:rPr>
        <w:t>In</w:t>
      </w:r>
      <w:r>
        <w:rPr>
          <w:color w:val="0000FF"/>
        </w:rPr>
        <w:t xml:space="preserve"> </w:t>
      </w:r>
      <w:r>
        <w:rPr>
          <w:rFonts w:ascii="Times New Roman" w:hAnsi="Times New Roman"/>
          <w:color w:val="000000"/>
          <w:sz w:val="22"/>
        </w:rPr>
        <w:t>Action on any such liability, including, if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reduction in full or in part or cancellation of any such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variation of the terms of such liability in connection with the exercise of the Write-Down and Conversion Powers of the applicable Resolution Authority.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11.23. Acknowledgment Regarding Any Supported QFCs</w:t>
      </w:r>
      <w:r>
        <w:rPr>
          <w:rFonts w:ascii="Times New Roman" w:hAnsi="Times New Roman"/>
          <w:color w:val="000000"/>
          <w:sz w:val="22"/>
        </w:rPr>
        <w:t>. To the extent that the Loan Documents provide support, through a guarantee or otherwise, for any Swap Contract or any other agreement or instrument that is a QFC (such support, “</w:t>
      </w:r>
      <w:r>
        <w:rPr>
          <w:rFonts w:ascii="Times New Roman" w:hAnsi="Times New Roman"/>
          <w:i/>
          <w:color w:val="000000"/>
          <w:sz w:val="22"/>
        </w:rPr>
        <w:t>QFC Credit Support</w:t>
      </w:r>
      <w:r>
        <w:rPr>
          <w:rFonts w:ascii="Times New Roman" w:hAnsi="Times New Roman"/>
          <w:color w:val="000000"/>
          <w:sz w:val="20"/>
        </w:rPr>
        <w:t>”</w:t>
      </w:r>
      <w:r>
        <w:rPr>
          <w:rFonts w:ascii="Times New Roman" w:hAnsi="Times New Roman"/>
          <w:color w:val="000000"/>
          <w:sz w:val="22"/>
        </w:rPr>
        <w:t>, and each such QFC, a “</w:t>
      </w:r>
      <w:r>
        <w:rPr>
          <w:rFonts w:ascii="Times New Roman" w:hAnsi="Times New Roman"/>
          <w:i/>
          <w:color w:val="000000"/>
          <w:sz w:val="22"/>
        </w:rPr>
        <w:t>Supported QFC</w:t>
      </w:r>
      <w:r>
        <w:rPr>
          <w:rFonts w:ascii="Times New Roman" w:hAnsi="Times New Roman"/>
          <w:color w:val="000000"/>
          <w:sz w:val="2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i/>
          <w:color w:val="000000"/>
          <w:sz w:val="22"/>
        </w:rPr>
        <w:t>U.S. Special Resolution Regimes</w:t>
      </w:r>
      <w:r>
        <w:rPr>
          <w:rFonts w:ascii="Times New Roman" w:hAnsi="Times New Roman"/>
          <w:color w:val="000000"/>
          <w:sz w:val="2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the event a Covered Entity that is party to a Supported QFC (each, a “</w:t>
      </w:r>
      <w:r>
        <w:rPr>
          <w:rFonts w:ascii="Times New Roman" w:hAnsi="Times New Roman"/>
          <w:i/>
          <w:color w:val="000000"/>
          <w:sz w:val="22"/>
        </w:rPr>
        <w:t>Covered Party</w:t>
      </w:r>
      <w:r>
        <w:rPr>
          <w:color w:val="00000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As used in this Section 11.23, the following terms have the following meanings: </w:t>
      </w:r>
    </w:p>
    <w:p>
      <w:pPr>
        <w:pStyle w:val="TextBody"/>
        <w:bidi w:val="0"/>
        <w:spacing w:before="240" w:after="283"/>
        <w:jc w:val="both"/>
        <w:rPr>
          <w:color w:val="000000"/>
        </w:rPr>
      </w:pPr>
      <w:r>
        <w:rPr>
          <w:color w:val="000000"/>
        </w:rPr>
        <w:t>“</w:t>
      </w:r>
      <w:r>
        <w:rPr>
          <w:rFonts w:ascii="Times New Roman" w:hAnsi="Times New Roman"/>
          <w:color w:val="000000"/>
          <w:sz w:val="22"/>
        </w:rPr>
        <w:t>BHC Act Affiliate” of a party means an “affiliate” (as such term is defined under, and interpreted in accordance with, 12 U.S.C. 1841(k)) of such party.</w:t>
      </w:r>
    </w:p>
    <w:p>
      <w:pPr>
        <w:pStyle w:val="TextBody"/>
        <w:bidi w:val="0"/>
        <w:spacing w:before="240" w:after="283"/>
        <w:jc w:val="both"/>
        <w:rPr/>
      </w:pPr>
      <w:r>
        <w:rPr>
          <w:color w:val="000000"/>
        </w:rPr>
        <w:t>“</w:t>
      </w:r>
      <w:r>
        <w:rPr>
          <w:rFonts w:ascii="Times New Roman" w:hAnsi="Times New Roman"/>
          <w:i/>
          <w:color w:val="000000"/>
          <w:sz w:val="22"/>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240" w:after="283"/>
        <w:jc w:val="both"/>
        <w:rPr/>
      </w:pPr>
      <w:r>
        <w:rPr>
          <w:color w:val="000000"/>
        </w:rPr>
        <w:t>“</w:t>
      </w:r>
      <w:r>
        <w:rPr>
          <w:rFonts w:ascii="Times New Roman" w:hAnsi="Times New Roman"/>
          <w:i/>
          <w:color w:val="000000"/>
          <w:sz w:val="22"/>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Section 11.24. Subordination. </w:t>
      </w:r>
      <w:r>
        <w:rPr>
          <w:rFonts w:ascii="Times New Roman" w:hAnsi="Times New Roman"/>
          <w:color w:val="000000"/>
          <w:sz w:val="22"/>
        </w:rPr>
        <w:t>Each Loan Party (a “</w:t>
      </w:r>
      <w:r>
        <w:rPr>
          <w:rFonts w:ascii="Times New Roman" w:hAnsi="Times New Roman"/>
          <w:i/>
          <w:color w:val="000000"/>
          <w:sz w:val="22"/>
        </w:rPr>
        <w:t>Subordinating Loan Party</w:t>
      </w:r>
      <w:r>
        <w:rPr>
          <w:rFonts w:ascii="Times New Roman" w:hAnsi="Times New Roman"/>
          <w:color w:val="000000"/>
          <w:sz w:val="20"/>
        </w:rPr>
        <w:t>”</w:t>
      </w:r>
      <w:r>
        <w:rPr>
          <w:rFonts w:ascii="Times New Roman" w:hAnsi="Times New Roman"/>
          <w:color w:val="000000"/>
          <w:sz w:val="22"/>
        </w:rPr>
        <w:t>)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Obligations, but without reducing or affecting in any manner the liability of the Subordinating Loan Party under this Agreement. Without limitation of the foregoing, so long as no Default has occurred and is continuing, the Loan Parties may make and receive payments with respect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Intercompany Debt; </w:t>
      </w:r>
      <w:r>
        <w:rPr>
          <w:rFonts w:ascii="Times New Roman" w:hAnsi="Times New Roman"/>
          <w:i/>
          <w:color w:val="000000"/>
          <w:sz w:val="22"/>
        </w:rPr>
        <w:t>provided</w:t>
      </w:r>
      <w:r>
        <w:rPr>
          <w:rFonts w:ascii="Times New Roman" w:hAnsi="Times New Roman"/>
          <w:color w:val="000000"/>
          <w:sz w:val="22"/>
        </w:rPr>
        <w:t>, that in the event that any Loan Party receives any payment of any Intercompany Debt at a time when such payment is prohibited by this Section 11.24, such payment shall be held by such Loan Party, in trust for the benefit of, and shall be paid forthwith over and delivered, upon written request, to the Administrative Agent.</w:t>
      </w:r>
    </w:p>
    <w:p>
      <w:pPr>
        <w:pStyle w:val="TextBody"/>
        <w:bidi w:val="0"/>
        <w:spacing w:before="240" w:after="283"/>
        <w:jc w:val="both"/>
        <w:rPr>
          <w:rFonts w:ascii="Times New Roman" w:hAnsi="Times New Roman"/>
          <w:sz w:val="20"/>
        </w:rPr>
      </w:pPr>
      <w:r>
        <w:rPr>
          <w:rFonts w:ascii="Times New Roman" w:hAnsi="Times New Roman"/>
          <w:i/>
          <w:color w:val="000000"/>
          <w:sz w:val="22"/>
        </w:rPr>
        <w:t>Section 11.25. Amendment and Restatement; No Novation</w:t>
      </w:r>
      <w:r>
        <w:rPr>
          <w:rFonts w:ascii="Times New Roman" w:hAnsi="Times New Roman"/>
          <w:color w:val="000000"/>
          <w:sz w:val="22"/>
        </w:rPr>
        <w:t>. (a) This Agreement constitutes an amendment and restatement of the Existing Credit Agreement, as amended, effective from and after the Closing Date. The execution and delivery of this Agreement shall not constitute a novation of any debt or other obligations owing to the Lenders or the Administrative Agent under the Existing Credit Agreement or any other Loan Document based on facts or events occurring or existing prior to the execution and delivery of this Agreement. On the Closing Date, the credit facilities described in the Existing Credit Agreement, as amended, shall be amended, supplemented, modified and restated in their entirety by the credit facilities described herein, and all loans and other obligations of the Borrowers outstanding as of such date under the Existing Credit Agreement, as amended, to the extent not repaid in accordance with the terms herein,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Commitments of the Lenders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On the Closing Date, (i) all outstanding loans under the Existing Credit Agreement (</w:t>
      </w:r>
      <w:r>
        <w:rPr>
          <w:color w:val="000000"/>
        </w:rPr>
        <w:t>“</w:t>
      </w:r>
      <w:r>
        <w:rPr>
          <w:rFonts w:ascii="Times New Roman" w:hAnsi="Times New Roman"/>
          <w:i/>
          <w:color w:val="000000"/>
          <w:sz w:val="22"/>
        </w:rPr>
        <w:t>Existing Loans”</w:t>
      </w:r>
      <w:r>
        <w:rPr>
          <w:rFonts w:ascii="Times New Roman" w:hAnsi="Times New Roman"/>
          <w:color w:val="000000"/>
          <w:sz w:val="22"/>
        </w:rPr>
        <w:t xml:space="preserve">) made by any Person that is a “Lender” under the Existing Credit Agreement which is not a Lender hereunder (each, an </w:t>
      </w:r>
      <w:r>
        <w:rPr>
          <w:color w:val="000000"/>
        </w:rPr>
        <w:t>“</w:t>
      </w:r>
      <w:r>
        <w:rPr>
          <w:rFonts w:ascii="Times New Roman" w:hAnsi="Times New Roman"/>
          <w:i/>
          <w:color w:val="000000"/>
          <w:sz w:val="22"/>
        </w:rPr>
        <w:t>Exiting Lender”</w:t>
      </w:r>
      <w:r>
        <w:rPr>
          <w:rFonts w:ascii="Times New Roman" w:hAnsi="Times New Roman"/>
          <w:color w:val="000000"/>
          <w:sz w:val="22"/>
        </w:rPr>
        <w:t>) shall be repaid in full and the commitments and other obligations and rights (except as expressly set forth in the Existing Credit Agreement) of such Exiting Lender shall be terminated, (ii) all outstanding Existing Loans constituting Revolving Credit Loans under the Existing Credit Agreement that are not being repaid under clause (i) above shall be repaid in accordance with Section 4.01(c), if necessary, or if not necessary, be deemed Revolving Credit Loan hereunder in accordance with Section 2.01(b) and the Administrative Agent shall make such transfers of funds as are necessary in order that the outstanding balance of such Revolving Credit Loans, together with any Revolving Credit Loans funded on the Closing Date, are in accordance with the relevant Applicable Percentages of the Lenders hereunder, (iii) [reserved], (iv) there shall have been paid in cash in full all accrued but unpaid interest on the Existing Loans to the Closing Date, (v) there shall have been paid in cash in full all accrued but unpaid fees under the Existing Credit Agreement due to the Closing Date and all other amounts, costs and expenses then owing to any of the Existing Lenders and/or Bank of America, as administrative agent under the Existing Credit Agreement, (vi) all outstanding Letters of Credit under the Existing Credit Agreement shall be Letters of Credit hereunder and (vii) all outstanding promissory notes issued by the Borrowers to the Existing Lenders under the Existing Credit Agreement shall be promptly returned to the Administrative Agent which shall forward such notes to the Borrowers for cancellation and be replaced with amended and restated promissory notes.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In furtherance of the foregoing the parties hereto hereby confirm that each of the Collateral Documents entered into in connection with the Existing Credit Agreement shall continue to be in full force and effect and is hereby in all respects ratified and reaffirmed as if fully restated as of the date hereof by this Credit Agreement; </w:t>
      </w:r>
      <w:r>
        <w:rPr>
          <w:rFonts w:ascii="Times New Roman" w:hAnsi="Times New Roman"/>
          <w:i/>
          <w:color w:val="000000"/>
          <w:sz w:val="22"/>
        </w:rPr>
        <w:t xml:space="preserve">provided </w:t>
      </w:r>
      <w:r>
        <w:rPr>
          <w:rFonts w:ascii="Times New Roman" w:hAnsi="Times New Roman"/>
          <w:color w:val="000000"/>
          <w:sz w:val="22"/>
        </w:rPr>
        <w:t>that: (a) all references therein to the “Credit Agreement” shall be deemed to be references to this Credit Agreement, (b) all references to “Administrative Agent” shall be deemed to be references to Bank of America, N.A., in its capacity as Administrative Agent under this Credit Agreement; and (c) all references to “Lenders” shall be deemed to be references to the Lenders under this Credit Agreement. The Collateral Documents are hereby confirmed, ratified and reaffirmed by this Credit Agreement and shall extend to, and shall secure and guaranty, or continue to secure and guarantee (as the case may be) the Obligations as defined herein and such Collateral Documents shall not be otherwise affected or discharged by the terms of this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center"/>
        <w:rPr>
          <w:rFonts w:ascii="Times New Roman" w:hAnsi="Times New Roman"/>
          <w:sz w:val="20"/>
        </w:rPr>
      </w:pPr>
      <w:r>
        <w:rPr>
          <w:rFonts w:ascii="Times New Roman" w:hAnsi="Times New Roman"/>
          <w:color w:val="000000"/>
          <w:sz w:val="22"/>
        </w:rPr>
        <w:t xml:space="preserve">SIGNATURE PAGES </w:t>
      </w:r>
      <w:r>
        <w:rPr>
          <w:rFonts w:ascii="Times New Roman" w:hAnsi="Times New Roman"/>
          <w:strike/>
          <w:color w:val="FF0000"/>
          <w:sz w:val="22"/>
        </w:rPr>
        <w:t>FOLLOW</w:t>
      </w:r>
      <w:r>
        <w:rPr>
          <w:rFonts w:ascii="Times New Roman" w:hAnsi="Times New Roman"/>
          <w:color w:val="0000FF"/>
          <w:sz w:val="22"/>
          <w:u w:val="single"/>
        </w:rPr>
        <w:t>INTENTIONALLY OMITTED</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360" w:after="283"/>
        <w:jc w:val="center"/>
        <w:rPr>
          <w:rFonts w:ascii="Times New Roman" w:hAnsi="Times New Roman"/>
          <w:b/>
          <w:color w:val="000000"/>
          <w:sz w:val="22"/>
        </w:rPr>
      </w:pPr>
      <w:r>
        <w:rPr>
          <w:rFonts w:ascii="Times New Roman" w:hAnsi="Times New Roman"/>
          <w:b/>
          <w:color w:val="000000"/>
          <w:sz w:val="22"/>
        </w:rPr>
        <w:t>Schedule 2.01 - Commitments and Applicable Percentages</w:t>
      </w:r>
    </w:p>
    <w:p>
      <w:pPr>
        <w:pStyle w:val="TextBody"/>
        <w:bidi w:val="0"/>
        <w:spacing w:before="44" w:after="283"/>
        <w:jc w:val="center"/>
        <w:rPr/>
      </w:pPr>
      <w:r>
        <w:rPr/>
        <w:t> </w:t>
      </w:r>
    </w:p>
    <w:tbl>
      <w:tblPr>
        <w:tblW w:w="6018" w:type="dxa"/>
        <w:jc w:val="left"/>
        <w:tblInd w:w="0" w:type="dxa"/>
        <w:tblLayout w:type="fixed"/>
        <w:tblCellMar>
          <w:top w:w="28" w:type="dxa"/>
          <w:left w:w="28" w:type="dxa"/>
          <w:bottom w:w="28" w:type="dxa"/>
          <w:right w:w="28" w:type="dxa"/>
        </w:tblCellMar>
      </w:tblPr>
      <w:tblGrid>
        <w:gridCol w:w="736"/>
        <w:gridCol w:w="2716"/>
        <w:gridCol w:w="2566"/>
      </w:tblGrid>
      <w:tr>
        <w:trPr/>
        <w:tc>
          <w:tcPr>
            <w:tcW w:w="7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73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Lender</w:t>
            </w:r>
          </w:p>
        </w:tc>
        <w:tc>
          <w:tcPr>
            <w:tcW w:w="27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Revolving Credit Commitment</w:t>
            </w:r>
          </w:p>
        </w:tc>
        <w:tc>
          <w:tcPr>
            <w:tcW w:w="25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Revolving Credit Applicable</w:t>
            </w:r>
          </w:p>
          <w:p>
            <w:pPr>
              <w:pStyle w:val="TableContents"/>
              <w:bidi w:val="0"/>
              <w:spacing w:before="0" w:after="80"/>
              <w:jc w:val="center"/>
              <w:rPr>
                <w:rFonts w:ascii="Times New Roman" w:hAnsi="Times New Roman"/>
                <w:b/>
                <w:color w:val="000000"/>
                <w:sz w:val="20"/>
              </w:rPr>
            </w:pPr>
            <w:r>
              <w:rPr>
                <w:rFonts w:ascii="Times New Roman" w:hAnsi="Times New Roman"/>
                <w:b/>
                <w:color w:val="000000"/>
                <w:sz w:val="20"/>
              </w:rPr>
              <w:t>Percentage</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left"/>
              <w:rPr/>
            </w:pPr>
            <w:r>
              <w:rPr/>
              <w:t> </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left"/>
              <w:rPr/>
            </w:pPr>
            <w:r>
              <w:rPr/>
              <w:t> </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left"/>
              <w:rPr/>
            </w:pPr>
            <w:r>
              <w:rPr/>
              <w:t> </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left"/>
              <w:rPr/>
            </w:pPr>
            <w:r>
              <w:rPr/>
              <w:t> </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left"/>
              <w:rPr/>
            </w:pPr>
            <w:r>
              <w:rPr/>
              <w:t> </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pPr>
            <w:r>
              <w:rPr/>
              <w:t> </w:t>
            </w:r>
          </w:p>
        </w:tc>
      </w:tr>
      <w:tr>
        <w:trPr/>
        <w:tc>
          <w:tcPr>
            <w:tcW w:w="73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Total</w:t>
            </w:r>
          </w:p>
        </w:tc>
        <w:tc>
          <w:tcPr>
            <w:tcW w:w="2716"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$225,000,000.00</w:t>
            </w:r>
          </w:p>
        </w:tc>
        <w:tc>
          <w:tcPr>
            <w:tcW w:w="2566"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100.000000000%</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Schedule 5.09 (Environmental Matters)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Schedule 5.17 (Intellectual Property Matters)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Schedule 7.02 (Existing Indebtedness)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360" w:after="283"/>
        <w:jc w:val="center"/>
        <w:rPr>
          <w:rFonts w:ascii="Times New Roman" w:hAnsi="Times New Roman"/>
          <w:b/>
          <w:color w:val="000000"/>
          <w:sz w:val="22"/>
        </w:rPr>
      </w:pPr>
      <w:r>
        <w:rPr>
          <w:rFonts w:ascii="Times New Roman" w:hAnsi="Times New Roman"/>
          <w:b/>
          <w:color w:val="000000"/>
          <w:sz w:val="22"/>
        </w:rPr>
        <w:t>Schedule 7.09 (Burdensome Agreements)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Heading2"/>
        <w:bidi w:val="0"/>
        <w:jc w:val="center"/>
        <w:rPr>
          <w:rFonts w:ascii="Times New Roman" w:hAnsi="Times New Roman"/>
          <w:color w:val="000000"/>
          <w:sz w:val="22"/>
        </w:rPr>
      </w:pPr>
      <w:r>
        <w:rPr>
          <w:rFonts w:ascii="Times New Roman" w:hAnsi="Times New Roman"/>
          <w:color w:val="000000"/>
          <w:sz w:val="22"/>
        </w:rPr>
        <w:t>AMENDMENT NO. 1 TO THIRD AMENDED AND RESTATED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Schedule 11.02 (Administrative Agent’s Office, Certain Addresses for Notices)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center"/>
        <w:rPr>
          <w:rFonts w:ascii="Times New Roman" w:hAnsi="Times New Roman"/>
          <w:color w:val="000000"/>
          <w:sz w:val="22"/>
        </w:rPr>
      </w:pPr>
      <w:r>
        <w:rPr>
          <w:rFonts w:ascii="Times New Roman" w:hAnsi="Times New Roman"/>
          <w:color w:val="000000"/>
          <w:sz w:val="22"/>
        </w:rPr>
        <w:t>EXHIBIT C</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TextBody"/>
        <w:bidi w:val="0"/>
        <w:jc w:val="center"/>
        <w:rPr>
          <w:rFonts w:ascii="Times New Roman" w:hAnsi="Times New Roman"/>
          <w:b/>
          <w:color w:val="000000"/>
          <w:sz w:val="22"/>
        </w:rPr>
      </w:pPr>
      <w:r>
        <w:rPr>
          <w:rFonts w:ascii="Times New Roman" w:hAnsi="Times New Roman"/>
          <w:b/>
          <w:color w:val="000000"/>
          <w:sz w:val="22"/>
        </w:rPr>
        <w:t>AMENDMENT NO. 1 TO THIRD AMENDED AND RESTATED CREDIT AGREEMENT</w:t>
      </w:r>
    </w:p>
    <w:p>
      <w:pPr>
        <w:pStyle w:val="Heading1"/>
        <w:bidi w:val="0"/>
        <w:spacing w:before="360" w:after="283"/>
        <w:jc w:val="center"/>
        <w:rPr>
          <w:rFonts w:ascii="Times New Roman" w:hAnsi="Times New Roman"/>
          <w:color w:val="000000"/>
          <w:sz w:val="22"/>
        </w:rPr>
      </w:pPr>
      <w:r>
        <w:rPr>
          <w:rFonts w:ascii="Times New Roman" w:hAnsi="Times New Roman"/>
          <w:color w:val="000000"/>
          <w:sz w:val="22"/>
        </w:rPr>
        <w:t>Exhibit D (Form of Compliance Certificate) of the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 w:name="diod-ex10_2.htm"/>
      <w:bookmarkStart w:id="7" w:name="ksdiodex10_2"/>
      <w:bookmarkEnd w:id="6"/>
      <w:bookmarkEnd w:id="7"/>
      <w:r>
        <w:rPr>
          <w:rFonts w:ascii="Times New Roman" w:hAnsi="Times New Roman"/>
          <w:b/>
          <w:color w:val="000000"/>
          <w:sz w:val="20"/>
        </w:rPr>
        <w:t>Exhibit 10.2</w:t>
      </w:r>
      <w:r>
        <w:br w:type="page"/>
      </w:r>
    </w:p>
    <w:p>
      <w:pPr>
        <w:pStyle w:val="TextBody"/>
        <w:bidi w:val="0"/>
        <w:spacing w:before="200" w:after="283"/>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DEALER</w:t>
      </w:r>
      <w:r>
        <w:rPr>
          <w:rFonts w:ascii="Times New Roman" w:hAnsi="Times New Roman"/>
          <w:color w:val="000000"/>
          <w:sz w:val="20"/>
        </w:rPr>
        <w:t>]</w:t>
      </w:r>
    </w:p>
    <w:p>
      <w:pPr>
        <w:pStyle w:val="TextBody"/>
        <w:bidi w:val="0"/>
        <w:spacing w:before="200" w:after="283"/>
        <w:jc w:val="right"/>
        <w:rPr>
          <w:rFonts w:ascii="Times New Roman" w:hAnsi="Times New Roman"/>
          <w:color w:val="000000"/>
          <w:sz w:val="20"/>
        </w:rPr>
      </w:pPr>
      <w:r>
        <w:rPr>
          <w:rFonts w:ascii="Times New Roman" w:hAnsi="Times New Roman"/>
          <w:color w:val="000000"/>
          <w:sz w:val="20"/>
        </w:rPr>
        <w:t>[__], 2026</w:t>
      </w:r>
    </w:p>
    <w:p>
      <w:pPr>
        <w:pStyle w:val="TextBody"/>
        <w:bidi w:val="0"/>
        <w:jc w:val="left"/>
        <w:rPr/>
      </w:pPr>
      <w:r>
        <w:rPr/>
        <w:t> </w:t>
      </w:r>
    </w:p>
    <w:tbl>
      <w:tblPr>
        <w:tblW w:w="4127" w:type="dxa"/>
        <w:jc w:val="left"/>
        <w:tblInd w:w="0" w:type="dxa"/>
        <w:tblLayout w:type="fixed"/>
        <w:tblCellMar>
          <w:top w:w="28" w:type="dxa"/>
          <w:left w:w="28" w:type="dxa"/>
          <w:bottom w:w="28" w:type="dxa"/>
          <w:right w:w="28" w:type="dxa"/>
        </w:tblCellMar>
      </w:tblPr>
      <w:tblGrid>
        <w:gridCol w:w="406"/>
        <w:gridCol w:w="3721"/>
      </w:tblGrid>
      <w:tr>
        <w:trPr/>
        <w:tc>
          <w:tcPr>
            <w:tcW w:w="40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w:t>
            </w:r>
          </w:p>
        </w:tc>
        <w:tc>
          <w:tcPr>
            <w:tcW w:w="37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Diodes Incorporated</w:t>
            </w:r>
          </w:p>
          <w:p>
            <w:pPr>
              <w:pStyle w:val="TableContents"/>
              <w:bidi w:val="0"/>
              <w:jc w:val="left"/>
              <w:rPr>
                <w:rFonts w:ascii="Times New Roman" w:hAnsi="Times New Roman"/>
                <w:color w:val="000000"/>
                <w:sz w:val="20"/>
              </w:rPr>
            </w:pPr>
            <w:r>
              <w:rPr>
                <w:rFonts w:ascii="Times New Roman" w:hAnsi="Times New Roman"/>
                <w:color w:val="000000"/>
                <w:sz w:val="20"/>
              </w:rPr>
              <w:t>4949 Hedgcoxe Road, Suite 200</w:t>
            </w:r>
          </w:p>
          <w:p>
            <w:pPr>
              <w:pStyle w:val="TableContents"/>
              <w:bidi w:val="0"/>
              <w:jc w:val="left"/>
              <w:rPr>
                <w:rFonts w:ascii="Times New Roman" w:hAnsi="Times New Roman"/>
                <w:color w:val="000000"/>
                <w:sz w:val="20"/>
              </w:rPr>
            </w:pPr>
            <w:r>
              <w:rPr>
                <w:rFonts w:ascii="Times New Roman" w:hAnsi="Times New Roman"/>
                <w:color w:val="000000"/>
                <w:sz w:val="20"/>
              </w:rPr>
              <w:t>Plano, Texas 75024</w:t>
            </w:r>
          </w:p>
          <w:p>
            <w:pPr>
              <w:pStyle w:val="TableContents"/>
              <w:bidi w:val="0"/>
              <w:jc w:val="left"/>
              <w:rPr>
                <w:rFonts w:ascii="Times New Roman" w:hAnsi="Times New Roman"/>
                <w:color w:val="000000"/>
                <w:sz w:val="20"/>
              </w:rPr>
            </w:pPr>
            <w:r>
              <w:rPr>
                <w:rFonts w:ascii="Times New Roman" w:hAnsi="Times New Roman"/>
                <w:color w:val="000000"/>
                <w:sz w:val="20"/>
              </w:rPr>
              <w:t>Attention: [____________]</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Email: [____________]</w:t>
            </w:r>
          </w:p>
        </w:tc>
      </w:tr>
      <w:tr>
        <w:trPr/>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[Additional] Call Option Transaction</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purpose of this communication (this “</w:t>
      </w:r>
      <w:r>
        <w:rPr>
          <w:rFonts w:ascii="Times New Roman" w:hAnsi="Times New Roman"/>
          <w:b/>
          <w:color w:val="000000"/>
          <w:sz w:val="20"/>
        </w:rPr>
        <w:t>Confirmation</w:t>
      </w:r>
      <w:r>
        <w:rPr>
          <w:rFonts w:ascii="Times New Roman" w:hAnsi="Times New Roman"/>
          <w:color w:val="000000"/>
          <w:sz w:val="20"/>
        </w:rPr>
        <w:t>”) is to set forth the terms and conditions of the call option transaction entered into on the Trade Date specified below (the “</w:t>
      </w:r>
      <w:r>
        <w:rPr>
          <w:rFonts w:ascii="Times New Roman" w:hAnsi="Times New Roman"/>
          <w:b/>
          <w:color w:val="000000"/>
          <w:sz w:val="20"/>
        </w:rPr>
        <w:t>Transaction</w:t>
      </w:r>
      <w:r>
        <w:rPr>
          <w:rFonts w:ascii="Times New Roman" w:hAnsi="Times New Roman"/>
          <w:color w:val="000000"/>
          <w:sz w:val="20"/>
        </w:rPr>
        <w:t>”) between [</w:t>
      </w:r>
      <w:r>
        <w:rPr>
          <w:rFonts w:ascii="Times New Roman" w:hAnsi="Times New Roman"/>
          <w:i/>
          <w:color w:val="000000"/>
          <w:sz w:val="20"/>
        </w:rPr>
        <w:t>Dealer</w:t>
      </w:r>
      <w:r>
        <w:rPr>
          <w:rFonts w:ascii="Times New Roman" w:hAnsi="Times New Roman"/>
          <w:color w:val="000000"/>
          <w:sz w:val="20"/>
        </w:rPr>
        <w:t>] (“</w:t>
      </w:r>
      <w:r>
        <w:rPr>
          <w:rFonts w:ascii="Times New Roman" w:hAnsi="Times New Roman"/>
          <w:b/>
          <w:color w:val="000000"/>
          <w:sz w:val="20"/>
        </w:rPr>
        <w:t>Dealer</w:t>
      </w:r>
      <w:r>
        <w:rPr>
          <w:rFonts w:ascii="Times New Roman" w:hAnsi="Times New Roman"/>
          <w:color w:val="000000"/>
          <w:sz w:val="20"/>
        </w:rPr>
        <w:t>”) and Diodes Incorporated (“</w:t>
      </w:r>
      <w:r>
        <w:rPr>
          <w:rFonts w:ascii="Times New Roman" w:hAnsi="Times New Roman"/>
          <w:b/>
          <w:color w:val="000000"/>
          <w:sz w:val="20"/>
        </w:rPr>
        <w:t>Counterparty</w:t>
      </w:r>
      <w:r>
        <w:rPr>
          <w:rFonts w:ascii="Times New Roman" w:hAnsi="Times New Roman"/>
          <w:color w:val="000000"/>
          <w:sz w:val="20"/>
        </w:rPr>
        <w:t xml:space="preserve">”). This communication constitutes a “Confirmation” as referred to in the Agreement specified below.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pPr>
      <w:r>
        <w:rPr>
          <w:rFonts w:ascii="Times New Roman" w:hAnsi="Times New Roman"/>
          <w:color w:val="000000"/>
          <w:sz w:val="20"/>
        </w:rPr>
        <w:t>This Confirmation is subject to, and incorporates, the definitions and provisions of the 2006 ISDA Definitions (the “</w:t>
      </w:r>
      <w:r>
        <w:rPr>
          <w:rFonts w:ascii="Times New Roman" w:hAnsi="Times New Roman"/>
          <w:b/>
          <w:color w:val="000000"/>
          <w:sz w:val="20"/>
        </w:rPr>
        <w:t>2006 Definitions</w:t>
      </w:r>
      <w:r>
        <w:rPr>
          <w:color w:val="000000"/>
        </w:rPr>
        <w:t>”</w:t>
      </w:r>
      <w:r>
        <w:rPr>
          <w:rFonts w:ascii="Times New Roman" w:hAnsi="Times New Roman"/>
          <w:color w:val="000000"/>
          <w:sz w:val="20"/>
        </w:rPr>
        <w:t>) and the definitions and provisions of the 2002 ISDA Equity Derivatives Definitions (the “</w:t>
      </w:r>
      <w:r>
        <w:rPr>
          <w:rFonts w:ascii="Times New Roman" w:hAnsi="Times New Roman"/>
          <w:b/>
          <w:color w:val="000000"/>
          <w:sz w:val="20"/>
        </w:rPr>
        <w:t>Equity Definitions</w:t>
      </w:r>
      <w:r>
        <w:rPr>
          <w:color w:val="000000"/>
        </w:rPr>
        <w:t>”</w:t>
      </w:r>
      <w:r>
        <w:rPr>
          <w:rFonts w:ascii="Times New Roman" w:hAnsi="Times New Roman"/>
          <w:color w:val="000000"/>
          <w:sz w:val="20"/>
        </w:rPr>
        <w:t>, and together with the 2006 Definitions, the “</w:t>
      </w:r>
      <w:r>
        <w:rPr>
          <w:rFonts w:ascii="Times New Roman" w:hAnsi="Times New Roman"/>
          <w:b/>
          <w:color w:val="000000"/>
          <w:sz w:val="20"/>
        </w:rPr>
        <w:t>Definitions</w:t>
      </w:r>
      <w:r>
        <w:rPr>
          <w:color w:val="000000"/>
        </w:rPr>
        <w:t>”</w:t>
      </w:r>
      <w:r>
        <w:rPr>
          <w:rFonts w:ascii="Times New Roman" w:hAnsi="Times New Roman"/>
          <w:color w:val="000000"/>
          <w:sz w:val="20"/>
        </w:rPr>
        <w:t>), in each case as published by the International Swaps and Derivatives Association, Inc. (“</w:t>
      </w:r>
      <w:r>
        <w:rPr>
          <w:rFonts w:ascii="Times New Roman" w:hAnsi="Times New Roman"/>
          <w:b/>
          <w:color w:val="000000"/>
          <w:sz w:val="20"/>
        </w:rPr>
        <w:t>ISDA</w:t>
      </w:r>
      <w:r>
        <w:rPr>
          <w:color w:val="000000"/>
        </w:rPr>
        <w:t>”</w:t>
      </w:r>
      <w:r>
        <w:rPr>
          <w:rFonts w:ascii="Times New Roman" w:hAnsi="Times New Roman"/>
          <w:color w:val="000000"/>
          <w:sz w:val="20"/>
        </w:rPr>
        <w:t>). Certain defined terms used herein have the meanings assigned to them in the Offering Memorandum dated [</w:t>
      </w:r>
      <w:r>
        <w:rPr>
          <w:color w:val="000000"/>
        </w:rPr>
        <w:t></w:t>
      </w:r>
      <w:r>
        <w:rPr>
          <w:rFonts w:ascii="Times New Roman" w:hAnsi="Times New Roman"/>
          <w:color w:val="000000"/>
          <w:sz w:val="20"/>
        </w:rPr>
        <w:t>], 2026 (the “</w:t>
      </w:r>
      <w:r>
        <w:rPr>
          <w:rFonts w:ascii="Times New Roman" w:hAnsi="Times New Roman"/>
          <w:b/>
          <w:color w:val="000000"/>
          <w:sz w:val="20"/>
        </w:rPr>
        <w:t>Offering Memorandum</w:t>
      </w:r>
      <w:r>
        <w:rPr>
          <w:color w:val="000000"/>
        </w:rPr>
        <w:t>”</w:t>
      </w:r>
      <w:r>
        <w:rPr>
          <w:rFonts w:ascii="Times New Roman" w:hAnsi="Times New Roman"/>
          <w:color w:val="000000"/>
          <w:sz w:val="20"/>
        </w:rPr>
        <w:t>) relating to the USD [___________] principal amount of [</w:t>
      </w:r>
      <w:r>
        <w:rPr>
          <w:color w:val="000000"/>
        </w:rPr>
        <w:t></w:t>
      </w:r>
      <w:r>
        <w:rPr>
          <w:rFonts w:ascii="Times New Roman" w:hAnsi="Times New Roman"/>
          <w:color w:val="000000"/>
          <w:sz w:val="20"/>
        </w:rPr>
        <w:t>]% Convertible Senior Notes due 2031 (the “</w:t>
      </w:r>
      <w:r>
        <w:rPr>
          <w:rFonts w:ascii="Times New Roman" w:hAnsi="Times New Roman"/>
          <w:b/>
          <w:color w:val="000000"/>
          <w:sz w:val="20"/>
        </w:rPr>
        <w:t>Base Convertible Securities</w:t>
      </w:r>
      <w:r>
        <w:rPr>
          <w:color w:val="000000"/>
        </w:rPr>
        <w:t>”</w:t>
      </w:r>
      <w:r>
        <w:rPr>
          <w:rFonts w:ascii="Times New Roman" w:hAnsi="Times New Roman"/>
          <w:color w:val="000000"/>
          <w:sz w:val="20"/>
        </w:rPr>
        <w:t>) issued by Counterparty (as increased by [up to] an additional USD [___________] principal amount of [</w:t>
      </w:r>
      <w:r>
        <w:rPr>
          <w:color w:val="000000"/>
        </w:rPr>
        <w:t></w:t>
      </w:r>
      <w:r>
        <w:rPr>
          <w:rFonts w:ascii="Times New Roman" w:hAnsi="Times New Roman"/>
          <w:color w:val="000000"/>
          <w:sz w:val="20"/>
        </w:rPr>
        <w:t>]% Convertible Senior Notes due 2031 [that may be] issued pursuant to the option to purchase additional convertible securities [exercised on the date hereof] (the “</w:t>
      </w:r>
      <w:r>
        <w:rPr>
          <w:rFonts w:ascii="Times New Roman" w:hAnsi="Times New Roman"/>
          <w:b/>
          <w:color w:val="000000"/>
          <w:sz w:val="20"/>
        </w:rPr>
        <w:t>Optional Convertible Securities</w:t>
      </w:r>
      <w:r>
        <w:rPr>
          <w:color w:val="000000"/>
        </w:rPr>
        <w:t xml:space="preserve">” </w:t>
      </w:r>
      <w:r>
        <w:rPr>
          <w:rFonts w:ascii="Times New Roman" w:hAnsi="Times New Roman"/>
          <w:color w:val="000000"/>
          <w:sz w:val="20"/>
        </w:rPr>
        <w:t>and, together with the Base Convertible Securities, the “</w:t>
      </w:r>
      <w:r>
        <w:rPr>
          <w:rFonts w:ascii="Times New Roman" w:hAnsi="Times New Roman"/>
          <w:b/>
          <w:color w:val="000000"/>
          <w:sz w:val="20"/>
        </w:rPr>
        <w:t>Convertible Securities</w:t>
      </w:r>
      <w:r>
        <w:rPr>
          <w:color w:val="000000"/>
        </w:rPr>
        <w:t>”</w:t>
      </w:r>
      <w:r>
        <w:rPr>
          <w:rFonts w:ascii="Times New Roman" w:hAnsi="Times New Roman"/>
          <w:color w:val="000000"/>
          <w:sz w:val="20"/>
        </w:rPr>
        <w:t>)) pursuant to an Indenture [to be] dated [</w:t>
      </w:r>
      <w:r>
        <w:rPr>
          <w:color w:val="000000"/>
        </w:rPr>
        <w:t></w:t>
      </w:r>
      <w:r>
        <w:rPr>
          <w:rFonts w:ascii="Times New Roman" w:hAnsi="Times New Roman"/>
          <w:color w:val="000000"/>
          <w:sz w:val="20"/>
        </w:rPr>
        <w:t>], 2026 between Counterparty and U.S. Bank Trust Company, National Association, as trustee (the “</w:t>
      </w:r>
      <w:r>
        <w:rPr>
          <w:rFonts w:ascii="Times New Roman" w:hAnsi="Times New Roman"/>
          <w:b/>
          <w:color w:val="000000"/>
          <w:sz w:val="20"/>
        </w:rPr>
        <w:t>Indenture</w:t>
      </w:r>
      <w:r>
        <w:rPr>
          <w:color w:val="000000"/>
        </w:rPr>
        <w:t>”</w:t>
      </w:r>
      <w:r>
        <w:rPr>
          <w:rFonts w:ascii="Times New Roman" w:hAnsi="Times New Roman"/>
          <w:color w:val="000000"/>
          <w:sz w:val="20"/>
        </w:rPr>
        <w:t xml:space="preserve">). In the event of any inconsistency between the terms defined in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[For the avoidance of doubt, subject to the foregoing, references herein to sections of the Indenture are based on the draft of the Indenture most recently reviewed by the parties at the time of execution of this Confirmation. If any relevant sections of the Indenture are changed, added or renumbered between the execution of this Confirmation and the execution of the Indenture, the parties will amend this Confirmation in good faith and in a commercially reasonable manner to preserve the economic intent of the parties as evidenced by such draft of the Indenture. In addition, subject to the foregoing, the] [The] parties acknowledge that references to the Indenture herein are references to the Indenture [as of its date of execution] [as in effect on the date hereof] and if the Indenture is, or the Convertible Securities are, amended, modified or supplemented following the date hereof or the date of their execution, respectively, any such amendment, modification or supplement (other than any amendment, modification or supplement (i) pursuant to Section 14.07 of the Indenture, subject to the provisions opposite the caption “Counterparty Discretionary Adjustments” in Section 2 hereof, or (ii) pursuant to Section 10.01(h) of the Indenture that, as determined by the Calculation Agent in good faith and in a commercially reasonable manner, conforms the Indenture to the description of Convertible Securities in the Offering Memorandum) will be disregarded for purposes of this Confirmation unless the parties agree otherwise in writing.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240" w:after="283"/>
        <w:jc w:val="both"/>
        <w:rPr>
          <w:rFonts w:ascii="Times New Roman" w:hAnsi="Times New Roman"/>
          <w:sz w:val="20"/>
        </w:rPr>
      </w:pPr>
      <w:r>
        <w:rPr>
          <w:rFonts w:ascii="Times New Roman" w:hAnsi="Times New Roman"/>
          <w:color w:val="000000"/>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 w:hAnsi="Times New Roman"/>
          <w:b/>
          <w:color w:val="000000"/>
          <w:sz w:val="20"/>
        </w:rPr>
        <w:t>Agreement</w:t>
      </w:r>
      <w:r>
        <w:rPr>
          <w:rFonts w:ascii="Times New Roman" w:hAnsi="Times New Roman"/>
          <w:color w:val="000000"/>
          <w:sz w:val="20"/>
        </w:rPr>
        <w:t>”) in the form of the 2002 ISDA Master Agreement as if Dealer and Counterparty had executed an agreement in such form on the date hereof (but without any Schedule except for (i) the election of US Dollars (“</w:t>
      </w:r>
      <w:r>
        <w:rPr>
          <w:rFonts w:ascii="Times New Roman" w:hAnsi="Times New Roman"/>
          <w:b/>
          <w:color w:val="000000"/>
          <w:sz w:val="20"/>
        </w:rPr>
        <w:t>USD</w:t>
      </w:r>
      <w:r>
        <w:rPr>
          <w:rFonts w:ascii="Times New Roman" w:hAnsi="Times New Roman"/>
          <w:color w:val="000000"/>
          <w:sz w:val="20"/>
        </w:rPr>
        <w:t>”) as the Termination Currency; (ii) the election of the laws of the State of New York as the governing law (without reference to choice of law doctrine); [(iii) the designation of an executed guarantee of [__________] (“</w:t>
      </w:r>
      <w:r>
        <w:rPr>
          <w:rFonts w:ascii="Times New Roman" w:hAnsi="Times New Roman"/>
          <w:b/>
          <w:color w:val="000000"/>
          <w:sz w:val="20"/>
        </w:rPr>
        <w:t>Guarantor</w:t>
      </w:r>
      <w:r>
        <w:rPr>
          <w:rFonts w:ascii="Times New Roman" w:hAnsi="Times New Roman"/>
          <w:color w:val="000000"/>
          <w:sz w:val="20"/>
        </w:rPr>
        <w:t xml:space="preserve">”) dated on or around the Trade Date in customary form as a Credit Support Document in relation to Dealer, (iv) the designation of Guarantor as Credit Support Provider in relation to Dealer;] [(v)][(iii)] the election that the “Cross-Default” provisions of Section 5(a)(vi) of the Agreement shall not apply to Counterparty and shall apply to Dealer with a “Threshold Amount” of three percent of Dealer’s [ultimate parent’s] shareholders’ equity; </w:t>
      </w:r>
      <w:r>
        <w:rPr>
          <w:rFonts w:ascii="Times New Roman" w:hAnsi="Times New Roman"/>
          <w:i/>
          <w:color w:val="000000"/>
          <w:sz w:val="20"/>
        </w:rPr>
        <w:t>provided</w:t>
      </w:r>
      <w:r>
        <w:rPr>
          <w:rFonts w:ascii="Times New Roman" w:hAnsi="Times New Roman"/>
          <w:color w:val="000000"/>
          <w:sz w:val="20"/>
        </w:rPr>
        <w:t xml:space="preserve"> that (A) “Specified Indebtedness” shall not include obligations in respect of deposits received in the ordinary course of Dealer’s [or Guarantor’s] banking business, (B) the phrase “or becoming capable at such time of being declared” shall be deleted from clause (1) of such Section 5(a)(vi) and (C)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[(vi)][(iv)] following the payment of the Premium, the condition precedent in Section 2(a)(iii) of the Agreement with respect to Events of Default or Potential Events of Default shall not apply to a payment or delivery owing by Dealer to Counterparty) and [(vii)(v)] the “Default Under Specified Transaction” provision under Section 5(a)(v) of the Agreement shall not apply to Counterparty.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Transaction constitutes a Share Option Transaction for purposes of the Equity Definitions. The terms of the particular Transaction to which this Confirmation relates are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Terms: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529"/>
        <w:gridCol w:w="8515"/>
      </w:tblGrid>
      <w:tr>
        <w:trPr/>
        <w:tc>
          <w:tcPr>
            <w:tcW w:w="16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851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Date:</w:t>
            </w:r>
          </w:p>
        </w:tc>
        <w:tc>
          <w:tcPr>
            <w:tcW w:w="85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[__], 2026</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Effective Date: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closing date of the [initial] issuance of the Convertible Securities [issued pursuant to the option to purchase additional Convertible Securities exercised on the date hereof].</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Option Style: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Modified American, as described under “Procedures for Exercise” below.</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Option Type: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Call</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Seller:</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Dealer</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Buyer:</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Counterparty</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Shares:</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Common Stock of Counterparty, par value USD 0.66 2/3 per share (Ticker Symbol: “DIOD”).</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Number of Options:</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[The number of Base Convertible Securities in denominations of USD 1,000 principal amount issued by Counterparty on the closing date for the initial issuance of the Convertible Securities.] [The number of Optional Convertible Securities in denominations of USD 1,000 principal amount purchased by the “Initial Purchasers” (as defined in the Purchase Agreement (as defined below)), at their option pursuant to Section 2(b) of the Purchase Agreement.] For the avoidance of doubt, the Number of Options outstanding shall be reduced by each exercise of Options hereunder. In no event will the Number of Options be less than zero.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Applicable Percentage: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[__]%</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Option Entitlement:</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 number equal to the product of the Applicable Percentage and [_____]</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Make-Whole Fundamental Change </w:t>
            </w:r>
          </w:p>
        </w:tc>
        <w:tc>
          <w:tcPr>
            <w:tcW w:w="8515"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Adjustment:</w:t>
            </w:r>
          </w:p>
        </w:tc>
        <w:tc>
          <w:tcPr>
            <w:tcW w:w="85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adjustment to the “Conversion Rate” (as defined in the Indenture) pursuant to Section 14.03 of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Discretionary Anti-Dilution Adjustment:</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Any adjustment to the “Conversion Rate” (as defined in the Indenture) pursuant to Section 14.04(g) of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Strike Price: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 [_____]</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Cap Price:</w:t>
            </w:r>
          </w:p>
        </w:tc>
        <w:tc>
          <w:tcPr>
            <w:tcW w:w="85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 [_____]</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Rounding of Strike Price/</w:t>
            </w:r>
          </w:p>
        </w:tc>
        <w:tc>
          <w:tcPr>
            <w:tcW w:w="8515"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52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Cap Price/Option Entitlement:</w:t>
            </w:r>
          </w:p>
        </w:tc>
        <w:tc>
          <w:tcPr>
            <w:tcW w:w="85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 connection with any adjustment to the Option Entitlement hereunder, the Option Entitlement shall be rounded by the Calculation Agent to the nearest one-ten thousandth (1/10,000th) of a Share. In connection with any adjustment to the Strike Price or Cap Price hereunder, the Stike Price or the Cap Price, as the case may be, shall be rounded by the Calculation Agent to the nearest USD 0.0001. </w:t>
            </w:r>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115"/>
        <w:gridCol w:w="8929"/>
      </w:tblGrid>
      <w:tr>
        <w:trPr/>
        <w:tc>
          <w:tcPr>
            <w:tcW w:w="16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Number of Shares:</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As of any date, a number of Shares equal to the product of the Number of Options and the Option Entitlement.</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Premium:</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USD [_____]</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Premium Payment Date:</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Effective Date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Exchange:</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Nasdaq Global Select Market</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Related Exchange:</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All Exchanges</w:t>
            </w:r>
          </w:p>
        </w:tc>
      </w:tr>
      <w:tr>
        <w:trPr/>
        <w:tc>
          <w:tcPr>
            <w:tcW w:w="1276"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Procedures for Exercise:</w:t>
            </w:r>
          </w:p>
        </w:tc>
        <w:tc>
          <w:tcPr>
            <w:tcW w:w="8929"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Exercise Dates:</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Each Conversion Date.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Conversion Date:</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[With respect to any conversion of a Convertible Security (other than (x) any conversion of Convertible Securities with a “Conversion Date” (as defined in the Indenture) occurring prior to the Free Convertibility Date or (y) any conversion of Convertible Securities in respect of which holder(s) of such Convertible Securities would be entitled to an increase in the Conversion Rate pursuant to a Make-Whole Fundamental Change Adjustment (any conversion described in clause (x) or clause (y), an “</w:t>
            </w:r>
            <w:r>
              <w:rPr>
                <w:rFonts w:ascii="Times New Roman" w:hAnsi="Times New Roman"/>
                <w:b/>
                <w:color w:val="000000"/>
                <w:sz w:val="20"/>
              </w:rPr>
              <w:t>Early Conversion</w:t>
            </w:r>
            <w:r>
              <w:rPr>
                <w:rFonts w:ascii="Times New Roman" w:hAnsi="Times New Roman"/>
                <w:color w:val="000000"/>
                <w:sz w:val="20"/>
              </w:rPr>
              <w:t xml:space="preserve">”), to which the provisions of Section 8(b)(iii) of this Confirmation shall apply), the “Conversion Date” (as defined in the Indenture); </w:t>
            </w:r>
            <w:r>
              <w:rPr>
                <w:rFonts w:ascii="Times New Roman" w:hAnsi="Times New Roman"/>
                <w:i/>
                <w:color w:val="000000"/>
                <w:sz w:val="20"/>
              </w:rPr>
              <w:t xml:space="preserve">provided </w:t>
            </w:r>
            <w:r>
              <w:rPr>
                <w:rFonts w:ascii="Times New Roman" w:hAnsi="Times New Roman"/>
                <w:color w:val="000000"/>
                <w:sz w:val="20"/>
              </w:rPr>
              <w:t>that no Conversion Date shall be deemed to have occurred with respect to Exchanged Securities (such Convertible Securities, other than Exchanged Securities, the “</w:t>
            </w:r>
            <w:r>
              <w:rPr>
                <w:rFonts w:ascii="Times New Roman" w:hAnsi="Times New Roman"/>
                <w:b/>
                <w:color w:val="000000"/>
                <w:sz w:val="20"/>
              </w:rPr>
              <w:t>Relevant Convertible Securities</w:t>
            </w:r>
            <w:r>
              <w:rPr>
                <w:rFonts w:ascii="Times New Roman" w:hAnsi="Times New Roman"/>
                <w:color w:val="000000"/>
                <w:sz w:val="20"/>
              </w:rPr>
              <w:t xml:space="preserve">” for such Conversion Date).]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5" w:type="dxa"/>
            <w:tcBorders/>
            <w:tcMar>
              <w:top w:w="0" w:type="dxa"/>
              <w:left w:w="0" w:type="dxa"/>
              <w:bottom w:w="0" w:type="dxa"/>
              <w:right w:w="0" w:type="dxa"/>
            </w:tcMar>
            <w:vAlign w:val="center"/>
          </w:tcPr>
          <w:p>
            <w:pPr>
              <w:pStyle w:val="TableContents"/>
              <w:bidi w:val="0"/>
              <w:spacing w:before="120" w:after="283"/>
              <w:jc w:val="both"/>
              <w:rPr/>
            </w:pPr>
            <w:r>
              <w:rPr/>
              <w:t> </w:t>
            </w:r>
          </w:p>
        </w:tc>
        <w:tc>
          <w:tcPr>
            <w:tcW w:w="892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[With respect to any conversion of a Convertible Security (other than (x) any conversion of Convertible Securities with a “Conversion Date” (as defined in the Indenture) occurring prior to the Free Convertibility Date or (y) any conversion of Convertible Securities in respect of which holder(s) of such Convertible Securities would be entitled to an increase in the Conversion Rate pursuant to a Make-Whole Fundamental Change Adjustment (any conversion described in clause (x) or clause (y), an “</w:t>
            </w:r>
            <w:r>
              <w:rPr>
                <w:rFonts w:ascii="Times New Roman" w:hAnsi="Times New Roman"/>
                <w:b/>
                <w:color w:val="000000"/>
                <w:sz w:val="20"/>
              </w:rPr>
              <w:t>Early Conversion</w:t>
            </w:r>
            <w:r>
              <w:rPr>
                <w:rFonts w:ascii="Times New Roman" w:hAnsi="Times New Roman"/>
                <w:color w:val="000000"/>
                <w:sz w:val="20"/>
              </w:rPr>
              <w:t>”), to which the provisions of Section 8(b)(iii) of this Confirmation shall apply), the “Conversion Date” (as defined in the Indenture) for Convertible Securities that are not “Relevant Convertible Securities” under (and as defined in) the confirmation between the parties hereto regarding the Base Call Option Transaction dated [__], 2026 (the “</w:t>
            </w:r>
            <w:r>
              <w:rPr>
                <w:rFonts w:ascii="Times New Roman" w:hAnsi="Times New Roman"/>
                <w:b/>
                <w:color w:val="000000"/>
                <w:sz w:val="20"/>
              </w:rPr>
              <w:t>Base Call Option Transaction Confirmation</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no Conversion Date shall be deemed to have occurred with respect to Exchanged Securities (such Convertible Securities, other than Exchanged Securities, the “</w:t>
            </w:r>
            <w:r>
              <w:rPr>
                <w:rFonts w:ascii="Times New Roman" w:hAnsi="Times New Roman"/>
                <w:b/>
                <w:color w:val="000000"/>
                <w:sz w:val="20"/>
              </w:rPr>
              <w:t>Relevant Convertible Securities</w:t>
            </w:r>
            <w:r>
              <w:rPr>
                <w:rFonts w:ascii="Times New Roman" w:hAnsi="Times New Roman"/>
                <w:color w:val="000000"/>
                <w:sz w:val="20"/>
              </w:rPr>
              <w:t xml:space="preserve">” for such Conversion Date). For the purposes of determining whether any Convertible Securities will be Relevant Convertible Securities hereunder or “Relevant Convertible Securities” under the Base Call Option Transaction Confirmation, Convertible Securities that are converted pursuant to the Indenture shall be allocated first to the Base Call Option </w:t>
            </w:r>
          </w:p>
        </w:tc>
      </w:tr>
    </w:tbl>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357"/>
        <w:gridCol w:w="8687"/>
      </w:tblGrid>
      <w:tr>
        <w:trPr/>
        <w:tc>
          <w:tcPr>
            <w:tcW w:w="16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868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0" w:after="283"/>
              <w:jc w:val="left"/>
              <w:rPr/>
            </w:pPr>
            <w:r>
              <w:rPr/>
              <w:t> </w:t>
            </w:r>
          </w:p>
        </w:tc>
        <w:tc>
          <w:tcPr>
            <w:tcW w:w="86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Transaction Confirmation until all Options thereunder are exercised or terminated.]</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Free Convertibility Date:</w:t>
            </w:r>
          </w:p>
        </w:tc>
        <w:tc>
          <w:tcPr>
            <w:tcW w:w="868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May 15, 2031</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Exchanged Securities:</w:t>
            </w:r>
          </w:p>
        </w:tc>
        <w:tc>
          <w:tcPr>
            <w:tcW w:w="868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With respect to any Conversion Date, any Convertible Securities with respect to which Counterparty makes the election described in Section 14.12 of the Indenture and the financial institution designated by Counterparty accepts such Convertible Securities in accordance with Section 14.12 of the Indenture, as long as Counterparty does not submit a Notice of Exercise in respect thereof.</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Expiration Date:</w:t>
            </w:r>
          </w:p>
        </w:tc>
        <w:tc>
          <w:tcPr>
            <w:tcW w:w="868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August 15, 2031, subject to earlier exercise.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Multiple Exercise:</w:t>
            </w:r>
          </w:p>
        </w:tc>
        <w:tc>
          <w:tcPr>
            <w:tcW w:w="868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Applicable, as described under “Automatic Exercise on Conversion Dates” and “Automatic Exercise of Remaining Repurchase Options After Free Convertibility Date” below.</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Automatic Exercise on </w:t>
            </w:r>
          </w:p>
        </w:tc>
        <w:tc>
          <w:tcPr>
            <w:tcW w:w="8687"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Conversion Dates:</w:t>
            </w:r>
          </w:p>
        </w:tc>
        <w:tc>
          <w:tcPr>
            <w:tcW w:w="86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Applicable, which means that on each Conversion Date occurring on or after the Free Convertibility Date, a number of Options equal to the number of Relevant Convertible Securities for such Conversion Date in denominations of USD 1,000 principal amount shall be automatically exercised, subject to “Notice of Exercise” below.</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Automatic Exercise of Remaining</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Repurchase Options After Free</w:t>
            </w:r>
          </w:p>
        </w:tc>
        <w:tc>
          <w:tcPr>
            <w:tcW w:w="86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Convertibility Date:</w:t>
            </w:r>
          </w:p>
        </w:tc>
        <w:tc>
          <w:tcPr>
            <w:tcW w:w="86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Notwithstanding anything herein (including “Automatic Exercise on Conversion Dates” above) or in Section 3.4 of the Equity Definitions, unless Counterparty notifies Dealer in writing prior to 5:00 p.m. (New York City time) on the “Scheduled Trading Day” (as defined in the Indenture) immediately preceding the Expiration Date that it does not wish automatic exercise pursuant to this paragraph to occur with respect to any Remaining Repurchase Options (as defined below), a number of Options equal to the lesser of (a) the Number of Options (after giving effect to the provisions opposite the caption “Automatic Exercise on Conversion Dates” above) as of 9:00 a.m. (New York City time) on the Expiration Date and (b) the Remaining Repurchase Options [</w:t>
            </w:r>
            <w:r>
              <w:rPr>
                <w:rFonts w:ascii="Times New Roman" w:hAnsi="Times New Roman"/>
                <w:i/>
                <w:color w:val="000000"/>
                <w:sz w:val="20"/>
              </w:rPr>
              <w:t>minus</w:t>
            </w:r>
            <w:r>
              <w:rPr>
                <w:rFonts w:ascii="Times New Roman" w:hAnsi="Times New Roman"/>
                <w:color w:val="000000"/>
                <w:sz w:val="20"/>
              </w:rPr>
              <w:t> the number of Remaining Options (as defined in the Base Call Option Transaction Confirmation)] (such lesser number, the “</w:t>
            </w:r>
            <w:r>
              <w:rPr>
                <w:rFonts w:ascii="Times New Roman" w:hAnsi="Times New Roman"/>
                <w:b/>
                <w:color w:val="000000"/>
                <w:sz w:val="20"/>
              </w:rPr>
              <w:t>Remaining Options</w:t>
            </w:r>
            <w:r>
              <w:rPr>
                <w:rFonts w:ascii="Times New Roman" w:hAnsi="Times New Roman"/>
                <w:color w:val="000000"/>
                <w:sz w:val="20"/>
              </w:rPr>
              <w:t xml:space="preserve">”) will be deemed to be automatically exercised and the Delivery Obligation (and related provisions) with respect to such Remaining Options shall be calculated as if (i) a number of Convertible Securities (in denominations of USD 1,000 principal amount) equal to such number of Remaining Options were outstanding under the Indenture and were converted with a “Conversion Date” (as defined in the Indenture) occurring on or after the Free Convertibility Date and (ii) the Notice of Final Convertible Security Cash Percentage, if any, applied to such Convertible Securities; </w:t>
            </w:r>
            <w:r>
              <w:rPr>
                <w:rFonts w:ascii="Times New Roman" w:hAnsi="Times New Roman"/>
                <w:i/>
                <w:color w:val="000000"/>
                <w:sz w:val="20"/>
              </w:rPr>
              <w:t>provided</w:t>
            </w:r>
            <w:r>
              <w:rPr>
                <w:rFonts w:ascii="Times New Roman" w:hAnsi="Times New Roman"/>
                <w:color w:val="000000"/>
                <w:sz w:val="20"/>
              </w:rPr>
              <w:t xml:space="preserve"> that no such automatic exercise pursuant to this paragraph will occur if the “Daily VWAP” (as defined in the Indenture) for each “Trading Day” (as defined in the Indenture pursuant to the second </w:t>
            </w:r>
            <w:r>
              <w:rPr>
                <w:rFonts w:ascii="Times New Roman" w:hAnsi="Times New Roman"/>
                <w:i/>
                <w:color w:val="000000"/>
                <w:sz w:val="20"/>
              </w:rPr>
              <w:t>proviso</w:t>
            </w:r>
            <w:r>
              <w:rPr>
                <w:rFonts w:ascii="Times New Roman" w:hAnsi="Times New Roman"/>
                <w:color w:val="000000"/>
                <w:sz w:val="20"/>
              </w:rPr>
              <w:t xml:space="preserve"> in such definition) </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230"/>
        <w:gridCol w:w="8814"/>
      </w:tblGrid>
      <w:tr>
        <w:trPr/>
        <w:tc>
          <w:tcPr>
            <w:tcW w:w="16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881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tcMar>
              <w:top w:w="0" w:type="dxa"/>
              <w:left w:w="0" w:type="dxa"/>
              <w:bottom w:w="0" w:type="dxa"/>
              <w:right w:w="0" w:type="dxa"/>
            </w:tcMar>
            <w:vAlign w:val="center"/>
          </w:tcPr>
          <w:p>
            <w:pPr>
              <w:pStyle w:val="TableContents"/>
              <w:bidi w:val="0"/>
              <w:spacing w:before="0" w:after="283"/>
              <w:jc w:val="left"/>
              <w:rPr/>
            </w:pPr>
            <w:r>
              <w:rPr/>
              <w:t> </w:t>
            </w:r>
          </w:p>
        </w:tc>
        <w:tc>
          <w:tcPr>
            <w:tcW w:w="88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during the Cash Settlement Averaging Period is less than or equal to the Strike Price.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0" w:after="283"/>
              <w:jc w:val="both"/>
              <w:rPr/>
            </w:pPr>
            <w:r>
              <w:rPr/>
              <w:t> </w:t>
            </w:r>
          </w:p>
        </w:tc>
        <w:tc>
          <w:tcPr>
            <w:tcW w:w="88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0" w:after="283"/>
              <w:jc w:val="both"/>
              <w:rPr/>
            </w:pPr>
            <w:r>
              <w:rPr/>
              <w:t> </w:t>
            </w:r>
          </w:p>
        </w:tc>
        <w:tc>
          <w:tcPr>
            <w:tcW w:w="8814" w:type="dxa"/>
            <w:tcBorders/>
            <w:tcMar>
              <w:top w:w="0" w:type="dxa"/>
              <w:left w:w="0" w:type="dxa"/>
              <w:bottom w:w="0" w:type="dxa"/>
              <w:right w:w="0" w:type="dxa"/>
            </w:tcMar>
            <w:vAlign w:val="center"/>
          </w:tcPr>
          <w:p>
            <w:pPr>
              <w:pStyle w:val="TableContents"/>
              <w:bidi w:val="0"/>
              <w:spacing w:before="0" w:after="283"/>
              <w:jc w:val="both"/>
              <w:rPr/>
            </w:pPr>
            <w:r>
              <w:rPr>
                <w:color w:val="000000"/>
              </w:rPr>
              <w:t>“</w:t>
            </w:r>
            <w:r>
              <w:rPr>
                <w:rFonts w:ascii="Times New Roman" w:hAnsi="Times New Roman"/>
                <w:b/>
                <w:color w:val="000000"/>
                <w:sz w:val="20"/>
              </w:rPr>
              <w:t>Remaining Repurchase Options</w:t>
            </w:r>
            <w:r>
              <w:rPr>
                <w:rFonts w:ascii="Times New Roman" w:hAnsi="Times New Roman"/>
                <w:color w:val="000000"/>
                <w:sz w:val="20"/>
              </w:rPr>
              <w:t>” shall mean the excess of (I) the aggregate number of Convertible Securities (in denominations of USD 1,000 principal amount) that were subject to Repurchase Events (as defined below) described in clause (y) of Section 8(b)(ii) (“</w:t>
            </w:r>
            <w:r>
              <w:rPr>
                <w:rFonts w:ascii="Times New Roman" w:hAnsi="Times New Roman"/>
                <w:b/>
                <w:color w:val="000000"/>
                <w:sz w:val="20"/>
              </w:rPr>
              <w:t>Optional Unwind</w:t>
            </w:r>
            <w:r>
              <w:rPr>
                <w:rFonts w:ascii="Times New Roman" w:hAnsi="Times New Roman"/>
                <w:color w:val="000000"/>
                <w:sz w:val="20"/>
              </w:rPr>
              <w:t xml:space="preserve"> </w:t>
            </w:r>
            <w:r>
              <w:rPr>
                <w:rFonts w:ascii="Times New Roman" w:hAnsi="Times New Roman"/>
                <w:b/>
                <w:color w:val="000000"/>
                <w:sz w:val="20"/>
              </w:rPr>
              <w:t>Repurchase Events</w:t>
            </w:r>
            <w:r>
              <w:rPr>
                <w:rFonts w:ascii="Times New Roman" w:hAnsi="Times New Roman"/>
                <w:color w:val="000000"/>
                <w:sz w:val="20"/>
              </w:rPr>
              <w:t xml:space="preserve">,” which, for the avoidance of doubt, does not include any Repurchase Event pursuant to the terms of the Indenture) during the term of the Transaction </w:t>
            </w:r>
            <w:r>
              <w:rPr>
                <w:rFonts w:ascii="Times New Roman" w:hAnsi="Times New Roman"/>
                <w:i/>
                <w:color w:val="000000"/>
                <w:sz w:val="20"/>
              </w:rPr>
              <w:t>over</w:t>
            </w:r>
            <w:r>
              <w:rPr>
                <w:rFonts w:ascii="Times New Roman" w:hAnsi="Times New Roman"/>
                <w:color w:val="000000"/>
                <w:sz w:val="20"/>
              </w:rPr>
              <w:t> (II) the aggregate number of Repurchase Options (as defined below) that were terminated hereunder in connection with Optional Unwind Repurchase Events during the term of the Transaction [</w:t>
            </w:r>
            <w:r>
              <w:rPr>
                <w:rFonts w:ascii="Times New Roman" w:hAnsi="Times New Roman"/>
                <w:i/>
                <w:color w:val="000000"/>
                <w:sz w:val="20"/>
              </w:rPr>
              <w:t>plus</w:t>
            </w:r>
            <w:r>
              <w:rPr>
                <w:rFonts w:ascii="Times New Roman" w:hAnsi="Times New Roman"/>
                <w:color w:val="000000"/>
                <w:sz w:val="20"/>
              </w:rPr>
              <w:t> the aggregate number of Repurchase Options (as defined in the Base Call Option Transaction Confirmation) terminated under the Base Call Option Transaction Confirmation in connection with Optional Unwind Repurchase Events (as defined therein) during the term of the “Transaction” under the Base Call Option Transaction Confirmation]. Counterparty shall notify Dealer in writing of the number of Remaining Repurchase Options before 5:00 p.m. (New York City time) on the “Scheduled Trading Day” (as defined in the Indenture) immediately preceding the Expiration Date.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0" w:after="283"/>
              <w:jc w:val="both"/>
              <w:rPr/>
            </w:pPr>
            <w:r>
              <w:rPr/>
              <w:t> </w:t>
            </w:r>
          </w:p>
        </w:tc>
        <w:tc>
          <w:tcPr>
            <w:tcW w:w="88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 Deadline:</w:t>
            </w:r>
          </w:p>
        </w:tc>
        <w:tc>
          <w:tcPr>
            <w:tcW w:w="88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respect of any exercise of Options hereunder on any Conversion Date on or after the Free Convertibility Date, 5:00 P.M., New York City time, on the “Scheduled Trading Day” (as defined in the Indenture) immediately preceding the “Maturity Date” (as defined in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Notice of Exercise:</w:t>
            </w:r>
          </w:p>
        </w:tc>
        <w:tc>
          <w:tcPr>
            <w:tcW w:w="881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Subject to “Automatic Exercise of Remaining Repurchase Options After Free Convertibility Date,”</w:t>
            </w:r>
            <w:r>
              <w:rPr>
                <w:rFonts w:ascii="Times New Roman" w:hAnsi="Times New Roman"/>
                <w:color w:val="000000"/>
                <w:sz w:val="20"/>
                <w:u w:val="single"/>
              </w:rPr>
              <w:t xml:space="preserve"> </w:t>
            </w:r>
            <w:r>
              <w:rPr>
                <w:rFonts w:ascii="Times New Roman" w:hAnsi="Times New Roman"/>
                <w:color w:val="000000"/>
                <w:sz w:val="20"/>
              </w:rPr>
              <w:t xml:space="preserve">Counterparty shall notify Dealer in writing prior to the Notice Deadline of the number of Relevant Convertible Securities being converted on the related Conversion Date[; </w:t>
            </w:r>
            <w:r>
              <w:rPr>
                <w:rFonts w:ascii="Times New Roman" w:hAnsi="Times New Roman"/>
                <w:i/>
                <w:color w:val="000000"/>
                <w:sz w:val="20"/>
              </w:rPr>
              <w:t xml:space="preserve">provided </w:t>
            </w:r>
            <w:r>
              <w:rPr>
                <w:rFonts w:ascii="Times New Roman" w:hAnsi="Times New Roman"/>
                <w:color w:val="000000"/>
                <w:sz w:val="20"/>
              </w:rPr>
              <w:t xml:space="preserve">that any “Notice of Exercise” delivered to Dealer pursuant to the Base Call Option Transaction Confirmation shall be deemed to be a Notice of Exercise pursuant to this Confirmation and the terms of such Notice of Exercise shall apply, </w:t>
            </w:r>
            <w:r>
              <w:rPr>
                <w:rFonts w:ascii="Times New Roman" w:hAnsi="Times New Roman"/>
                <w:i/>
                <w:color w:val="000000"/>
                <w:sz w:val="20"/>
              </w:rPr>
              <w:t>mutatis mutandis</w:t>
            </w:r>
            <w:r>
              <w:rPr>
                <w:rFonts w:ascii="Times New Roman" w:hAnsi="Times New Roman"/>
                <w:color w:val="000000"/>
                <w:sz w:val="20"/>
              </w:rPr>
              <w:t xml:space="preserve">, to this Confirmation]. For the avoidance of doubt, if Counterparty fails to give such notice when due in respect of any exercise of Options hereunder with a Conversion Date occurring on or after the Free Convertibility Date, automatic exercise shall apply and the Conversion Date shall be deemed to be the second “Scheduled Trading Day” (as defined in the Indenture) immediately preceding the “Maturity Date” (as defined in the Indenture). </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23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Notice of Final Convertible Security</w:t>
            </w:r>
          </w:p>
        </w:tc>
        <w:tc>
          <w:tcPr>
            <w:tcW w:w="8814"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Cash Percentage:</w:t>
            </w:r>
          </w:p>
        </w:tc>
        <w:tc>
          <w:tcPr>
            <w:tcW w:w="881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In addition, Counterparty shall notify Dealer in writing before 5:00 P.M., New York City time, on the “Scheduled Trading Day” (as defined in the Indenture) immediately preceding the Free Convertibility Date of the “Cash </w:t>
            </w:r>
          </w:p>
        </w:tc>
      </w:tr>
    </w:tbl>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117"/>
        <w:gridCol w:w="8927"/>
      </w:tblGrid>
      <w:tr>
        <w:trPr/>
        <w:tc>
          <w:tcPr>
            <w:tcW w:w="16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892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Percentage” (as defined in the Indenture) elected (or deemed to be elected) with respect to Relevant Convertible Securities with a Conversion Date occurring on or after the Free Convertibility Date (any such notice, a “</w:t>
            </w:r>
            <w:r>
              <w:rPr>
                <w:rFonts w:ascii="Times New Roman" w:hAnsi="Times New Roman"/>
                <w:b/>
                <w:color w:val="000000"/>
                <w:sz w:val="20"/>
              </w:rPr>
              <w:t>Notice of Final Convertible Security Cash Percentage</w:t>
            </w:r>
            <w:r>
              <w:rPr>
                <w:rFonts w:ascii="Times New Roman" w:hAnsi="Times New Roman"/>
                <w:color w:val="000000"/>
                <w:sz w:val="20"/>
              </w:rPr>
              <w:t xml:space="preserve">”); </w:t>
            </w:r>
            <w:r>
              <w:rPr>
                <w:rFonts w:ascii="Times New Roman" w:hAnsi="Times New Roman"/>
                <w:i/>
                <w:color w:val="000000"/>
                <w:sz w:val="20"/>
              </w:rPr>
              <w:t xml:space="preserve">provided </w:t>
            </w:r>
            <w:r>
              <w:rPr>
                <w:rFonts w:ascii="Times New Roman" w:hAnsi="Times New Roman"/>
                <w:color w:val="000000"/>
                <w:sz w:val="20"/>
              </w:rPr>
              <w:t>that, if Counterparty does not timely deliver the Notice of Final Convertible Security Cash Percentage then the Notice of Final Convertible Security Cash Percentage shall be deemed timely given and the “Cash Percentage” (as defined in the Indenture) shall be deemed to be 0%. Counterparty acknowledges its responsibilities under applicable securities laws, and in particular Section 9 and Section 10(b) of the Exchange Act and the rules and regulations thereunder, in respect of any election of a “Cash Percentage” (as defined under the Indenture) hereunder.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0" w:after="283"/>
              <w:jc w:val="both"/>
              <w:rPr/>
            </w:pPr>
            <w:r>
              <w:rPr/>
              <w:t> </w:t>
            </w:r>
          </w:p>
        </w:tc>
        <w:tc>
          <w:tcPr>
            <w:tcW w:w="89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Dealer’s Telephone Number</w:t>
            </w:r>
          </w:p>
        </w:tc>
        <w:tc>
          <w:tcPr>
            <w:tcW w:w="89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and Telex and/or Facsimile Number</w:t>
            </w:r>
          </w:p>
        </w:tc>
        <w:tc>
          <w:tcPr>
            <w:tcW w:w="89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and Contact Details for purpose of</w:t>
            </w:r>
          </w:p>
        </w:tc>
        <w:tc>
          <w:tcPr>
            <w:tcW w:w="89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Giving Notice:</w:t>
            </w:r>
          </w:p>
        </w:tc>
        <w:tc>
          <w:tcPr>
            <w:tcW w:w="89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specified in Section 6(b) below.</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tcMar>
              <w:top w:w="0" w:type="dxa"/>
              <w:left w:w="0" w:type="dxa"/>
              <w:bottom w:w="0" w:type="dxa"/>
              <w:right w:w="0" w:type="dxa"/>
            </w:tcMar>
            <w:vAlign w:val="center"/>
          </w:tcPr>
          <w:p>
            <w:pPr>
              <w:pStyle w:val="TableContents"/>
              <w:bidi w:val="0"/>
              <w:spacing w:before="0" w:after="283"/>
              <w:jc w:val="left"/>
              <w:rPr/>
            </w:pPr>
            <w:r>
              <w:rPr/>
              <w:t> </w:t>
            </w:r>
          </w:p>
        </w:tc>
        <w:tc>
          <w:tcPr>
            <w:tcW w:w="89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8"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Settlement Terms:</w:t>
            </w:r>
          </w:p>
        </w:tc>
        <w:tc>
          <w:tcPr>
            <w:tcW w:w="892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Settlement Date:</w:t>
            </w:r>
          </w:p>
        </w:tc>
        <w:tc>
          <w:tcPr>
            <w:tcW w:w="892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For any Exercise Date, the date that is two “Business Days” (as defined in the Indenture) following the final day of the Cash Settlement Averaging Period; </w:t>
            </w:r>
            <w:r>
              <w:rPr>
                <w:rFonts w:ascii="Times New Roman" w:hAnsi="Times New Roman"/>
                <w:i/>
                <w:color w:val="000000"/>
                <w:sz w:val="20"/>
              </w:rPr>
              <w:t xml:space="preserve">provided </w:t>
            </w:r>
            <w:r>
              <w:rPr>
                <w:rFonts w:ascii="Times New Roman" w:hAnsi="Times New Roman"/>
                <w:color w:val="000000"/>
                <w:sz w:val="20"/>
              </w:rPr>
              <w:t xml:space="preserve">that the Settlement Date shall not be prior to the Exchange Business Day immediately following the date Counterparty provides the Notice of Delivery Obligation prior to 5:00 P.M., New York City time.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1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Delivery Obligation:</w:t>
            </w:r>
          </w:p>
        </w:tc>
        <w:tc>
          <w:tcPr>
            <w:tcW w:w="892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In lieu of the obligations set forth in Sections 8.1 and 9.1 of the Equity Definitions, and subject to “Notice of Exercise” above and “Method of Adjustment”, “Counterparty Discretionary Adjustments”, “Consequences of Merger Events/Tender Offers”, “Consequences of Announcement Events” and Section 8(c) below, in respect of an Exercise Date, Dealer will deliver to Counterparty on the related Settlement Date (the “</w:t>
            </w:r>
            <w:r>
              <w:rPr>
                <w:rFonts w:ascii="Times New Roman" w:hAnsi="Times New Roman"/>
                <w:b/>
                <w:color w:val="000000"/>
                <w:sz w:val="20"/>
              </w:rPr>
              <w:t>Delivery Obligation</w:t>
            </w:r>
            <w:r>
              <w:rPr>
                <w:rFonts w:ascii="Times New Roman" w:hAnsi="Times New Roman"/>
                <w:color w:val="000000"/>
                <w:sz w:val="20"/>
              </w:rPr>
              <w:t xml:space="preserve">”), (i) a number of Shares equal to the product of the Applicable Percentage and the aggregate number of Shares, if any, that Counterparty would be obligated to deliver to the “Holder(s)” (as defined in the Indenture) of the Relevant Convertible Securities for such Conversion Date pursuant to Section 14.02(a) of the Indenture (except that such number of Shares shall be rounded down to the nearest whole number) and cash in lieu of any fractional Share resulting from such rounding and/or (ii) the product of the Applicable Percentage and the aggregate amount of cash, if any, in excess of the principal amount of the Relevant Convertible Securities that Counterparty would be obligated to deliver to “Holder(s)” (as defined in the Indenture) of the Relevant Convertible Securities for such Conversion Date pursuant to Section 14.02(a) of the Indenture, determined, for each of clauses (i) and (ii), by the Calculation Agent in a commercially reasonable manner by reference to such Sections of the Indenture as if (i) Counterparty had elected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188"/>
        <w:gridCol w:w="8856"/>
      </w:tblGrid>
      <w:tr>
        <w:trPr/>
        <w:tc>
          <w:tcPr>
            <w:tcW w:w="16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left"/>
              <w:rPr/>
            </w:pPr>
            <w:r>
              <w:rPr/>
              <w:t> </w:t>
            </w:r>
          </w:p>
        </w:tc>
        <w:tc>
          <w:tcPr>
            <w:tcW w:w="88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0"/>
              </w:rPr>
              <w:t xml:space="preserve">the “Cash Percentage” elected or deemed elected in the Notice of Final Convertible Security Cash Percentage in connection with satisfying its conversion obligation in respect of such Relevant Convertible Securities, notwithstanding any different actual election by Counterparty with respect to the settlement of such Relevant Convertible Securities and (ii) the relevant “Observation Period” (as defined in the Indenture) were the Cash Settlement Averaging Period; </w:t>
            </w:r>
            <w:r>
              <w:rPr>
                <w:rFonts w:ascii="Times New Roman" w:hAnsi="Times New Roman"/>
                <w:i/>
                <w:color w:val="000000"/>
                <w:sz w:val="20"/>
              </w:rPr>
              <w:t xml:space="preserve">provided </w:t>
            </w:r>
            <w:r>
              <w:rPr>
                <w:rFonts w:ascii="Times New Roman" w:hAnsi="Times New Roman"/>
                <w:color w:val="000000"/>
                <w:sz w:val="20"/>
              </w:rPr>
              <w:t>that,</w:t>
            </w:r>
            <w:r>
              <w:rPr>
                <w:rFonts w:ascii="Times New Roman" w:hAnsi="Times New Roman"/>
                <w:color w:val="000000"/>
                <w:sz w:val="24"/>
              </w:rPr>
              <w:t xml:space="preserve"> </w:t>
            </w:r>
            <w:r>
              <w:rPr>
                <w:rFonts w:ascii="Times New Roman" w:hAnsi="Times New Roman"/>
                <w:color w:val="000000"/>
                <w:sz w:val="20"/>
              </w:rPr>
              <w:t xml:space="preserve">if the “Daily VWAP” (as defined in the Indenture) for any “Trading Day” (as defined in the Indenture pursuant to the second </w:t>
            </w:r>
            <w:r>
              <w:rPr>
                <w:rFonts w:ascii="Times New Roman" w:hAnsi="Times New Roman"/>
                <w:i/>
                <w:color w:val="000000"/>
                <w:sz w:val="20"/>
              </w:rPr>
              <w:t>proviso</w:t>
            </w:r>
            <w:r>
              <w:rPr>
                <w:rFonts w:ascii="Times New Roman" w:hAnsi="Times New Roman"/>
                <w:color w:val="000000"/>
                <w:sz w:val="24"/>
              </w:rPr>
              <w:t> </w:t>
            </w:r>
            <w:r>
              <w:rPr>
                <w:rFonts w:ascii="Times New Roman" w:hAnsi="Times New Roman"/>
                <w:color w:val="000000"/>
                <w:sz w:val="20"/>
              </w:rPr>
              <w:t xml:space="preserve">in such definition) during the Cash Settlement Averaging Period is greater than the Cap Price, then clause (b) of the relevant “Daily Conversion Value” (as defined in the Indenture) for such “Trading Day” shall be determined as if such “Daily VWAP” for such “Trading Day” were deemed to equal the Cap Price; </w:t>
            </w:r>
            <w:r>
              <w:rPr>
                <w:rFonts w:ascii="Times New Roman" w:hAnsi="Times New Roman"/>
                <w:i/>
                <w:color w:val="000000"/>
                <w:sz w:val="20"/>
              </w:rPr>
              <w:t>provided further</w:t>
            </w:r>
            <w:r>
              <w:rPr>
                <w:rFonts w:ascii="Times New Roman" w:hAnsi="Times New Roman"/>
                <w:color w:val="000000"/>
                <w:sz w:val="24"/>
              </w:rPr>
              <w:t> </w:t>
            </w:r>
            <w:r>
              <w:rPr>
                <w:rFonts w:ascii="Times New Roman" w:hAnsi="Times New Roman"/>
                <w:color w:val="000000"/>
                <w:sz w:val="20"/>
              </w:rPr>
              <w:t xml:space="preserve">that the Delivery Obligation shall be determined excluding any Shares and/or cash that Counterparty is obligated to deliver to “Holder(s)” (as defined in the Indenture) of the Relevant Convertible Securities as a direct or indirect result of any adjustments to the “Conversion Rate” (as defined in the Indenture) pursuant to a Discretionary Anti-Dilution Adjustment and any interest payment that Counterparty is (or would have been) obligated to deliver to “Holder(s)” (as defined in the Indenture) of the Relevant Convertible Securities for such Conversion Date. Notwithstanding the foregoing, if, in respect of any Exercise Date, (x)(I) the number of Shares included in the Delivery Obligation </w:t>
            </w:r>
            <w:r>
              <w:rPr>
                <w:rFonts w:ascii="Times New Roman" w:hAnsi="Times New Roman"/>
                <w:i/>
                <w:color w:val="000000"/>
                <w:sz w:val="20"/>
              </w:rPr>
              <w:t>multiplied by</w:t>
            </w:r>
            <w:r>
              <w:rPr>
                <w:rFonts w:ascii="Times New Roman" w:hAnsi="Times New Roman"/>
                <w:color w:val="000000"/>
                <w:sz w:val="24"/>
              </w:rPr>
              <w:t> </w:t>
            </w:r>
            <w:r>
              <w:rPr>
                <w:rFonts w:ascii="Times New Roman" w:hAnsi="Times New Roman"/>
                <w:color w:val="000000"/>
                <w:sz w:val="20"/>
              </w:rPr>
              <w:t xml:space="preserve">the Share Obligation Value Price </w:t>
            </w:r>
            <w:r>
              <w:rPr>
                <w:rFonts w:ascii="Times New Roman" w:hAnsi="Times New Roman"/>
                <w:i/>
                <w:color w:val="000000"/>
                <w:sz w:val="20"/>
              </w:rPr>
              <w:t>plus</w:t>
            </w:r>
            <w:r>
              <w:rPr>
                <w:rFonts w:ascii="Times New Roman" w:hAnsi="Times New Roman"/>
                <w:color w:val="000000"/>
                <w:sz w:val="20"/>
              </w:rPr>
              <w:t>(II) the amount of cash included in the Delivery Obligation, would otherwise exceed (y) the product of the Applicable Percentage and the relevant Net Convertible Share Obligation Value, such number of Shares and such amount of cash shall be proportionately reduced to the extent necessary to eliminate such excess.</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88"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Cash Settlement Averaging Period:</w:t>
            </w:r>
          </w:p>
        </w:tc>
        <w:tc>
          <w:tcPr>
            <w:tcW w:w="885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The 30 “Trading Days” (as defined in the Indenture pursuant to the second </w:t>
            </w:r>
            <w:r>
              <w:rPr>
                <w:rFonts w:ascii="Times New Roman" w:hAnsi="Times New Roman"/>
                <w:i/>
                <w:color w:val="000000"/>
                <w:sz w:val="20"/>
              </w:rPr>
              <w:t>proviso</w:t>
            </w:r>
            <w:r>
              <w:rPr>
                <w:rFonts w:ascii="Times New Roman" w:hAnsi="Times New Roman"/>
                <w:color w:val="000000"/>
                <w:sz w:val="20"/>
              </w:rPr>
              <w:t> in such definition) commencing on the 31</w:t>
            </w:r>
            <w:r>
              <w:rPr>
                <w:rFonts w:ascii="Times New Roman" w:hAnsi="Times New Roman"/>
                <w:color w:val="000000"/>
                <w:sz w:val="13"/>
              </w:rPr>
              <w:t>st</w:t>
            </w:r>
            <w:r>
              <w:rPr>
                <w:rFonts w:ascii="Times New Roman" w:hAnsi="Times New Roman"/>
                <w:color w:val="000000"/>
                <w:sz w:val="20"/>
              </w:rPr>
              <w:t> “Scheduled Trading Day” (as defined in the Indenture) prior to the “Maturity Date” (as defined in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88"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Notice of Delivery Obligation:</w:t>
            </w:r>
          </w:p>
        </w:tc>
        <w:tc>
          <w:tcPr>
            <w:tcW w:w="885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No later than the Exchange Business Day immediately following the last day of the Cash Settlement Averaging Period, Counterparty shall give Dealer notice of the aggregate number of Shares and/or amount of cash included in the Total Convertible Share Obligation Value (as defined below) for all Exercise Dates (it being understood, for the avoidance of doubt, that the requirement of Counterparty to deliver such notice shall not limit Counterparty’s obligations with respect to a Notice of Exercise or Notice of Final Convertible Security Cash Percentage, as the case may be, as set forth above, in any way).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8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Net Convertible Share Obligation Value:</w:t>
            </w:r>
          </w:p>
        </w:tc>
        <w:tc>
          <w:tcPr>
            <w:tcW w:w="885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With respect to Relevant Convertible Securities as to a Conversion Date, (i) the Total Convertible Share Obligation Value of such Relevant Convertible Securities for such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253"/>
        <w:gridCol w:w="8791"/>
      </w:tblGrid>
      <w:tr>
        <w:trPr/>
        <w:tc>
          <w:tcPr>
            <w:tcW w:w="16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87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tcMar>
              <w:top w:w="0" w:type="dxa"/>
              <w:left w:w="0" w:type="dxa"/>
              <w:bottom w:w="0" w:type="dxa"/>
              <w:right w:w="0" w:type="dxa"/>
            </w:tcMar>
            <w:vAlign w:val="center"/>
          </w:tcPr>
          <w:p>
            <w:pPr>
              <w:pStyle w:val="TableContents"/>
              <w:bidi w:val="0"/>
              <w:spacing w:before="0" w:after="283"/>
              <w:jc w:val="left"/>
              <w:rPr/>
            </w:pPr>
            <w:r>
              <w:rPr/>
              <w:t> </w:t>
            </w:r>
          </w:p>
        </w:tc>
        <w:tc>
          <w:tcPr>
            <w:tcW w:w="8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Conversion Date </w:t>
            </w:r>
            <w:r>
              <w:rPr>
                <w:rFonts w:ascii="Times New Roman" w:hAnsi="Times New Roman"/>
                <w:i/>
                <w:color w:val="000000"/>
                <w:sz w:val="20"/>
              </w:rPr>
              <w:t>minus</w:t>
            </w:r>
            <w:r>
              <w:rPr>
                <w:rFonts w:ascii="Times New Roman" w:hAnsi="Times New Roman"/>
                <w:color w:val="000000"/>
                <w:sz w:val="20"/>
              </w:rPr>
              <w:t> (ii) the aggregate principal amount of such Relevant Convertible Securities for such Conversion Date.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5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Total Convertible Share Obligation Value:</w:t>
            </w:r>
          </w:p>
        </w:tc>
        <w:tc>
          <w:tcPr>
            <w:tcW w:w="879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With respect to Relevant Convertible Securities with respect to a Conversion Date, (i) (A) the number of Shares equal to the aggregate number of Shares that Counterparty is obligated to deliver to the “Holder(s)” (as defined in the Indenture) of Relevant Convertible Securities for such Conversion Date pursuant to the Indenture </w:t>
            </w:r>
            <w:r>
              <w:rPr>
                <w:rFonts w:ascii="Times New Roman" w:hAnsi="Times New Roman"/>
                <w:i/>
                <w:color w:val="000000"/>
                <w:sz w:val="20"/>
              </w:rPr>
              <w:t>multiplied by</w:t>
            </w:r>
            <w:r>
              <w:rPr>
                <w:rFonts w:ascii="Times New Roman" w:hAnsi="Times New Roman"/>
                <w:color w:val="000000"/>
                <w:sz w:val="20"/>
              </w:rPr>
              <w:t xml:space="preserve">(B) the Share Obligation Value Price </w:t>
            </w:r>
            <w:r>
              <w:rPr>
                <w:rFonts w:ascii="Times New Roman" w:hAnsi="Times New Roman"/>
                <w:i/>
                <w:color w:val="000000"/>
                <w:sz w:val="20"/>
              </w:rPr>
              <w:t>plus</w:t>
            </w:r>
            <w:r>
              <w:rPr>
                <w:rFonts w:ascii="Times New Roman" w:hAnsi="Times New Roman"/>
                <w:color w:val="000000"/>
                <w:sz w:val="20"/>
              </w:rPr>
              <w:t xml:space="preserve">(ii) an amount of cash equal to the aggregate amount of cash that Counterparty is obligated to deliver to the “Holder(s)” (as defined in the Indenture) of Relevant Convertible Securities for such Conversion Date pursuant to the Indenture (including, for the avoidance of doubt, any cash payable by Counterparty in lieu of fractional Shares); </w:t>
            </w:r>
            <w:r>
              <w:rPr>
                <w:rFonts w:ascii="Times New Roman" w:hAnsi="Times New Roman"/>
                <w:i/>
                <w:color w:val="000000"/>
                <w:sz w:val="20"/>
              </w:rPr>
              <w:t>provided</w:t>
            </w:r>
            <w:r>
              <w:rPr>
                <w:rFonts w:ascii="Times New Roman" w:hAnsi="Times New Roman"/>
                <w:color w:val="000000"/>
                <w:sz w:val="20"/>
              </w:rPr>
              <w:t xml:space="preserve"> that the Total Convertible Share Obligation Value shall be determined excluding any Shares and/or cash that Counterparty is obligated to deliver to “Holder(s)” (as defined in the Indenture) of the Relevant Convertible Securities as a direct or indirect result of any adjustments to the “Conversion Rate” (as defined in the Indenture) pursuant to a Discretionary Anti-Dilution Adjustment and any interest payment that Counterparty is (or would have been) obligated to deliver to “Holder(s)” (as defined in the Indenture) of the Relevant Convertible Securities for such Conversion Date.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5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Share Obligation Value Price:</w:t>
            </w:r>
          </w:p>
        </w:tc>
        <w:tc>
          <w:tcPr>
            <w:tcW w:w="879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opening price as displayed under the heading “Op” on Bloomberg page “DIOD &lt;Equity&gt;” (or its equivalent successor if such page is not available) on the applicable Settlement Date or other date of delivery.</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5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Other Applicable Provisions:</w:t>
            </w:r>
          </w:p>
        </w:tc>
        <w:tc>
          <w:tcPr>
            <w:tcW w:w="879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 w:hAnsi="Times New Roman"/>
                <w:i/>
                <w:color w:val="000000"/>
                <w:sz w:val="20"/>
              </w:rPr>
              <w:t>provided</w:t>
            </w:r>
            <w:r>
              <w:rPr>
                <w:rFonts w:ascii="Times New Roman" w:hAnsi="Times New Roman"/>
                <w:color w:val="000000"/>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or an affiliate of the issuer, of the Shares.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5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Restricted Certificated Shares:</w:t>
            </w:r>
          </w:p>
        </w:tc>
        <w:tc>
          <w:tcPr>
            <w:tcW w:w="879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41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Adjustments:</w:t>
            </w:r>
          </w:p>
        </w:tc>
        <w:tc>
          <w:tcPr>
            <w:tcW w:w="8791"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5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Method of Adjustment:</w:t>
            </w:r>
          </w:p>
        </w:tc>
        <w:tc>
          <w:tcPr>
            <w:tcW w:w="879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Notwithstanding Section 11.2 of the Equity Definitions, upon the occurrence of any event or condition set forth in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434"/>
        <w:gridCol w:w="9610"/>
      </w:tblGrid>
      <w:tr>
        <w:trPr/>
        <w:tc>
          <w:tcPr>
            <w:tcW w:w="16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61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left"/>
              <w:rPr/>
            </w:pPr>
            <w:r>
              <w:rPr/>
              <w:t> </w:t>
            </w:r>
          </w:p>
        </w:tc>
        <w:tc>
          <w:tcPr>
            <w:tcW w:w="96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the Dilution Adjustment Provisions (a “</w:t>
            </w:r>
            <w:r>
              <w:rPr>
                <w:rFonts w:ascii="Times New Roman" w:hAnsi="Times New Roman"/>
                <w:b/>
                <w:color w:val="000000"/>
                <w:sz w:val="20"/>
              </w:rPr>
              <w:t>Potential Adjustment Event</w:t>
            </w:r>
            <w:r>
              <w:rPr>
                <w:rFonts w:ascii="Times New Roman" w:hAnsi="Times New Roman"/>
                <w:color w:val="000000"/>
                <w:sz w:val="20"/>
              </w:rPr>
              <w:t xml:space="preserve">”) that requires an adjustment under the Indenture, the Calculation Agent shall, in good faith and in a commercially reasonable manner, make a corresponding adjustment in respect of any one or more of the Strike Price, the Number of Options, the Option Entitlement and any other term relevant to the exercise, settlement or payment of the Transaction, to the extent an analogous adjustment is required under the Indenture, subject to “Counterparty Discretionary Adjustments” below. For the avoidance of doubt, the Delivery Obligation shall be calculated on the basis of such adjustments by the Calculation Agent in respect of such Potential Adjustment Event. Immediately upon the occurrence of any Potential Adjustment Event, Counterparty shall notify the Calculation Agent of such Potential Adjustment Event.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434" w:type="dxa"/>
            <w:tcBorders/>
            <w:tcMar>
              <w:top w:w="0" w:type="dxa"/>
              <w:left w:w="0" w:type="dxa"/>
              <w:bottom w:w="0" w:type="dxa"/>
              <w:right w:w="0" w:type="dxa"/>
            </w:tcMar>
            <w:vAlign w:val="center"/>
          </w:tcPr>
          <w:p>
            <w:pPr>
              <w:pStyle w:val="TableContents"/>
              <w:bidi w:val="0"/>
              <w:spacing w:before="120" w:after="283"/>
              <w:jc w:val="both"/>
              <w:rPr/>
            </w:pPr>
            <w:r>
              <w:rPr/>
              <w:t> </w:t>
            </w:r>
          </w:p>
        </w:tc>
        <w:tc>
          <w:tcPr>
            <w:tcW w:w="961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Notwithstanding anything to the contrary herein or in the Equity Definitions: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ind w:left="0" w:right="0" w:firstLine="288"/>
              <w:jc w:val="both"/>
              <w:rPr/>
            </w:pPr>
            <w:r>
              <w:rPr/>
              <w:t> </w:t>
            </w:r>
          </w:p>
        </w:tc>
        <w:tc>
          <w:tcPr>
            <w:tcW w:w="9610" w:type="dxa"/>
            <w:tcBorders/>
            <w:tcMar>
              <w:top w:w="0" w:type="dxa"/>
              <w:left w:w="0" w:type="dxa"/>
              <w:bottom w:w="0" w:type="dxa"/>
              <w:right w:w="0" w:type="dxa"/>
            </w:tcMar>
            <w:vAlign w:val="center"/>
          </w:tcPr>
          <w:p>
            <w:pPr>
              <w:pStyle w:val="TableContents"/>
              <w:bidi w:val="0"/>
              <w:spacing w:before="120" w:after="283"/>
              <w:ind w:left="0" w:right="0" w:firstLine="288"/>
              <w:jc w:val="both"/>
              <w:rPr>
                <w:rFonts w:ascii="Times New Roman" w:hAnsi="Times New Roman"/>
                <w:sz w:val="20"/>
              </w:rPr>
            </w:pPr>
            <w:r>
              <w:rPr>
                <w:rFonts w:ascii="Times New Roman" w:hAnsi="Times New Roman"/>
                <w:color w:val="000000"/>
                <w:sz w:val="20"/>
              </w:rPr>
              <w:t>(i) 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Times New Roman" w:hAnsi="Times New Roman"/>
                <w:color w:val="000000"/>
                <w:sz w:val="13"/>
              </w:rPr>
              <w:t>0</w:t>
            </w:r>
            <w:r>
              <w:rPr>
                <w:rFonts w:ascii="Times New Roman" w:hAnsi="Times New Roman"/>
                <w:color w:val="000000"/>
                <w:sz w:val="20"/>
              </w:rPr>
              <w:t xml:space="preserve">” (as such term is used in Section 14.04(c)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reasonable costs (including, but not limited to, hedging mismatches and market losses) and commercially reasonable out-of-pocket expenses incurred by Dealer in connection with its commercially reasonable hedging activities as a result of such event or condition not having been publicly announced prior to the beginning of such period; and </w:t>
            </w:r>
          </w:p>
          <w:p>
            <w:pPr>
              <w:pStyle w:val="TableContents"/>
              <w:bidi w:val="0"/>
              <w:spacing w:before="120" w:after="283"/>
              <w:ind w:left="0" w:right="0" w:firstLine="288"/>
              <w:jc w:val="both"/>
              <w:rPr>
                <w:rFonts w:ascii="Times New Roman" w:hAnsi="Times New Roman"/>
                <w:sz w:val="20"/>
              </w:rPr>
            </w:pPr>
            <w:r>
              <w:rPr>
                <w:rFonts w:ascii="Times New Roman" w:hAnsi="Times New Roman"/>
                <w:color w:val="000000"/>
                <w:sz w:val="20"/>
              </w:rPr>
              <w:t>(ii)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 w:hAnsi="Times New Roman"/>
                <w:b/>
                <w:color w:val="000000"/>
                <w:sz w:val="20"/>
              </w:rPr>
              <w:t>Potential Adjustment Event Change</w:t>
            </w:r>
            <w:r>
              <w:rPr>
                <w:rFonts w:ascii="Times New Roman" w:hAnsi="Times New Roman"/>
                <w:color w:val="000000"/>
                <w:sz w:val="20"/>
              </w:rPr>
              <w:t xml:space="preserve">”) then, in each case, the Calculation Agent shall, in good faith and in a commercially reasonable manner, have the right to adjust any variable relevant to the exercise, settlement or payment for the Transaction as appropriate to reflect the reasonable costs (including, </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373"/>
        <w:gridCol w:w="8671"/>
      </w:tblGrid>
      <w:tr>
        <w:trPr/>
        <w:tc>
          <w:tcPr>
            <w:tcW w:w="16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671" w:type="dxa"/>
            <w:tcBorders/>
            <w:tcMar>
              <w:top w:w="0" w:type="dxa"/>
              <w:left w:w="0" w:type="dxa"/>
              <w:bottom w:w="0" w:type="dxa"/>
              <w:right w:w="0" w:type="dxa"/>
            </w:tcMar>
            <w:vAlign w:val="center"/>
          </w:tcPr>
          <w:p>
            <w:pPr>
              <w:pStyle w:val="TableContents"/>
              <w:bidi w:val="0"/>
              <w:spacing w:before="0" w:after="283"/>
              <w:ind w:left="0" w:right="0" w:firstLine="288"/>
              <w:jc w:val="both"/>
              <w:rPr>
                <w:rFonts w:ascii="Times New Roman" w:hAnsi="Times New Roman"/>
                <w:color w:val="000000"/>
                <w:sz w:val="20"/>
              </w:rPr>
            </w:pPr>
            <w:r>
              <w:rPr>
                <w:rFonts w:ascii="Times New Roman" w:hAnsi="Times New Roman"/>
                <w:color w:val="000000"/>
                <w:sz w:val="20"/>
              </w:rPr>
              <w:t>but not limited to, hedging mismatches and market losses) and commercially reasonable out-of-pocket expenses incurred by Dealer in connection with its commercially reasonable hedging activities as a result of such Potential Adjustment Event Change to account solely for hedging mismatches and market losses. Upon the occurrence of any Potential Adjustment Event Change, Counterparty shall immediately notify the Calculation Agent in writing of the details of such Potential Adjustment Event Change.</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73" w:type="dxa"/>
            <w:tcBorders/>
            <w:tcMar>
              <w:top w:w="0" w:type="dxa"/>
              <w:left w:w="0" w:type="dxa"/>
              <w:bottom w:w="0" w:type="dxa"/>
              <w:right w:w="0" w:type="dxa"/>
            </w:tcMar>
            <w:vAlign w:val="center"/>
          </w:tcPr>
          <w:p>
            <w:pPr>
              <w:pStyle w:val="TableContents"/>
              <w:bidi w:val="0"/>
              <w:spacing w:before="0" w:after="283"/>
              <w:jc w:val="both"/>
              <w:rPr/>
            </w:pPr>
            <w:r>
              <w:rPr/>
              <w:t> </w:t>
            </w:r>
          </w:p>
        </w:tc>
        <w:tc>
          <w:tcPr>
            <w:tcW w:w="86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73" w:type="dxa"/>
            <w:tcBorders/>
            <w:tcMar>
              <w:top w:w="0" w:type="dxa"/>
              <w:left w:w="0" w:type="dxa"/>
              <w:bottom w:w="0" w:type="dxa"/>
              <w:right w:w="0" w:type="dxa"/>
            </w:tcMar>
            <w:vAlign w:val="center"/>
          </w:tcPr>
          <w:p>
            <w:pPr>
              <w:pStyle w:val="TableContents"/>
              <w:bidi w:val="0"/>
              <w:spacing w:before="0" w:after="283"/>
              <w:jc w:val="both"/>
              <w:rPr/>
            </w:pPr>
            <w:r>
              <w:rPr/>
              <w:t> </w:t>
            </w:r>
          </w:p>
        </w:tc>
        <w:tc>
          <w:tcPr>
            <w:tcW w:w="86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avoidance of doubt, the Delivery Obligation shall be calculated on the basis of such adjustments by the Calculation Agent in respect of any such event described in clause (i) or clause (ii) above.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73" w:type="dxa"/>
            <w:tcBorders/>
            <w:tcMar>
              <w:top w:w="0" w:type="dxa"/>
              <w:left w:w="0" w:type="dxa"/>
              <w:bottom w:w="0" w:type="dxa"/>
              <w:right w:w="0" w:type="dxa"/>
            </w:tcMar>
            <w:vAlign w:val="center"/>
          </w:tcPr>
          <w:p>
            <w:pPr>
              <w:pStyle w:val="TableContents"/>
              <w:bidi w:val="0"/>
              <w:spacing w:before="120" w:after="283"/>
              <w:jc w:val="both"/>
              <w:rPr/>
            </w:pPr>
            <w:r>
              <w:rPr/>
              <w:t> </w:t>
            </w:r>
          </w:p>
        </w:tc>
        <w:tc>
          <w:tcPr>
            <w:tcW w:w="867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fourth sentence of Section 14.04(c) of the Indenture or the fourth sentence of Section 14.04(d) of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7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Dilution Adjustment Provisions:</w:t>
            </w:r>
          </w:p>
        </w:tc>
        <w:tc>
          <w:tcPr>
            <w:tcW w:w="867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Sections 14.04(a), (b), (c), (d) and (e) and Section 14.05 of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7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Counterparty Discretionary Adjustments:</w:t>
            </w:r>
          </w:p>
        </w:tc>
        <w:tc>
          <w:tcPr>
            <w:tcW w:w="867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Notwithstanding anything to the contrary herein or in the Equity Definitions, if the Calculation Agent in good faith and in a commercially reasonable manner disagrees with any adjustment under the Indenture that is the basis of any adjustment hereunder and that involves an exercise of discretion by Counterparty, its board of directors or a committee of its board of directors (including, without limitation, pursuant to Section 14.05 of the Indenture or pursuant to Section 14.07 of the Indenture or any supplemental indenture entered into thereunder or in connection with the determination of the fair value of any securities, property, rights or other assets), then the Calculation Agent will determine the corresponding adjustment to be made to any one or more of the Strike Price, Number of Options, Option Entitlement and any other variable relevant to the exercise, settlement or payment of or under the Transaction in good faith and in a commercially reasonable manner consistent with the methodology set forth in the Indenture. For the avoidance of doubt, the Delivery Obligation shall be calculated on the basis of such adjustments by the Calculation Agent.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323"/>
        <w:gridCol w:w="8721"/>
      </w:tblGrid>
      <w:tr>
        <w:trPr/>
        <w:tc>
          <w:tcPr>
            <w:tcW w:w="16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8721" w:type="dxa"/>
            <w:tcBorders/>
            <w:vAlign w:val="center"/>
          </w:tcPr>
          <w:p>
            <w:pPr>
              <w:pStyle w:val="TableContents"/>
              <w:bidi w:val="0"/>
              <w:spacing w:before="0" w:after="283"/>
              <w:jc w:val="left"/>
              <w:rPr>
                <w:sz w:val="4"/>
                <w:szCs w:val="4"/>
              </w:rPr>
            </w:pPr>
            <w:r>
              <w:rPr>
                <w:sz w:val="4"/>
                <w:szCs w:val="4"/>
              </w:rPr>
            </w:r>
          </w:p>
        </w:tc>
      </w:tr>
      <w:tr>
        <w:trPr/>
        <w:tc>
          <w:tcPr>
            <w:tcW w:w="1484" w:type="dxa"/>
            <w:gridSpan w:val="2"/>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Extraordinary Events:</w:t>
            </w:r>
          </w:p>
        </w:tc>
        <w:tc>
          <w:tcPr>
            <w:tcW w:w="8721"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Merger Events:</w:t>
            </w:r>
          </w:p>
        </w:tc>
        <w:tc>
          <w:tcPr>
            <w:tcW w:w="872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Notwithstanding Section 12.1(b) of the Equity Definitions, “Merger Event” shall have the meaning set forth for the term “Share Exchange Event” in Section 14.07 of the Indenture.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Consequences of Merger Events/</w:t>
            </w:r>
          </w:p>
        </w:tc>
        <w:tc>
          <w:tcPr>
            <w:tcW w:w="8721"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Tender Offers:</w:t>
            </w:r>
          </w:p>
        </w:tc>
        <w:tc>
          <w:tcPr>
            <w:tcW w:w="872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Notwithstanding Section 12.2 of the Equity Definitions, upon the occurrence of a Merger Event, the Calculation Agent, acting in good faith and commercially reasonably, shall make a corresponding adjustment in respect of any adjustment under the Indenture to any one or more of the nature of the Shares, the Number of Options, the Option Entitlement, composition of the “Shares” hereunder and any other variable relevant to the exercise, settlement or payment for the Transaction, to the extent an analogous adjustment is required under Section 14.07 of the Indenture in respect of such Merger Event, as determined in good faith and in a commercially reasonable manner by the Calculation Agent by reference to such Section, subject to “Counterparty Discretionary Adjustments” above; </w:t>
            </w:r>
            <w:r>
              <w:rPr>
                <w:rFonts w:ascii="Times New Roman" w:hAnsi="Times New Roman"/>
                <w:i/>
                <w:color w:val="000000"/>
                <w:sz w:val="20"/>
              </w:rPr>
              <w:t xml:space="preserve">provided </w:t>
            </w:r>
            <w:r>
              <w:rPr>
                <w:rFonts w:ascii="Times New Roman" w:hAnsi="Times New Roman"/>
                <w:color w:val="000000"/>
                <w:sz w:val="20"/>
              </w:rPr>
              <w:t xml:space="preserve">that such adjustment shall be made without regard to any adjustment to the “Conversion Rate” (as defined in the Indenture) pursuant to a Make-Whole Fundamental Change Adjustment or a Discretionary Anti-Dilution Adjustment; </w:t>
            </w:r>
            <w:r>
              <w:rPr>
                <w:rFonts w:ascii="Times New Roman" w:hAnsi="Times New Roman"/>
                <w:i/>
                <w:color w:val="000000"/>
                <w:sz w:val="20"/>
              </w:rPr>
              <w:t>provided further</w:t>
            </w:r>
            <w:r>
              <w:rPr>
                <w:rFonts w:ascii="Times New Roman" w:hAnsi="Times New Roman"/>
                <w:color w:val="000000"/>
                <w:sz w:val="20"/>
              </w:rPr>
              <w:t xml:space="preserve"> that in respect of any election by the holders of Shares with respect to the consideration due upon consummation of any Merger Event, the Calculation Agent shall have the right to adjust any variable relevant to the exercise, settlement or payment for the Transaction as appropriate to compensate Dealer for any losses (including, without limitation, market losses customary for transactions similar to the Transaction with counterparties similar to Counterparty) solely as a result of any mismatch on its Hedge Position, assuming Dealer maintains a commercially reasonable Hedge Position, and the type and amount of consideration actually paid or issued to the holders of Shares in respect of such Merger Event; and </w:t>
            </w:r>
            <w:r>
              <w:rPr>
                <w:rFonts w:ascii="Times New Roman" w:hAnsi="Times New Roman"/>
                <w:i/>
                <w:color w:val="000000"/>
                <w:sz w:val="20"/>
              </w:rPr>
              <w:t xml:space="preserve">provided further </w:t>
            </w:r>
            <w:r>
              <w:rPr>
                <w:rFonts w:ascii="Times New Roman" w:hAnsi="Times New Roman"/>
                <w:color w:val="000000"/>
                <w:sz w:val="20"/>
              </w:rPr>
              <w:t xml:space="preserve">that if (i) with respect to a Merger Event or a Tender Offer, the consideration for the Shares includes (or, at the option of a holder of Shares, may include) securities issued by an entity that is not a corporation organized under the laws of the United States, any state thereof or the District of Columbia or (ii) the Counterparty to the Transaction, following such Merger Event, will not be a “Qualified Successor Entity” (as defined in the Indenture) organized under the laws of the United States, any State thereof or the District of Columbia or (iii) the Counterparty to the Transaction, following such Merger Event, will not be the Issuer, unless, in the case of this clause (iii), Counterparty and the issuer of the Shares have entered into such documentation containing representations, warranties and agreements related to securities law and other issues as requested by Dealer that Dealer has determined, in its reasonable discretion, to be reasonably necessary or appropriate to allow Dealer to preserve its commercially reasonable hedging or hedge </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58"/>
        <w:gridCol w:w="8586"/>
      </w:tblGrid>
      <w:tr>
        <w:trPr/>
        <w:tc>
          <w:tcPr>
            <w:tcW w:w="1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858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58" w:type="dxa"/>
            <w:tcBorders/>
            <w:tcMar>
              <w:top w:w="0" w:type="dxa"/>
              <w:left w:w="0" w:type="dxa"/>
              <w:bottom w:w="0" w:type="dxa"/>
              <w:right w:w="0" w:type="dxa"/>
            </w:tcMar>
            <w:vAlign w:val="center"/>
          </w:tcPr>
          <w:p>
            <w:pPr>
              <w:pStyle w:val="TableContents"/>
              <w:bidi w:val="0"/>
              <w:spacing w:before="0" w:after="283"/>
              <w:jc w:val="left"/>
              <w:rPr/>
            </w:pPr>
            <w:r>
              <w:rPr/>
              <w:t> </w:t>
            </w:r>
          </w:p>
        </w:tc>
        <w:tc>
          <w:tcPr>
            <w:tcW w:w="8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unwind activities in connection with the Transaction in a manner compliant with applicable legal, regulatory or self-regulatory requirements, or with related policies and procedures applicable to Dealer, in each case, Dealer may elect in its commercially reasonable discretion that Cancellation and Payment (Calculation Agent Determination) shall apply. For the avoidance of doubt (x) the Delivery Obligation shall be calculated on the basis of such adjustments by the Calculation Agent in respect of such Merger Event and (y) adjustments shall be made pursuant to the provisions set forth above regardless of whether any Merger Event gives rise to an Early Conversion. For purposes of this paragraph, “Tender Offer” means the occurrence of any event or condition set forth in Section 14.04(e) of the Indenture.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45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Notice of Merger Consideration:</w:t>
            </w:r>
          </w:p>
        </w:tc>
        <w:tc>
          <w:tcPr>
            <w:tcW w:w="858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Upon the occurrence of a Merger Event, Counterparty shall reasonably promptly (but in any event prior to consummation of such Merger Event) notify the Calculation Agent of, in the case of a Merger Event that causes the Shares to be converted into the right to receive more than a single type of consideration (determined based in part upon any form of stockholder election), the weighted average of the types and amounts of consideration actually received by holders of Shares upon consummation of such Merger Event. </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458"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Consequences of Announcement Events:</w:t>
            </w:r>
          </w:p>
        </w:tc>
        <w:tc>
          <w:tcPr>
            <w:tcW w:w="858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Modified Calculation Agent Adjustment as set forth in Section 12.3(d) of the Equity Definitions; </w:t>
            </w:r>
            <w:r>
              <w:rPr>
                <w:rFonts w:ascii="Times New Roman" w:hAnsi="Times New Roman"/>
                <w:i/>
                <w:color w:val="000000"/>
                <w:sz w:val="20"/>
              </w:rPr>
              <w:t>provided</w:t>
            </w:r>
            <w:r>
              <w:rPr>
                <w:rFonts w:ascii="Times New Roman" w:hAnsi="Times New Roman"/>
                <w:color w:val="000000"/>
                <w:sz w:val="20"/>
              </w:rPr>
              <w:t>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w:t>
            </w:r>
            <w:r>
              <w:rPr>
                <w:rFonts w:ascii="Times New Roman" w:hAnsi="Times New Roman"/>
                <w:i/>
                <w:color w:val="000000"/>
                <w:sz w:val="20"/>
              </w:rPr>
              <w:t>provided</w:t>
            </w:r>
            <w:r>
              <w:rPr>
                <w:rFonts w:ascii="Times New Roman" w:hAnsi="Times New Roman"/>
                <w:color w:val="000000"/>
                <w:sz w:val="20"/>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 material economic effect on the Transaction (the terms of which include, among other terms, the Strike Price and Cap Price), and, if so, shall adjust the Cap Price accordingly to take into account such economic effect on one or more occasions on or after the date of the Announcement Event up to, and including, the Expiration Date, any Early Termination Date and/or any other date of cancellation,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377"/>
        <w:gridCol w:w="8667"/>
      </w:tblGrid>
      <w:tr>
        <w:trPr/>
        <w:tc>
          <w:tcPr>
            <w:tcW w:w="1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866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tcBorders/>
            <w:tcMar>
              <w:top w:w="0" w:type="dxa"/>
              <w:left w:w="0" w:type="dxa"/>
              <w:bottom w:w="0" w:type="dxa"/>
              <w:right w:w="0" w:type="dxa"/>
            </w:tcMar>
            <w:vAlign w:val="center"/>
          </w:tcPr>
          <w:p>
            <w:pPr>
              <w:pStyle w:val="TableContents"/>
              <w:bidi w:val="0"/>
              <w:spacing w:before="0" w:after="283"/>
              <w:jc w:val="left"/>
              <w:rPr/>
            </w:pPr>
            <w:r>
              <w:rPr/>
              <w:t> </w:t>
            </w:r>
          </w:p>
        </w:tc>
        <w:tc>
          <w:tcPr>
            <w:tcW w:w="86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Agreement; </w:t>
            </w:r>
            <w:r>
              <w:rPr>
                <w:rFonts w:ascii="Times New Roman" w:hAnsi="Times New Roman"/>
                <w:i/>
                <w:color w:val="000000"/>
                <w:sz w:val="20"/>
              </w:rPr>
              <w:t>provided</w:t>
            </w:r>
            <w:r>
              <w:rPr>
                <w:rFonts w:ascii="Times New Roman" w:hAnsi="Times New Roman"/>
                <w:color w:val="000000"/>
                <w:sz w:val="20"/>
              </w:rPr>
              <w:t xml:space="preserve"> that in no event shall the Cap Price be adjusted to be less than the Strike Price. An Announcement Event shall be an “Extraordinary Event” for purposes of the Equity Definitions, to which Article 12 of the Equity Definitions is applicable; </w:t>
            </w:r>
            <w:r>
              <w:rPr>
                <w:rFonts w:ascii="Times New Roman" w:hAnsi="Times New Roman"/>
                <w:i/>
                <w:color w:val="000000"/>
                <w:sz w:val="20"/>
              </w:rPr>
              <w:t xml:space="preserve">provided further </w:t>
            </w:r>
            <w:r>
              <w:rPr>
                <w:rFonts w:ascii="Times New Roman" w:hAnsi="Times New Roman"/>
                <w:color w:val="000000"/>
                <w:sz w:val="20"/>
              </w:rPr>
              <w:t>that when the Calculation Agent makes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any amendment that the Calculation Agent determines has had a material economic effect on the Transaction or any abandonment of any such event to the extent necessary to reflect the economic effect of such subsequent announcement on the Transaction to account for solely stock price volatility, expected dividends, interest rates, stock loan rate, value of any commercially reasonable hedge positions in connection with the Transaction and liquidity relevant to the Shares or to such Transaction (</w:t>
            </w:r>
            <w:r>
              <w:rPr>
                <w:rFonts w:ascii="Times New Roman" w:hAnsi="Times New Roman"/>
                <w:i/>
                <w:color w:val="000000"/>
                <w:sz w:val="20"/>
              </w:rPr>
              <w:t>provided</w:t>
            </w:r>
            <w:r>
              <w:rPr>
                <w:rFonts w:ascii="Times New Roman" w:hAnsi="Times New Roman"/>
                <w:color w:val="000000"/>
                <w:sz w:val="20"/>
              </w:rPr>
              <w:t> that in no event shall the Cap Price be less than the Strike Price).</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7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Announcement Event:</w:t>
            </w:r>
          </w:p>
        </w:tc>
        <w:tc>
          <w:tcPr>
            <w:tcW w:w="86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(i) The public announcement by Issuer, any subsidiary of Issuer, any affiliate of Issuer, any agent of Issuer or a Valid Third Party of (x) any transaction or event that, if completed, would constitute a Merger Event or Tender Offer, (y) any potential acquisition or disposition by Issuer and/or its subsidiaries where the aggregate consideration (excluding, for the avoidance of doubt, any consideration in the form of earn-outs or bona fide other arrangements for consideration payable post-closing of such acquisition or disposition contingent upon the satisfaction of specified facts or conditions) exceeds 35% of the market capitalization of Issuer as of the date of such announcement (a “</w:t>
            </w:r>
            <w:r>
              <w:rPr>
                <w:rFonts w:ascii="Times New Roman" w:hAnsi="Times New Roman"/>
                <w:b/>
                <w:color w:val="000000"/>
                <w:sz w:val="20"/>
              </w:rPr>
              <w:t>Transformative Transaction</w:t>
            </w:r>
            <w:r>
              <w:rPr>
                <w:rFonts w:ascii="Times New Roman" w:hAnsi="Times New Roman"/>
                <w:color w:val="000000"/>
                <w:sz w:val="20"/>
              </w:rPr>
              <w:t xml:space="preserve">”) or (z) the intention to enter into a Merger Event or Tender Offer or a Transformative Transaction, (ii) the public announcement by Issuer of an intention to solicit or enter into, or to explore strategic alternatives or other similar undertaking that may include, a Merger Event or Tender Offer or a Transformative Transaction or (iii) any subsequent public announcement, (x) by Issuer, any subsidiary of Issuer, any affiliate of Issuer, any agent of Issuer or a Valid Third Party of a change to a transaction or intention that is the subject of an announcement of the type described in clause (i) or (y) by Issuer of a change to a transaction or intention that is the subject of an announcement of the type described in clause (ii) of this sentence, in each case,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81"/>
        <w:gridCol w:w="1567"/>
        <w:gridCol w:w="7757"/>
      </w:tblGrid>
      <w:tr>
        <w:trPr/>
        <w:tc>
          <w:tcPr>
            <w:tcW w:w="881"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7757"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5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w:t>
            </w:r>
            <w:r>
              <w:rPr>
                <w:rFonts w:ascii="Times New Roman" w:hAnsi="Times New Roman"/>
                <w:i/>
                <w:color w:val="000000"/>
                <w:sz w:val="20"/>
              </w:rPr>
              <w:t>provided</w:t>
            </w:r>
            <w:r>
              <w:rPr>
                <w:rFonts w:ascii="Times New Roman" w:hAnsi="Times New Roman"/>
                <w:color w:val="000000"/>
                <w:sz w:val="20"/>
              </w:rPr>
              <w:t> that (x) all references to “voting shares” in Sections 12.1(d), 12.1(e) and 12.1(l) of the Equity Definitions shall be replaced by references to “Shares” and (y) Section 12.1(d) of the Equity Definitions is hereby amended by replacing “10%” with “20%” in the third line thereof.</w:t>
            </w:r>
          </w:p>
        </w:tc>
      </w:tr>
      <w:tr>
        <w:trPr/>
        <w:tc>
          <w:tcPr>
            <w:tcW w:w="88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Valid Third Party:</w:t>
            </w:r>
          </w:p>
        </w:tc>
        <w:tc>
          <w:tcPr>
            <w:tcW w:w="77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In respect of any transaction, any third party that has a bona fide intent to enter into or consummate such transaction (it being understood and agreed that in determining whether such third party has such a bona fide intent, the Calculation Agent shall take into consideration the effect of the relevant announcement by such third party on the Shares and/or options relating to the Shares).</w:t>
            </w:r>
          </w:p>
        </w:tc>
      </w:tr>
      <w:tr>
        <w:trPr/>
        <w:tc>
          <w:tcPr>
            <w:tcW w:w="88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Nationalization, Insolvency</w:t>
            </w:r>
          </w:p>
        </w:tc>
        <w:tc>
          <w:tcPr>
            <w:tcW w:w="7757"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15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or Delisting:</w:t>
            </w:r>
          </w:p>
        </w:tc>
        <w:tc>
          <w:tcPr>
            <w:tcW w:w="7757"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 xml:space="preserve">Cancellation and Payment (Calculation Agent Determination); </w:t>
            </w:r>
            <w:r>
              <w:rPr>
                <w:rFonts w:ascii="Times New Roman" w:hAnsi="Times New Roman"/>
                <w:i/>
                <w:color w:val="000000"/>
                <w:sz w:val="20"/>
              </w:rPr>
              <w:t>provided</w:t>
            </w:r>
            <w:r>
              <w:rPr>
                <w:rFonts w:ascii="Times New Roman" w:hAnsi="Times New Roman"/>
                <w:color w:val="000000"/>
                <w:sz w:val="20"/>
              </w:rPr>
              <w:t>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Additional Termination Event(s):</w:t>
            </w:r>
          </w:p>
        </w:tc>
        <w:tc>
          <w:tcPr>
            <w:tcW w:w="77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88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5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Additional Disruption Events: </w:t>
            </w:r>
          </w:p>
        </w:tc>
        <w:tc>
          <w:tcPr>
            <w:tcW w:w="7757"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156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Change in Law:</w:t>
            </w:r>
          </w:p>
        </w:tc>
        <w:tc>
          <w:tcPr>
            <w:tcW w:w="7757"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Applicable; </w:t>
            </w:r>
            <w:r>
              <w:rPr>
                <w:rFonts w:ascii="Times New Roman" w:hAnsi="Times New Roman"/>
                <w:i/>
                <w:color w:val="000000"/>
                <w:sz w:val="20"/>
              </w:rPr>
              <w:t>provided</w:t>
            </w:r>
            <w:r>
              <w:rPr>
                <w:rFonts w:ascii="Times New Roman" w:hAnsi="Times New Roman"/>
                <w:color w:val="000000"/>
                <w:sz w:val="20"/>
              </w:rPr>
              <w:t xml:space="preserve"> that Section 12.9(a)(ii) of the Equity Definitions is hereby amended by (i) replacing the phrase “the interpretation” in the third line thereof with the phrase “, or public announcement of, the formal or informal interpretation”, (ii) adding the phrase “and/or Hedge Positions” after the word “Shares” in clause (X) thereof, (iii) immediately following the word “Transaction” in </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881"/>
        <w:gridCol w:w="1123"/>
        <w:gridCol w:w="8201"/>
      </w:tblGrid>
      <w:tr>
        <w:trPr/>
        <w:tc>
          <w:tcPr>
            <w:tcW w:w="88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820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clause (X) thereof, adding the phrase “in the manner contemplated by the Hedging Party on the Trade Date”; (iv) replacing the parenthetical beginning after the word “regulation” in the second line thereof with the words “(including, for the avoidance of doubt and without limitation, (x) any tax law or (y) adoption or promulgation of new regulations authorized or mandated by existing statute)”, (v) adding the words “, or holding, acquiring or disposing of Shares or any Hedge Positions relating to,” after the words “obligations under” in clause (Y) thereof and (vi) adding the words “</w:t>
            </w:r>
            <w:r>
              <w:rPr>
                <w:rFonts w:ascii="Times New Roman" w:hAnsi="Times New Roman"/>
                <w:i/>
                <w:color w:val="000000"/>
                <w:sz w:val="20"/>
              </w:rPr>
              <w:t>provided</w:t>
            </w:r>
            <w:r>
              <w:rPr>
                <w:rFonts w:ascii="Times New Roman" w:hAnsi="Times New Roman"/>
                <w:color w:val="000000"/>
                <w:sz w:val="20"/>
              </w:rPr>
              <w:t> that, in the case of clause (Y) hereof and any law, regulation or interpretation, the consequence of such law, regulation or interpretation is applied consistently in good faith and in a commercially reasonable manner by Dealer to all of its similarly situated counterparties and/or similar transactions” after the semi-colon in the last line thereof.</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1123" w:type="dxa"/>
            <w:tcBorders/>
            <w:tcMar>
              <w:top w:w="0" w:type="dxa"/>
              <w:left w:w="0" w:type="dxa"/>
              <w:bottom w:w="0" w:type="dxa"/>
              <w:right w:w="0" w:type="dxa"/>
            </w:tcMar>
            <w:vAlign w:val="center"/>
          </w:tcPr>
          <w:p>
            <w:pPr>
              <w:pStyle w:val="TableContents"/>
              <w:bidi w:val="0"/>
              <w:spacing w:before="0" w:after="283"/>
              <w:jc w:val="both"/>
              <w:rPr/>
            </w:pPr>
            <w:r>
              <w:rPr/>
              <w:t> </w:t>
            </w:r>
          </w:p>
        </w:tc>
        <w:tc>
          <w:tcPr>
            <w:tcW w:w="82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11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(b)</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Failure to Deliver:</w:t>
            </w:r>
          </w:p>
        </w:tc>
        <w:tc>
          <w:tcPr>
            <w:tcW w:w="82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Applicable</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11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(c)</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Insolvency Filing:</w:t>
            </w:r>
          </w:p>
        </w:tc>
        <w:tc>
          <w:tcPr>
            <w:tcW w:w="82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 Applicable</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112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Hedging Disruption:</w:t>
            </w:r>
          </w:p>
        </w:tc>
        <w:tc>
          <w:tcPr>
            <w:tcW w:w="82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Applicable; </w:t>
            </w:r>
            <w:r>
              <w:rPr>
                <w:rFonts w:ascii="Times New Roman" w:hAnsi="Times New Roman"/>
                <w:i/>
                <w:color w:val="000000"/>
                <w:sz w:val="20"/>
              </w:rPr>
              <w:t>provided</w:t>
            </w:r>
            <w:r>
              <w:rPr>
                <w:rFonts w:ascii="Times New Roman" w:hAnsi="Times New Roman"/>
                <w:color w:val="000000"/>
                <w:sz w:val="20"/>
              </w:rPr>
              <w:t> that:</w:t>
            </w:r>
          </w:p>
        </w:tc>
      </w:tr>
      <w:tr>
        <w:trPr/>
        <w:tc>
          <w:tcPr>
            <w:tcW w:w="88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23" w:type="dxa"/>
            <w:tcBorders/>
            <w:tcMar>
              <w:top w:w="0" w:type="dxa"/>
              <w:left w:w="0" w:type="dxa"/>
              <w:bottom w:w="0" w:type="dxa"/>
              <w:right w:w="0" w:type="dxa"/>
            </w:tcMar>
            <w:vAlign w:val="center"/>
          </w:tcPr>
          <w:p>
            <w:pPr>
              <w:pStyle w:val="TableContents"/>
              <w:bidi w:val="0"/>
              <w:spacing w:before="120" w:after="283"/>
              <w:jc w:val="both"/>
              <w:rPr/>
            </w:pPr>
            <w:r>
              <w:rPr/>
              <w:t> </w:t>
            </w:r>
          </w:p>
        </w:tc>
        <w:tc>
          <w:tcPr>
            <w:tcW w:w="820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(i) Section 12.9(a)(v) of the Equity Definitions is hereby amended by inserting the following sentence at the end of such Section: </w:t>
            </w:r>
          </w:p>
          <w:p>
            <w:pPr>
              <w:pStyle w:val="TableContents"/>
              <w:bidi w:val="0"/>
              <w:spacing w:before="120" w:after="283"/>
              <w:jc w:val="both"/>
              <w:rPr>
                <w:color w:val="000000"/>
              </w:rPr>
            </w:pPr>
            <w:r>
              <w:rPr>
                <w:color w:val="000000"/>
              </w:rPr>
              <w:t>“</w:t>
            </w:r>
            <w:r>
              <w:rPr>
                <w:rFonts w:ascii="Times New Roman" w:hAnsi="Times New Roman"/>
                <w:color w:val="000000"/>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(ii) Section 12.9(b)(iii) of the Equity Definitions is hereby amended by inserting in the third line thereof, after the words “to terminate the Transaction”, the words “or a portion of the Transaction affected by such Hedging Disruption”.</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Notwithstanding anything to the contrary herein or in the Equity Definitions, in no event will a Hedging Disruption occur solely due to the deterioration of the creditworthiness of the Hedging Party relative to other comparable financial institutions.</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1123" w:type="dxa"/>
            <w:tcBorders/>
            <w:tcMar>
              <w:top w:w="0" w:type="dxa"/>
              <w:left w:w="0" w:type="dxa"/>
              <w:bottom w:w="0" w:type="dxa"/>
              <w:right w:w="0" w:type="dxa"/>
            </w:tcMar>
            <w:vAlign w:val="center"/>
          </w:tcPr>
          <w:p>
            <w:pPr>
              <w:pStyle w:val="TableContents"/>
              <w:bidi w:val="0"/>
              <w:spacing w:before="0" w:after="283"/>
              <w:jc w:val="both"/>
              <w:rPr/>
            </w:pPr>
            <w:r>
              <w:rPr/>
              <w:t> </w:t>
            </w:r>
          </w:p>
        </w:tc>
        <w:tc>
          <w:tcPr>
            <w:tcW w:w="82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1123" w:type="dxa"/>
            <w:tcBorders/>
            <w:tcMar>
              <w:top w:w="0" w:type="dxa"/>
              <w:left w:w="0" w:type="dxa"/>
              <w:bottom w:w="0" w:type="dxa"/>
              <w:right w:w="0" w:type="dxa"/>
            </w:tcMar>
            <w:vAlign w:val="center"/>
          </w:tcPr>
          <w:p>
            <w:pPr>
              <w:pStyle w:val="TableContents"/>
              <w:bidi w:val="0"/>
              <w:spacing w:before="0" w:after="283"/>
              <w:jc w:val="both"/>
              <w:rPr/>
            </w:pPr>
            <w:r>
              <w:rPr/>
              <w:t> </w:t>
            </w:r>
          </w:p>
        </w:tc>
        <w:tc>
          <w:tcPr>
            <w:tcW w:w="82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1123" w:type="dxa"/>
            <w:tcBorders/>
            <w:tcMar>
              <w:top w:w="0" w:type="dxa"/>
              <w:left w:w="0" w:type="dxa"/>
              <w:bottom w:w="0" w:type="dxa"/>
              <w:right w:w="0" w:type="dxa"/>
            </w:tcMar>
            <w:vAlign w:val="center"/>
          </w:tcPr>
          <w:p>
            <w:pPr>
              <w:pStyle w:val="TableContents"/>
              <w:bidi w:val="0"/>
              <w:spacing w:before="0" w:after="283"/>
              <w:jc w:val="both"/>
              <w:rPr/>
            </w:pPr>
            <w:r>
              <w:rPr/>
              <w:t> </w:t>
            </w:r>
          </w:p>
        </w:tc>
        <w:tc>
          <w:tcPr>
            <w:tcW w:w="82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both"/>
              <w:rPr/>
            </w:pPr>
            <w:r>
              <w:rPr/>
              <w:t> </w:t>
            </w:r>
          </w:p>
        </w:tc>
        <w:tc>
          <w:tcPr>
            <w:tcW w:w="1123"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Increased Cost of Hedging:</w:t>
            </w:r>
          </w:p>
        </w:tc>
        <w:tc>
          <w:tcPr>
            <w:tcW w:w="82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Applicable solely with respect to a “Change in Law” described in clause (Y) of Section 12.9(a)(ii) of the Equity Definitions as set forth in the last sentence opposite the caption “Change in Law” above.</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521"/>
        <w:gridCol w:w="1754"/>
        <w:gridCol w:w="7930"/>
      </w:tblGrid>
      <w:tr>
        <w:trPr/>
        <w:tc>
          <w:tcPr>
            <w:tcW w:w="521"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7930" w:type="dxa"/>
            <w:tcBorders/>
            <w:vAlign w:val="center"/>
          </w:tcPr>
          <w:p>
            <w:pPr>
              <w:pStyle w:val="TableContents"/>
              <w:bidi w:val="0"/>
              <w:spacing w:before="0" w:after="283"/>
              <w:jc w:val="left"/>
              <w:rPr>
                <w:sz w:val="4"/>
                <w:szCs w:val="4"/>
              </w:rPr>
            </w:pPr>
            <w:r>
              <w:rPr>
                <w:sz w:val="4"/>
                <w:szCs w:val="4"/>
              </w:rPr>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Hedging Party:</w:t>
            </w:r>
          </w:p>
        </w:tc>
        <w:tc>
          <w:tcPr>
            <w:tcW w:w="79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Dealer; all calculations and determinations made by the Hedging Party shall be made in good faith and in a commercially reasonable manner; </w:t>
            </w:r>
            <w:r>
              <w:rPr>
                <w:rFonts w:ascii="Times New Roman" w:hAnsi="Times New Roman"/>
                <w:i/>
                <w:color w:val="000000"/>
                <w:sz w:val="20"/>
              </w:rPr>
              <w:t xml:space="preserve">provided </w:t>
            </w:r>
            <w:r>
              <w:rPr>
                <w:rFonts w:ascii="Times New Roman" w:hAnsi="Times New Roman"/>
                <w:color w:val="000000"/>
                <w:sz w:val="20"/>
              </w:rPr>
              <w:t>that the Hedging Party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Hedging Party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w:t>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Determining Party:</w:t>
            </w:r>
          </w:p>
        </w:tc>
        <w:tc>
          <w:tcPr>
            <w:tcW w:w="79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Dealer; all calculations and determinations made by the Determining Party shall be made in good faith and in a commercially reasonable manner; </w:t>
            </w:r>
            <w:r>
              <w:rPr>
                <w:rFonts w:ascii="Times New Roman" w:hAnsi="Times New Roman"/>
                <w:i/>
                <w:color w:val="000000"/>
                <w:sz w:val="20"/>
              </w:rPr>
              <w:t>provided</w:t>
            </w:r>
            <w:r>
              <w:rPr>
                <w:rFonts w:ascii="Times New Roman" w:hAnsi="Times New Roman"/>
                <w:color w:val="000000"/>
                <w:sz w:val="20"/>
              </w:rPr>
              <w:t> that the Determining Party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Determining Party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w:t>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Non-Reliance:</w:t>
            </w:r>
          </w:p>
        </w:tc>
        <w:tc>
          <w:tcPr>
            <w:tcW w:w="79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Applicable</w:t>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Agreements and Acknowledgments </w:t>
            </w:r>
          </w:p>
        </w:tc>
        <w:tc>
          <w:tcPr>
            <w:tcW w:w="7930" w:type="dxa"/>
            <w:tcBorders/>
            <w:tcMar>
              <w:top w:w="0" w:type="dxa"/>
              <w:left w:w="0" w:type="dxa"/>
              <w:bottom w:w="0" w:type="dxa"/>
              <w:right w:w="0" w:type="dxa"/>
            </w:tcMar>
            <w:vAlign w:val="center"/>
          </w:tcPr>
          <w:p>
            <w:pPr>
              <w:pStyle w:val="TableContents"/>
              <w:bidi w:val="0"/>
              <w:spacing w:before="120" w:after="283"/>
              <w:jc w:val="both"/>
              <w:rPr/>
            </w:pPr>
            <w:r>
              <w:rPr/>
              <w:t> </w:t>
            </w:r>
          </w:p>
        </w:tc>
      </w:tr>
      <w:tr>
        <w:trPr/>
        <w:tc>
          <w:tcPr>
            <w:tcW w:w="521" w:type="dxa"/>
            <w:tcBorders/>
            <w:tcMar>
              <w:top w:w="0" w:type="dxa"/>
              <w:left w:w="0" w:type="dxa"/>
              <w:bottom w:w="0" w:type="dxa"/>
              <w:right w:w="0" w:type="dxa"/>
            </w:tcMar>
            <w:vAlign w:val="center"/>
          </w:tcPr>
          <w:p>
            <w:pPr>
              <w:pStyle w:val="TableContents"/>
              <w:bidi w:val="0"/>
              <w:spacing w:before="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Regarding Hedging Activities:</w:t>
            </w:r>
          </w:p>
        </w:tc>
        <w:tc>
          <w:tcPr>
            <w:tcW w:w="79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Applicable</w:t>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Additional Acknowledgments:</w:t>
            </w:r>
          </w:p>
        </w:tc>
        <w:tc>
          <w:tcPr>
            <w:tcW w:w="79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Applicable</w:t>
            </w:r>
          </w:p>
        </w:tc>
      </w:tr>
      <w:tr>
        <w:trPr/>
        <w:tc>
          <w:tcPr>
            <w:tcW w:w="52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Hedging Adjustment:</w:t>
            </w:r>
          </w:p>
        </w:tc>
        <w:tc>
          <w:tcPr>
            <w:tcW w:w="793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For the avoidance of doubt, whenever Dealer, Determining Party, Hedging Party or the Calculation Agent is permitted to make an adjustment pursuant to the terms of this Confirmation or the Equity Definitions to take into account the effect of any event (other than an adjustment that is required to be made by reference to the Indenture), the Calculation Agent, Determining Party, Hedging Party or Dealer, as the case may be, shall make such adjustment by reference to the effect of such event on Dealer assuming that Dealer maintains a commercially reasonable hedge position.</w:t>
            </w:r>
          </w:p>
        </w:tc>
      </w:tr>
      <w:tr>
        <w:trPr/>
        <w:tc>
          <w:tcPr>
            <w:tcW w:w="521" w:type="dxa"/>
            <w:tcBorders/>
            <w:tcMar>
              <w:top w:w="0" w:type="dxa"/>
              <w:left w:w="0" w:type="dxa"/>
              <w:bottom w:w="0" w:type="dxa"/>
              <w:right w:w="0" w:type="dxa"/>
            </w:tcMar>
            <w:vAlign w:val="center"/>
          </w:tcPr>
          <w:p>
            <w:pPr>
              <w:pStyle w:val="TableContents"/>
              <w:bidi w:val="0"/>
              <w:spacing w:before="0" w:after="283"/>
              <w:jc w:val="both"/>
              <w:rPr/>
            </w:pPr>
            <w:r>
              <w:rPr/>
              <w:t> </w:t>
            </w:r>
          </w:p>
        </w:tc>
        <w:tc>
          <w:tcPr>
            <w:tcW w:w="1754" w:type="dxa"/>
            <w:tcBorders/>
            <w:tcMar>
              <w:top w:w="0" w:type="dxa"/>
              <w:left w:w="0" w:type="dxa"/>
              <w:bottom w:w="0" w:type="dxa"/>
              <w:right w:w="0" w:type="dxa"/>
            </w:tcMar>
            <w:vAlign w:val="center"/>
          </w:tcPr>
          <w:p>
            <w:pPr>
              <w:pStyle w:val="TableContents"/>
              <w:bidi w:val="0"/>
              <w:spacing w:before="0" w:after="283"/>
              <w:jc w:val="both"/>
              <w:rPr/>
            </w:pPr>
            <w:r>
              <w:rPr/>
              <w:t> </w:t>
            </w:r>
          </w:p>
        </w:tc>
        <w:tc>
          <w:tcPr>
            <w:tcW w:w="793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1754" w:type="dxa"/>
            <w:tcBorders/>
            <w:tcMar>
              <w:top w:w="0" w:type="dxa"/>
              <w:left w:w="0" w:type="dxa"/>
              <w:bottom w:w="0" w:type="dxa"/>
              <w:right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3.</w:t>
            </w:r>
          </w:p>
          <w:p>
            <w:pPr>
              <w:pStyle w:val="TableContents"/>
              <w:bidi w:val="0"/>
              <w:spacing w:before="0" w:after="0"/>
              <w:jc w:val="both"/>
              <w:rPr/>
            </w:pPr>
            <w:r>
              <w:rPr>
                <w:rFonts w:ascii="Times New Roman" w:hAnsi="Times New Roman"/>
                <w:color w:val="000000"/>
                <w:sz w:val="20"/>
                <w:u w:val="single"/>
              </w:rPr>
              <w:t>Calculation Agent</w:t>
            </w:r>
            <w:r>
              <w:rPr>
                <w:rFonts w:ascii="Times New Roman" w:hAnsi="Times New Roman"/>
                <w:color w:val="000000"/>
                <w:sz w:val="20"/>
              </w:rPr>
              <w:t xml:space="preserve">: </w:t>
            </w:r>
          </w:p>
        </w:tc>
        <w:tc>
          <w:tcPr>
            <w:tcW w:w="79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Dealer; </w:t>
            </w:r>
            <w:r>
              <w:rPr>
                <w:rFonts w:ascii="Times New Roman" w:hAnsi="Times New Roman"/>
                <w:i/>
                <w:color w:val="000000"/>
                <w:sz w:val="20"/>
              </w:rPr>
              <w:t>provided</w:t>
            </w:r>
            <w:r>
              <w:rPr>
                <w:rFonts w:ascii="Times New Roman" w:hAnsi="Times New Roman"/>
                <w:color w:val="000000"/>
                <w:sz w:val="20"/>
              </w:rPr>
              <w:t xml:space="preserve"> that all calculations and determinations by the Calculation Agent (other than calculations or determinations made by reference to the Indenture) shall be made in good faith and in a commercially reasonable manner and assuming for such purposes that Dealer is maintaining, establishing and/or unwinding, as applicable, </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a commercially reasonable hedge position; </w:t>
            </w:r>
            <w:r>
              <w:rPr>
                <w:rFonts w:ascii="Times New Roman" w:hAnsi="Times New Roman"/>
                <w:i/>
                <w:color w:val="000000"/>
                <w:sz w:val="20"/>
              </w:rPr>
              <w:t>provided further</w:t>
            </w:r>
            <w:r>
              <w:rPr>
                <w:rFonts w:ascii="Times New Roman" w:hAnsi="Times New Roman"/>
                <w:color w:val="000000"/>
                <w:sz w:val="20"/>
              </w:rPr>
              <w:t> that if an Event of Default of the type described in Section 5(a)(vii) of the Agreement with respect to which Dealer is the sole Defaulting Party occurs, Counterparty shall have the right to appoint a successor calculation agent which shall be a nationally recognized third-party dealer in over-the-counter corporate equity derivatives. Calculation Agent agrees that it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Calculation Agent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tbl>
      <w:tblPr>
        <w:tblW w:w="6147" w:type="dxa"/>
        <w:jc w:val="left"/>
        <w:tblInd w:w="0" w:type="dxa"/>
        <w:tblLayout w:type="fixed"/>
        <w:tblCellMar>
          <w:top w:w="28" w:type="dxa"/>
          <w:left w:w="28" w:type="dxa"/>
          <w:bottom w:w="28" w:type="dxa"/>
          <w:right w:w="28" w:type="dxa"/>
        </w:tblCellMar>
      </w:tblPr>
      <w:tblGrid>
        <w:gridCol w:w="881"/>
        <w:gridCol w:w="5266"/>
      </w:tblGrid>
      <w:tr>
        <w:trPr/>
        <w:tc>
          <w:tcPr>
            <w:tcW w:w="881"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52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4.</w:t>
            </w:r>
          </w:p>
          <w:p>
            <w:pPr>
              <w:pStyle w:val="TableContents"/>
              <w:bidi w:val="0"/>
              <w:spacing w:before="120" w:after="283"/>
              <w:jc w:val="left"/>
              <w:rPr>
                <w:rFonts w:ascii="Times New Roman" w:hAnsi="Times New Roman"/>
                <w:color w:val="000000"/>
                <w:sz w:val="20"/>
                <w:u w:val="single"/>
              </w:rPr>
            </w:pPr>
            <w:r>
              <w:rPr>
                <w:rFonts w:ascii="Times New Roman" w:hAnsi="Times New Roman"/>
                <w:color w:val="000000"/>
                <w:sz w:val="20"/>
                <w:u w:val="single"/>
              </w:rPr>
              <w:t>Account Details:</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360"/>
              <w:jc w:val="both"/>
              <w:rPr/>
            </w:pPr>
            <w:r>
              <w:rPr/>
              <w:t> </w:t>
            </w:r>
          </w:p>
        </w:tc>
        <w:tc>
          <w:tcPr>
            <w:tcW w:w="5266" w:type="dxa"/>
            <w:tcBorders/>
            <w:tcMar>
              <w:top w:w="0" w:type="dxa"/>
              <w:left w:w="0" w:type="dxa"/>
              <w:bottom w:w="0" w:type="dxa"/>
              <w:right w:w="0" w:type="dxa"/>
            </w:tcMar>
            <w:vAlign w:val="center"/>
          </w:tcPr>
          <w:p>
            <w:pPr>
              <w:pStyle w:val="TableContents"/>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Dealer Payment Instructions:</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both"/>
              <w:rPr/>
            </w:pPr>
            <w:r>
              <w:rPr/>
              <w:t> </w:t>
            </w:r>
          </w:p>
        </w:tc>
        <w:tc>
          <w:tcPr>
            <w:tcW w:w="5266" w:type="dxa"/>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Dealer Accounts</w:t>
            </w:r>
            <w:r>
              <w:rPr>
                <w:rFonts w:ascii="Times New Roman" w:hAnsi="Times New Roman"/>
                <w:color w:val="000000"/>
                <w:sz w:val="20"/>
              </w:rPr>
              <w:t>]</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Counterparty Payment Instructions:</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To be provided by Counterparty.</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360"/>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5.</w:t>
            </w:r>
          </w:p>
          <w:p>
            <w:pPr>
              <w:pStyle w:val="TableContents"/>
              <w:bidi w:val="0"/>
              <w:spacing w:before="120" w:after="283"/>
              <w:jc w:val="left"/>
              <w:rPr/>
            </w:pPr>
            <w:r>
              <w:rPr>
                <w:rFonts w:ascii="Times New Roman" w:hAnsi="Times New Roman"/>
                <w:color w:val="000000"/>
                <w:sz w:val="20"/>
                <w:u w:val="single"/>
              </w:rPr>
              <w:t>Offices</w:t>
            </w:r>
            <w:r>
              <w:rPr>
                <w:rFonts w:ascii="Times New Roman" w:hAnsi="Times New Roman"/>
                <w:color w:val="000000"/>
                <w:sz w:val="20"/>
              </w:rPr>
              <w:t>:</w:t>
            </w:r>
          </w:p>
        </w:tc>
      </w:tr>
      <w:tr>
        <w:trPr/>
        <w:tc>
          <w:tcPr>
            <w:tcW w:w="881"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The Office of Dealer for the Transaction is: [</w:t>
            </w:r>
            <w:r>
              <w:rPr>
                <w:rFonts w:ascii="Times New Roman" w:hAnsi="Times New Roman"/>
                <w:i/>
                <w:color w:val="000000"/>
                <w:sz w:val="20"/>
              </w:rPr>
              <w:t>Dealer to provide</w:t>
            </w:r>
            <w:r>
              <w:rPr>
                <w:rFonts w:ascii="Times New Roman" w:hAnsi="Times New Roman"/>
                <w:color w:val="000000"/>
                <w:sz w:val="20"/>
              </w:rPr>
              <w:t>.]</w:t>
            </w:r>
          </w:p>
        </w:tc>
      </w:tr>
      <w:tr>
        <w:trPr/>
        <w:tc>
          <w:tcPr>
            <w:tcW w:w="881"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The Office of Counterparty for the Transaction is:</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ind w:left="0" w:right="0" w:firstLine="720"/>
              <w:jc w:val="both"/>
              <w:rPr>
                <w:rFonts w:ascii="Times New Roman" w:hAnsi="Times New Roman"/>
                <w:color w:val="000000"/>
                <w:sz w:val="20"/>
              </w:rPr>
            </w:pPr>
            <w:r>
              <w:rPr>
                <w:rFonts w:ascii="Times New Roman" w:hAnsi="Times New Roman"/>
                <w:color w:val="000000"/>
                <w:sz w:val="20"/>
              </w:rPr>
              <w:t xml:space="preserve">Inapplicable, Counterparty is not a Multibranch Party </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360"/>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6.</w:t>
            </w:r>
          </w:p>
          <w:p>
            <w:pPr>
              <w:pStyle w:val="TableContents"/>
              <w:bidi w:val="0"/>
              <w:spacing w:before="120" w:after="283"/>
              <w:jc w:val="both"/>
              <w:rPr/>
            </w:pPr>
            <w:r>
              <w:rPr>
                <w:rFonts w:ascii="Times New Roman" w:hAnsi="Times New Roman"/>
                <w:color w:val="000000"/>
                <w:sz w:val="20"/>
                <w:u w:val="single"/>
              </w:rPr>
              <w:t>Notices</w:t>
            </w:r>
            <w:r>
              <w:rPr>
                <w:rFonts w:ascii="Times New Roman" w:hAnsi="Times New Roman"/>
                <w:color w:val="000000"/>
                <w:sz w:val="20"/>
              </w:rPr>
              <w:t>: For purposes of this Confirmation:</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360"/>
              <w:jc w:val="left"/>
              <w:rPr/>
            </w:pPr>
            <w:r>
              <w:rPr/>
              <w:t> </w:t>
            </w:r>
          </w:p>
        </w:tc>
        <w:tc>
          <w:tcPr>
            <w:tcW w:w="526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Address for notices or communications to Counterparty:</w:t>
            </w:r>
          </w:p>
        </w:tc>
      </w:tr>
    </w:tbl>
    <w:p>
      <w:pPr>
        <w:pStyle w:val="TextBody"/>
        <w:bidi w:val="0"/>
        <w:jc w:val="left"/>
        <w:rPr/>
      </w:pPr>
      <w:r>
        <w:rPr/>
        <w:t> </w:t>
      </w:r>
    </w:p>
    <w:tbl>
      <w:tblPr>
        <w:tblW w:w="5020" w:type="dxa"/>
        <w:jc w:val="left"/>
        <w:tblInd w:w="0" w:type="dxa"/>
        <w:tblLayout w:type="fixed"/>
        <w:tblCellMar>
          <w:top w:w="28" w:type="dxa"/>
          <w:left w:w="28" w:type="dxa"/>
          <w:bottom w:w="28" w:type="dxa"/>
          <w:right w:w="28" w:type="dxa"/>
        </w:tblCellMar>
      </w:tblPr>
      <w:tblGrid>
        <w:gridCol w:w="881"/>
        <w:gridCol w:w="181"/>
        <w:gridCol w:w="486"/>
        <w:gridCol w:w="3472"/>
      </w:tblGrid>
      <w:tr>
        <w:trPr/>
        <w:tc>
          <w:tcPr>
            <w:tcW w:w="8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w:t>
            </w:r>
          </w:p>
        </w:tc>
        <w:tc>
          <w:tcPr>
            <w:tcW w:w="34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Diodes Incorporated</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4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4949 Hedgcoxe Road, Suite 200</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4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Plano, Texas 75024</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4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Attention: [______________]</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347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 [______________]</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360"/>
              <w:jc w:val="left"/>
              <w:rPr/>
            </w:pPr>
            <w:r>
              <w:rPr/>
              <w:t> </w:t>
            </w:r>
          </w:p>
        </w:tc>
        <w:tc>
          <w:tcPr>
            <w:tcW w:w="4139" w:type="dxa"/>
            <w:gridSpan w:val="3"/>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(b)</w:t>
            </w:r>
          </w:p>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Address for notices or communications to Dealer:</w:t>
            </w:r>
          </w:p>
        </w:tc>
      </w:tr>
      <w:tr>
        <w:trPr/>
        <w:tc>
          <w:tcPr>
            <w:tcW w:w="881" w:type="dxa"/>
            <w:tcBorders/>
            <w:tcMar>
              <w:top w:w="0" w:type="dxa"/>
              <w:left w:w="0" w:type="dxa"/>
              <w:bottom w:w="0" w:type="dxa"/>
              <w:right w:w="0" w:type="dxa"/>
            </w:tcMar>
            <w:vAlign w:val="center"/>
          </w:tcPr>
          <w:p>
            <w:pPr>
              <w:pStyle w:val="TableContents"/>
              <w:bidi w:val="0"/>
              <w:spacing w:before="120" w:after="283"/>
              <w:ind w:left="0" w:right="0" w:firstLine="720"/>
              <w:jc w:val="left"/>
              <w:rPr/>
            </w:pPr>
            <w:r>
              <w:rPr/>
              <w:t> </w:t>
            </w:r>
          </w:p>
        </w:tc>
        <w:tc>
          <w:tcPr>
            <w:tcW w:w="4139" w:type="dxa"/>
            <w:gridSpan w:val="3"/>
            <w:tcBorders/>
            <w:tcMar>
              <w:top w:w="0" w:type="dxa"/>
              <w:left w:w="0" w:type="dxa"/>
              <w:bottom w:w="0" w:type="dxa"/>
              <w:right w:w="0" w:type="dxa"/>
            </w:tcMar>
            <w:vAlign w:val="center"/>
          </w:tcPr>
          <w:p>
            <w:pPr>
              <w:pStyle w:val="TableContents"/>
              <w:bidi w:val="0"/>
              <w:spacing w:before="120" w:after="283"/>
              <w:ind w:left="0" w:right="0" w:firstLine="720"/>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Dealer address.</w:t>
            </w: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both"/>
        <w:rPr/>
      </w:pPr>
      <w:r>
        <w:rPr>
          <w:rFonts w:ascii="Times New Roman" w:hAnsi="Times New Roman"/>
          <w:color w:val="000000"/>
          <w:sz w:val="20"/>
          <w:u w:val="single"/>
        </w:rPr>
        <w:t>Representations, Warranties and Agreements</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representations and warranties in the Agreement and those contained elsewhere herein, Counterparty represents and warrants to and for the benefit of, and agrees with, Dealer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color w:val="000000"/>
          <w:sz w:val="20"/>
        </w:rPr>
        <w:t>On the Trade Date, (A) Counterparty is not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 w:hAnsi="Times New Roman"/>
          <w:b/>
          <w:color w:val="000000"/>
          <w:sz w:val="20"/>
        </w:rPr>
        <w:t>Exchange Act</w:t>
      </w:r>
      <w:r>
        <w:rPr>
          <w:color w:val="000000"/>
        </w:rPr>
        <w:t>”</w:t>
      </w:r>
      <w:r>
        <w:rPr>
          <w:rFonts w:ascii="Times New Roman" w:hAnsi="Times New Roman"/>
          <w:color w:val="000000"/>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rPr>
        <w:t>(A) On the Trade Date, the Shares or securities that are convertible into, or exchangeable or exercisable for Shares, are not subject to a “restricted period,” as such term is defined in Regulation M under the Exchange Act (“</w:t>
      </w:r>
      <w:r>
        <w:rPr>
          <w:rFonts w:ascii="Times New Roman" w:hAnsi="Times New Roman"/>
          <w:b/>
          <w:color w:val="000000"/>
          <w:sz w:val="20"/>
        </w:rPr>
        <w:t>Regulation M</w:t>
      </w:r>
      <w:r>
        <w:rPr>
          <w:color w:val="000000"/>
        </w:rPr>
        <w:t>”</w:t>
      </w:r>
      <w:r>
        <w:rPr>
          <w:rFonts w:ascii="Times New Roman" w:hAnsi="Times New Roman"/>
          <w:color w:val="000000"/>
          <w:sz w:val="20"/>
        </w:rPr>
        <w:t>) and (B) Counterparty shall not engage in any “distribution,” as such term is defined in Regulation M, other than a distribution meeting the requirements of the exceptions set forth in Rules 101(b)(10), 102(b)(7) or 102(c)(1)(i) of Regulation M, until the third Exchange Business Day immediately following the Trade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pPr>
      <w:r>
        <w:rPr>
          <w:rFonts w:ascii="Times New Roman" w:hAnsi="Times New Roman"/>
          <w:color w:val="000000"/>
          <w:sz w:val="20"/>
        </w:rPr>
        <w:t>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w:t>
      </w:r>
      <w:r>
        <w:rPr>
          <w:color w:val="000000"/>
        </w:rPr>
        <w:t xml:space="preserve"> </w:t>
      </w:r>
      <w:r>
        <w:rPr>
          <w:rFonts w:ascii="Times New Roman" w:hAnsi="Times New Roman"/>
          <w:i/>
          <w:color w:val="000000"/>
          <w:sz w:val="20"/>
        </w:rPr>
        <w:t>Earnings Per Share</w:t>
      </w:r>
      <w:r>
        <w:rPr>
          <w:rFonts w:ascii="Times New Roman" w:hAnsi="Times New Roman"/>
          <w:color w:val="000000"/>
          <w:sz w:val="20"/>
        </w:rPr>
        <w:t>, ASC Topic 815,</w:t>
      </w:r>
      <w:r>
        <w:rPr>
          <w:color w:val="000000"/>
        </w:rPr>
        <w:t xml:space="preserve"> </w:t>
      </w:r>
      <w:r>
        <w:rPr>
          <w:rFonts w:ascii="Times New Roman" w:hAnsi="Times New Roman"/>
          <w:i/>
          <w:color w:val="000000"/>
          <w:sz w:val="20"/>
        </w:rPr>
        <w:t>Derivatives and Hedging</w:t>
      </w:r>
      <w:r>
        <w:rPr>
          <w:rFonts w:ascii="Times New Roman" w:hAnsi="Times New Roman"/>
          <w:color w:val="000000"/>
          <w:sz w:val="20"/>
        </w:rPr>
        <w:t>, or ASC Topic 480,</w:t>
      </w:r>
      <w:r>
        <w:rPr>
          <w:color w:val="000000"/>
        </w:rPr>
        <w:t xml:space="preserve"> </w:t>
      </w:r>
      <w:r>
        <w:rPr>
          <w:rFonts w:ascii="Times New Roman" w:hAnsi="Times New Roman"/>
          <w:i/>
          <w:color w:val="000000"/>
          <w:sz w:val="20"/>
        </w:rPr>
        <w:t>Distinguishing Liabilities from Equity</w:t>
      </w:r>
      <w:r>
        <w:rPr>
          <w:color w:val="000000"/>
        </w:rPr>
        <w:t xml:space="preserve"> </w:t>
      </w:r>
      <w:r>
        <w:rPr>
          <w:rFonts w:ascii="Times New Roman" w:hAnsi="Times New Roman"/>
          <w:color w:val="000000"/>
          <w:sz w:val="20"/>
        </w:rPr>
        <w:t xml:space="preserve">and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0"/>
        </w:rPr>
        <w:t>ASC 815-40,</w:t>
      </w:r>
      <w:r>
        <w:rPr>
          <w:color w:val="000000"/>
        </w:rPr>
        <w:t xml:space="preserve"> </w:t>
      </w:r>
      <w:r>
        <w:rPr>
          <w:rFonts w:ascii="Times New Roman" w:hAnsi="Times New Roman"/>
          <w:i/>
          <w:color w:val="000000"/>
          <w:sz w:val="20"/>
        </w:rPr>
        <w:t>Derivatives and Hedging – Contracts in Entity’s Own Equity</w:t>
      </w:r>
      <w:r>
        <w:rPr>
          <w:color w:val="000000"/>
        </w:rPr>
        <w:t xml:space="preserve"> </w:t>
      </w:r>
      <w:r>
        <w:rPr>
          <w:rFonts w:ascii="Times New Roman" w:hAnsi="Times New Roman"/>
          <w:color w:val="000000"/>
          <w:sz w:val="20"/>
        </w:rPr>
        <w:t>(or any successor issue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generality of Section 3(a)(iii) of the Agreement, the Transaction will not violate Rule 13e-1 or Rule 13e-4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the Trade Date, Counterparty shall deliver to Dealer a resolution of Counterparty’s board of directors authorizing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(viii)</w:t>
      </w:r>
    </w:p>
    <w:p>
      <w:pPr>
        <w:pStyle w:val="TextBody"/>
        <w:bidi w:val="0"/>
        <w:spacing w:before="240" w:after="283"/>
        <w:jc w:val="both"/>
        <w:rPr/>
      </w:pPr>
      <w:r>
        <w:rPr>
          <w:rFonts w:ascii="Times New Roman" w:hAnsi="Times New Roman"/>
          <w:color w:val="000000"/>
          <w:sz w:val="20"/>
        </w:rPr>
        <w:t>On each of the Trade Date and the Premium Payment Date, Counterparty is not “insolvent” (as such term is defined under Section 101(32) of the U.S. Bankruptcy Code (Title 11 of the United States Code) (the “</w:t>
      </w:r>
      <w:r>
        <w:rPr>
          <w:rFonts w:ascii="Times New Roman" w:hAnsi="Times New Roman"/>
          <w:b/>
          <w:color w:val="000000"/>
          <w:sz w:val="20"/>
        </w:rPr>
        <w:t>Bankruptcy Code</w:t>
      </w:r>
      <w:r>
        <w:rPr>
          <w:color w:val="000000"/>
        </w:rPr>
        <w:t>”</w:t>
      </w:r>
      <w:r>
        <w:rPr>
          <w:rFonts w:ascii="Times New Roman" w:hAnsi="Times New Roman"/>
          <w:color w:val="000000"/>
          <w:sz w:val="20"/>
        </w:rPr>
        <w:t>)) and Counterparty would be able to purchase the Number of Shares in compliance with the laws of the jurisdiction of Counterparty’s incorporation.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(ix)</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bookmarkStart w:id="8" w:name="ole_link1"/>
      <w:bookmarkEnd w:id="8"/>
      <w:r>
        <w:rPr>
          <w:rFonts w:ascii="Times New Roman" w:hAnsi="Times New Roman"/>
          <w:color w:val="000000"/>
          <w:sz w:val="20"/>
        </w:rPr>
        <w:t>[</w:t>
      </w:r>
      <w:r>
        <w:rPr>
          <w:rFonts w:ascii="Times New Roman" w:hAnsi="Times New Roman"/>
          <w:i/>
          <w:color w:val="000000"/>
          <w:sz w:val="20"/>
        </w:rPr>
        <w:t>Reserved</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w:t>
      </w:r>
    </w:p>
    <w:p>
      <w:pPr>
        <w:pStyle w:val="TextBody"/>
        <w:bidi w:val="0"/>
        <w:spacing w:before="240" w:after="283"/>
        <w:jc w:val="both"/>
        <w:rPr/>
      </w:pPr>
      <w:r>
        <w:rPr>
          <w:rFonts w:ascii="Times New Roman" w:hAnsi="Times New Roman"/>
          <w:color w:val="000000"/>
          <w:sz w:val="20"/>
        </w:rPr>
        <w:t xml:space="preserve">To the actual knowledge of Counterparty,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hAnsi="Times New Roman"/>
          <w:i/>
          <w:color w:val="000000"/>
          <w:sz w:val="20"/>
        </w:rPr>
        <w:t>provided</w:t>
      </w:r>
      <w:r>
        <w:rPr>
          <w:color w:val="000000"/>
        </w:rPr>
        <w:t xml:space="preserve"> </w:t>
      </w:r>
      <w:r>
        <w:rPr>
          <w:rFonts w:ascii="Times New Roman" w:hAnsi="Times New Roman"/>
          <w:color w:val="000000"/>
          <w:sz w:val="20"/>
        </w:rPr>
        <w:t>that Counterparty makes no representation or warranty regarding any such requirement that is applicable generally to the ownership of equity securities by Dealer or any of its affiliates solely as a result of it or any of such affiliates being financial institutions or broker-dealers.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rPr>
        <w:t>Each of Dealer and Counterparty acknowledges that the offer and sale of the Transaction to it is intended to be exempt from registration under the Securities Act of 1933, as amended (the “</w:t>
      </w:r>
      <w:r>
        <w:rPr>
          <w:rFonts w:ascii="Times New Roman" w:hAnsi="Times New Roman"/>
          <w:b/>
          <w:color w:val="000000"/>
          <w:sz w:val="20"/>
        </w:rPr>
        <w:t>Securities Act</w:t>
      </w:r>
      <w:r>
        <w:rPr>
          <w:color w:val="000000"/>
        </w:rPr>
        <w:t>”</w:t>
      </w:r>
      <w:r>
        <w:rPr>
          <w:rFonts w:ascii="Times New Roman" w:hAnsi="Times New Roman"/>
          <w:color w:val="000000"/>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color w:val="000000"/>
          <w:sz w:val="20"/>
        </w:rPr>
        <w:t xml:space="preserve">As a condition to the effectiveness of the Transaction, Counterparty shall deliver to Dealer an opinion of counsel, dated as of the Premium Payment Date and reasonably acceptable to Dealer in form and substance, with respect to the matters set forth in Section 3(a)(i), (ii), (iii) and (iv) of the Agreement and Section 7(a)(vii) hereof;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any such opinion of counsel may contain customary exceptions and qualifications, including, without limitation, exceptions and qualifications relating to indemnification provisions.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color w:val="000000"/>
          <w:sz w:val="20"/>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 [</w:t>
      </w:r>
      <w:r>
        <w:rPr>
          <w:rFonts w:ascii="Times New Roman" w:hAnsi="Times New Roman"/>
          <w:i/>
          <w:color w:val="000000"/>
          <w:sz w:val="20"/>
        </w:rPr>
        <w:t>Reserved</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party acknowledges and agrees to be bound by the Conduct Rules of the Financial Industry Regulatory Authority, Inc. applicable to transactions in options, and further agrees not to violate the position and exercise limits set forth therein, in each case, to the extent such rules are applicable to such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both"/>
        <w:rPr/>
      </w:pPr>
      <w:r>
        <w:rPr>
          <w:rFonts w:ascii="Times New Roman" w:hAnsi="Times New Roman"/>
          <w:color w:val="000000"/>
          <w:sz w:val="20"/>
          <w:u w:val="single"/>
        </w:rPr>
        <w:t>Other Provisions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i/>
          <w:color w:val="000000"/>
          <w:sz w:val="20"/>
        </w:rPr>
        <w:t>Right to Extend</w:t>
      </w:r>
      <w:r>
        <w:rPr>
          <w:rFonts w:ascii="Times New Roman" w:hAnsi="Times New Roman"/>
          <w:color w:val="000000"/>
          <w:sz w:val="20"/>
        </w:rPr>
        <w:t xml:space="preserve">. Dealer may postpone or add, in whole or in part, any Exercise Date or Settlement Date or any other date of valuation, payment or delivery by Dealer, with respect to some or all of the relevant Options (in which event the Calculation Agent, in good faith and in a commercially reasonable manner, shall make appropriate adjustments to the Delivery Obligation), if Dealer determines, in good faith and in a commercially reasonable manner, and, in respect of clause (ii) below, based on the advice of counsel,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0"/>
        </w:rPr>
        <w:t xml:space="preserve">that such extension is reasonably necessary or appropriate (i) to preserve Dealer’s commercially reasonable hedging or hedge unwind activity hereunder in light of existing liquidity conditions in the cash market, the stock borrow market or other relevant market (but only if there is a material decrease in liquidity relative to Dealer’s expectations on the Trade Date), or (ii) to enable Dealer to effect purchases or sales of Shares or Share Termination Delivery Units in connection with its commercially reasonable hedging, hedge unwind or settlement activity hereunder in a manner that would (assuming, in the case of purchases,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or procedures are consistently applied to transactions similar to the Transaction); </w:t>
      </w:r>
      <w:r>
        <w:rPr>
          <w:rFonts w:ascii="Times New Roman" w:hAnsi="Times New Roman"/>
          <w:i/>
          <w:color w:val="000000"/>
          <w:sz w:val="20"/>
        </w:rPr>
        <w:t>provided</w:t>
      </w:r>
      <w:r>
        <w:rPr>
          <w:color w:val="000000"/>
        </w:rPr>
        <w:t xml:space="preserve"> </w:t>
      </w:r>
      <w:r>
        <w:rPr>
          <w:rFonts w:ascii="Times New Roman" w:hAnsi="Times New Roman"/>
          <w:color w:val="000000"/>
          <w:sz w:val="20"/>
        </w:rPr>
        <w:t>that no such Exercise Date, Settlement Date or other date of valuation, payment or delivery may be postponed or added more than 30 Trading Days after the original Exercise Date, Settlement Date or other date of valuation, payment or delivery, as the case may be.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i/>
          <w:color w:val="000000"/>
          <w:sz w:val="20"/>
        </w:rPr>
        <w:t>Additional Termination Events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 event of default with respect to Counterparty under the terms of the Convertible Securities as set forth in Section 6.01 of the Indenture, which default has resulted in the Convertible Securities becoming due and payable under the terms thereof,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pPr>
      <w:r>
        <w:rPr>
          <w:rFonts w:ascii="Times New Roman" w:hAnsi="Times New Roman"/>
          <w:color w:val="000000"/>
          <w:sz w:val="20"/>
        </w:rPr>
        <w:t xml:space="preserve">As promptly as practicable (but in any event within ten (10) Scheduled Trading Days) following any Repurchase Event (as defined below), Counterparty (x) in the case of a Repurchase Event resulting from a repurchase pursuant to the terms of the Indenture, including any repurchase pursuant to Section 15.02 of the Indenture, or a redemption pursuant to Section 16.01 of the Indenture, shall notify Dealer in writing of such Repurchase Event and of the number of Convertible Securities subject to such Repurchase Event, and (y) in the case of a Repurchase Event not described in clause (x) above, may notify Dealer in writing of such Repurchase Event and, if so, shall notify Dealer of the number of Convertible Securities subject to such Repurchase Event (any such notice, a “Convertible Securities Repurchase Notice”)[;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w:t>
      </w:r>
      <w:r>
        <w:rPr>
          <w:rFonts w:ascii="Times New Roman" w:hAnsi="Times New Roman"/>
          <w:i/>
          <w:color w:val="000000"/>
          <w:sz w:val="20"/>
        </w:rPr>
        <w:t>mutatis mutandis</w:t>
      </w:r>
      <w:r>
        <w:rPr>
          <w:rFonts w:ascii="Times New Roman" w:hAnsi="Times New Roman"/>
          <w:color w:val="000000"/>
          <w:sz w:val="20"/>
        </w:rPr>
        <w:t>, to this Confirmation]. Notwithstanding anything to the contrary in this Confirmation, the receipt by Dealer from Counterparty of (I) any Convertible Securities Repurchase Notice, and (II) in the case of a Repurchase Event described in clause (y) of the immediately preceding sentence, a written representation and warranty by Counterparty that, as of the date of such Convertible Securities Repurchase Notice, Counterparty is not in possession of any material nonpublic information regarding Counterparty or the Shares, in each case, within the applicable time period set forth in the preceding sentence, shall constitute an Additional Termination Event as provided in this Section 8(b)(ii). Upon receipt of any such Convertible Securities Repurchase Notice and the related written representation and warranty (if applicable), Dealer shall promptly designate an Exchange Business Day following receipt of such Convertible Securities Repurchase Notice (which in no event shall be earlier than the related repurchase date for such Convertible Securities) as an Early Termination Date with respect to the portion of this Transaction corresponding to a number of Options (the “Repurchase Options”) equal to the lesser of (A) the number of such Convertible Securities specified in such Convertible Securities Repurchase Notice [</w:t>
      </w:r>
      <w:r>
        <w:rPr>
          <w:rFonts w:ascii="Times New Roman" w:hAnsi="Times New Roman"/>
          <w:i/>
          <w:color w:val="000000"/>
          <w:sz w:val="20"/>
        </w:rPr>
        <w:t>minus</w:t>
      </w:r>
      <w:r>
        <w:rPr>
          <w:color w:val="000000"/>
        </w:rPr>
        <w:t xml:space="preserve"> </w:t>
      </w:r>
      <w:r>
        <w:rPr>
          <w:rFonts w:ascii="Times New Roman" w:hAnsi="Times New Roman"/>
          <w:color w:val="000000"/>
          <w:sz w:val="20"/>
        </w:rPr>
        <w:t xml:space="preserve">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0"/>
        </w:rPr>
        <w:t xml:space="preserve">thereunder are exercised or terminated)] and (B) the Number of Options as of the date Dealer designates such Early Termination Date and, as of such date, the Number of Options shall be reduced by the number of Repurchase Options. Any payment hereunder with respect to such termination (the “Repurchase Unwind Payment”) shall be calculated pursuant to Section 6 of the Agreement as if (1) an Early Termination Date had been designated in respect of a Transaction having terms identical to this Transaction and a Number of Options equal to the number of Repurchase Options, (2) Counterparty were the sole Affected Party with respect to such Additional Termination Event and (3) the terminated portion of the Transaction were the sole Affected Transaction;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in the event of a Repurchase Event resulting from a repurchase pursuant to Section 15.02 of the Indenture or a redemption pursuant to Section 16.01 of the Indenture, the Repurchase Unwind Payment shall not be greater than (x) the number of Repurchase Options </w:t>
      </w:r>
      <w:r>
        <w:rPr>
          <w:rFonts w:ascii="Times New Roman" w:hAnsi="Times New Roman"/>
          <w:i/>
          <w:color w:val="000000"/>
          <w:sz w:val="20"/>
        </w:rPr>
        <w:t>multiplied by</w:t>
      </w:r>
      <w:r>
        <w:rPr>
          <w:color w:val="000000"/>
        </w:rPr>
        <w:t xml:space="preserve"> </w:t>
      </w:r>
      <w:r>
        <w:rPr>
          <w:rFonts w:ascii="Times New Roman" w:hAnsi="Times New Roman"/>
          <w:color w:val="000000"/>
          <w:sz w:val="20"/>
        </w:rPr>
        <w:t>(y) the product of (A) the Applicable Percentage and (B) the excess of (I) the amount to be paid by Counterparty per Convertible Security in connection with the Repurchase Event pursuant to the relevant sections of the Indenture over (II) the Synthetic Instrument Adjusted Issue Price (as defined below) determined by the Calculation Agent by reference to the Early Termination Date with respect to such termination pursuant to the table set forth in Section 8(b)(iii)(C) (such table, the “Synthetic Instrument AIP Table”). If the exact Early Termination Date is not listed on the Synthetic Instrument AIP Table, the Synthetic Instrument Adjusted Issue Price per USD 1,000 principal amount of Convertible Securities shall be determined by the Calculation Agent by reference to the Synthetic Instrument AIP Table using linear interpolation between the lower and higher Synthetic Instrument Adjusted Issue Prices per USD 1,000 principal amount of Convertible Securities for the Early Termination Dates immediately preceding and immediately following, as applicable, the Early Termination Date with respect to such termination. “Repurchase Event” means that (i) any Convertible Securities are redeemed or repurchased (whether pursuant to Section 15.02 or Section 16.01 of the Indenture or otherwise) by Counterparty or any of its subsidiaries (including in connection with, or as a result of, a “Fundamental Change” (as defined in the Indenture), a tender offer, exchange offer or similar transaction or for any other reason), (ii) any Convertible Securities are delivered to Counterparty in exchange for delivery of any property or assets of Counterparty or any of its subsidiaries (howsoever described), (iii) any principal of any of the Convertible Securities is repaid prior to the final maturity date of the Convertible Securities (for any reason other than as a result of an acceleration of the Convertible Securities that results in an Additional Termination Event pursuant to the preceding Section 8(b)(i)), or (iv) any Convertible Securities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Securities (whether into cash, Shares, “Reference Property” (as defined in the Indenture) or any combination thereof) pursuant to the terms of the Indenture shall not constitute a Repurchase Event.</w:t>
      </w:r>
      <w:r>
        <w:rPr>
          <w:color w:val="00000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Notwithstanding anything to the contrary in this Confirmation, upon any Early Conversion in respect of which the relevant converting “Holder” (as defined in the Indenture) has satisfied the requirements to conversion set forth in Section 14.02(b) of the Indenture: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pPr>
      <w:r>
        <w:rPr>
          <w:rFonts w:ascii="Times New Roman" w:hAnsi="Times New Roman"/>
          <w:color w:val="000000"/>
          <w:sz w:val="20"/>
        </w:rPr>
        <w:t>Counterparty shall, as promptly as practicable (but in any event within five Scheduled Trading Days of the “Conversion Date” (as defined in the Indenture) for such Early Conversion), provide written notice (an “</w:t>
      </w:r>
      <w:r>
        <w:rPr>
          <w:rFonts w:ascii="Times New Roman" w:hAnsi="Times New Roman"/>
          <w:b/>
          <w:color w:val="000000"/>
          <w:sz w:val="20"/>
        </w:rPr>
        <w:t>Early Conversion Notice</w:t>
      </w:r>
      <w:r>
        <w:rPr>
          <w:color w:val="000000"/>
        </w:rPr>
        <w:t>”</w:t>
      </w:r>
      <w:r>
        <w:rPr>
          <w:rFonts w:ascii="Times New Roman" w:hAnsi="Times New Roman"/>
          <w:color w:val="000000"/>
          <w:sz w:val="20"/>
        </w:rPr>
        <w:t>) to Dealer specifying the number of Convertible Securities surrendered for conversion on such Conversion Date (such Convertible Securities, the “</w:t>
      </w:r>
      <w:r>
        <w:rPr>
          <w:rFonts w:ascii="Times New Roman" w:hAnsi="Times New Roman"/>
          <w:b/>
          <w:color w:val="000000"/>
          <w:sz w:val="20"/>
        </w:rPr>
        <w:t>Affected Convertible Securities</w:t>
      </w:r>
      <w:r>
        <w:rPr>
          <w:color w:val="000000"/>
        </w:rPr>
        <w:t>”</w:t>
      </w:r>
      <w:r>
        <w:rPr>
          <w:rFonts w:ascii="Times New Roman" w:hAnsi="Times New Roman"/>
          <w:color w:val="000000"/>
          <w:sz w:val="20"/>
        </w:rPr>
        <w:t xml:space="preserve">), and the giving of such Early Conversion Notice shall constitute an Additional Termination Event as provided in this Section 8(b)(iii);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any “Early Conversion Notice” delivered to Dealer pursuant to the Base Call Option Transaction Confirmation shall be deemed to be an Early Conversion Notice pursuant to this Confirmation and the terms of such Early Conversion Notice shall apply, </w:t>
      </w:r>
      <w:r>
        <w:rPr>
          <w:rFonts w:ascii="Times New Roman" w:hAnsi="Times New Roman"/>
          <w:i/>
          <w:color w:val="000000"/>
          <w:sz w:val="20"/>
        </w:rPr>
        <w:t>mutatis mutandis</w:t>
      </w:r>
      <w:r>
        <w:rPr>
          <w:rFonts w:ascii="Times New Roman" w:hAnsi="Times New Roman"/>
          <w:color w:val="000000"/>
          <w:sz w:val="20"/>
        </w:rPr>
        <w:t xml:space="preserve">, to this Confirmation; </w:t>
      </w:r>
      <w:r>
        <w:rPr>
          <w:rFonts w:ascii="Times New Roman" w:hAnsi="Times New Roman"/>
          <w:i/>
          <w:color w:val="000000"/>
          <w:sz w:val="20"/>
        </w:rPr>
        <w:t>provided further</w:t>
      </w:r>
      <w:r>
        <w:rPr>
          <w:rFonts w:ascii="Times New Roman" w:hAnsi="Times New Roman"/>
          <w:color w:val="000000"/>
          <w:sz w:val="20"/>
        </w:rPr>
        <w:t xml:space="preserve">] that any such Early Conversion Notice shall contain a written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acknowledgement by Counterparty of its responsibilities under applicable securities laws, and in particular Section 9 and Section 10(b) of the Exchange Act and the rules and regulations thereunder, in respect of the delivery of such Early Conversion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pPr>
      <w:r>
        <w:rPr>
          <w:rFonts w:ascii="Times New Roman" w:hAnsi="Times New Roman"/>
          <w:color w:val="000000"/>
          <w:sz w:val="20"/>
        </w:rPr>
        <w:t>upon receipt of any such Early Conversion Notice, within a commercially reasonable period of time thereafter, Dealer shall designate an Exchange Business Day as an Early Termination Date (which Exchange Business Day shall be on or as promptly as reasonably practicable after the related settlement date for the conversion of such Affected Convertible Securities) with respect to the portion of the Transaction corresponding to a number of Options (the “</w:t>
      </w:r>
      <w:r>
        <w:rPr>
          <w:rFonts w:ascii="Times New Roman" w:hAnsi="Times New Roman"/>
          <w:b/>
          <w:color w:val="000000"/>
          <w:sz w:val="20"/>
        </w:rPr>
        <w:t>Affected Number of Options</w:t>
      </w:r>
      <w:r>
        <w:rPr>
          <w:color w:val="000000"/>
        </w:rPr>
        <w:t>”</w:t>
      </w:r>
      <w:r>
        <w:rPr>
          <w:rFonts w:ascii="Times New Roman" w:hAnsi="Times New Roman"/>
          <w:color w:val="000000"/>
          <w:sz w:val="20"/>
        </w:rPr>
        <w:t>) equal to the lesser of (x) the number of Affected Convertible Securities [</w:t>
      </w:r>
      <w:r>
        <w:rPr>
          <w:rFonts w:ascii="Times New Roman" w:hAnsi="Times New Roman"/>
          <w:i/>
          <w:color w:val="000000"/>
          <w:sz w:val="20"/>
        </w:rPr>
        <w:t xml:space="preserve">minus </w:t>
      </w:r>
      <w:r>
        <w:rPr>
          <w:rFonts w:ascii="Times New Roman" w:hAnsi="Times New Roman"/>
          <w:color w:val="000000"/>
          <w:sz w:val="20"/>
        </w:rPr>
        <w:t>the “Affected Number of Options” (as defined in the Base Call Option Transaction Confirmation), if any, that relate to such Affected Convertible Securities (and for purposes of determining whether any Options under this Confirmation or under the Base Call Option Transaction Confirmation will be among the Affected Number of Options hereunder or under, and as defined in, the Base Call Option Transaction Confirmation, the Affected Convertible Securities specified in such Early Conversion Notice shall be allocated first to the Base Call Option Transaction Confirmation until all Options thereunder are exercised or terminated)] and (y) the Number of Options as of the “Conversion Date” (as defined in the Indenture) for such Early Conversion;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color w:val="000000"/>
          <w:sz w:val="20"/>
        </w:rPr>
        <w:t>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(the “</w:t>
      </w:r>
      <w:r>
        <w:rPr>
          <w:rFonts w:ascii="Times New Roman" w:hAnsi="Times New Roman"/>
          <w:b/>
          <w:color w:val="000000"/>
          <w:sz w:val="20"/>
        </w:rPr>
        <w:t>Relevant Early Termination Date</w:t>
      </w:r>
      <w:r>
        <w:rPr>
          <w:color w:val="000000"/>
        </w:rPr>
        <w:t>”</w:t>
      </w:r>
      <w:r>
        <w:rPr>
          <w:rFonts w:ascii="Times New Roman" w:hAnsi="Times New Roman"/>
          <w:color w:val="000000"/>
          <w:sz w:val="20"/>
        </w:rPr>
        <w:t>), (y) Counterparty were the sole Affected Party with respect to such Additional Termination Event and (z) the terminated portion of the Transaction were the sole Affected Transaction;</w:t>
      </w:r>
      <w:r>
        <w:rPr>
          <w:color w:val="000000"/>
        </w:rPr>
        <w:t xml:space="preserve">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the amount payable with respect to such termination shall not be greater than (1) the Applicable Percentage, </w:t>
      </w:r>
      <w:r>
        <w:rPr>
          <w:rFonts w:ascii="Times New Roman" w:hAnsi="Times New Roman"/>
          <w:i/>
          <w:color w:val="000000"/>
          <w:sz w:val="20"/>
        </w:rPr>
        <w:t>multiplied by</w:t>
      </w:r>
      <w:r>
        <w:rPr>
          <w:color w:val="000000"/>
        </w:rPr>
        <w:t xml:space="preserve"> </w:t>
      </w:r>
      <w:r>
        <w:rPr>
          <w:rFonts w:ascii="Times New Roman" w:hAnsi="Times New Roman"/>
          <w:color w:val="000000"/>
          <w:sz w:val="20"/>
        </w:rPr>
        <w:t xml:space="preserve">(2) the Affected Number of Options, </w:t>
      </w:r>
      <w:r>
        <w:rPr>
          <w:rFonts w:ascii="Times New Roman" w:hAnsi="Times New Roman"/>
          <w:i/>
          <w:color w:val="000000"/>
          <w:sz w:val="20"/>
        </w:rPr>
        <w:t>multiplied by</w:t>
      </w:r>
      <w:r>
        <w:rPr>
          <w:color w:val="000000"/>
        </w:rPr>
        <w:t xml:space="preserve"> </w:t>
      </w:r>
      <w:r>
        <w:rPr>
          <w:rFonts w:ascii="Times New Roman" w:hAnsi="Times New Roman"/>
          <w:color w:val="000000"/>
          <w:sz w:val="20"/>
        </w:rPr>
        <w:t xml:space="preserve">(3) (x) the sum of (i) the amount of cash paid (if any) and (ii) the number of Shares delivered (if any) to the “Holder” (as such term is defined in the Indenture) of an Affected Convertible Security upon conversion of such Affected Convertible Security (in each case, including any cash and/or Shares payable and/or deliverable as the result of a Make-Whole Fundamental Change Adjustment (if any)), </w:t>
      </w:r>
      <w:r>
        <w:rPr>
          <w:rFonts w:ascii="Times New Roman" w:hAnsi="Times New Roman"/>
          <w:i/>
          <w:color w:val="000000"/>
          <w:sz w:val="20"/>
        </w:rPr>
        <w:t>multiplied by</w:t>
      </w:r>
      <w:r>
        <w:rPr>
          <w:color w:val="000000"/>
        </w:rPr>
        <w:t xml:space="preserve"> </w:t>
      </w:r>
      <w:r>
        <w:rPr>
          <w:rFonts w:ascii="Times New Roman" w:hAnsi="Times New Roman"/>
          <w:color w:val="000000"/>
          <w:sz w:val="20"/>
        </w:rPr>
        <w:t xml:space="preserve">the Share Obligation Value Price on the settlement date of the conversion of such Affected Convertible Securities, </w:t>
      </w:r>
      <w:r>
        <w:rPr>
          <w:rFonts w:ascii="Times New Roman" w:hAnsi="Times New Roman"/>
          <w:i/>
          <w:color w:val="000000"/>
          <w:sz w:val="20"/>
        </w:rPr>
        <w:t>minus</w:t>
      </w:r>
      <w:r>
        <w:rPr>
          <w:color w:val="000000"/>
        </w:rPr>
        <w:t xml:space="preserve"> </w:t>
      </w:r>
      <w:r>
        <w:rPr>
          <w:rFonts w:ascii="Times New Roman" w:hAnsi="Times New Roman"/>
          <w:color w:val="000000"/>
          <w:sz w:val="20"/>
        </w:rPr>
        <w:t>(y) the Synthetic Instrument Adjusted Issue Price. The “</w:t>
      </w:r>
      <w:r>
        <w:rPr>
          <w:rFonts w:ascii="Times New Roman" w:hAnsi="Times New Roman"/>
          <w:b/>
          <w:color w:val="000000"/>
          <w:sz w:val="20"/>
        </w:rPr>
        <w:t>Synthetic Instrument Adjusted Issue Price</w:t>
      </w:r>
      <w:r>
        <w:rPr>
          <w:color w:val="000000"/>
        </w:rPr>
        <w:t xml:space="preserve">” </w:t>
      </w:r>
      <w:r>
        <w:rPr>
          <w:rFonts w:ascii="Times New Roman" w:hAnsi="Times New Roman"/>
          <w:color w:val="000000"/>
          <w:sz w:val="20"/>
        </w:rPr>
        <w:t xml:space="preserve">per USD 1,000 principal amount of Convertible Securities shall be determined based on the Relevant Early Termination Date pursuant to the Synthetic Instrument AIP Table below; </w:t>
      </w:r>
      <w:r>
        <w:rPr>
          <w:rFonts w:ascii="Times New Roman" w:hAnsi="Times New Roman"/>
          <w:i/>
          <w:color w:val="000000"/>
          <w:sz w:val="20"/>
        </w:rPr>
        <w:t>provided</w:t>
      </w:r>
      <w:r>
        <w:rPr>
          <w:color w:val="000000"/>
        </w:rPr>
        <w:t xml:space="preserve"> </w:t>
      </w:r>
      <w:r>
        <w:rPr>
          <w:rFonts w:ascii="Times New Roman" w:hAnsi="Times New Roman"/>
          <w:color w:val="000000"/>
          <w:sz w:val="20"/>
        </w:rPr>
        <w:t>that if the exact Relevant Early Termination Date is not listed on the Synthetic Instrument AIP Table below, the Synthetic Instrument Adjusted Issue Price per USD 1,000 principal amount of Convertible Securities shall be determined by the Calculation Agent by reference to the Synthetic Instrument AIP Table below using linear interpolation between the lower and higher Synthetic Instrument Adjusted Issue Prices per USD 1,000 principal amount of Convertible Securities for the Relevant Early Termination Dates specified in the Synthetic Instrument AIP Table below immediately preceding and immediately following, as applicable, the Relevant Early Termination Date;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791"/>
        <w:gridCol w:w="7414"/>
      </w:tblGrid>
      <w:tr>
        <w:trPr/>
        <w:tc>
          <w:tcPr>
            <w:tcW w:w="2791" w:type="dxa"/>
            <w:tcBorders/>
            <w:vAlign w:val="center"/>
          </w:tcPr>
          <w:p>
            <w:pPr>
              <w:pStyle w:val="TableContents"/>
              <w:bidi w:val="0"/>
              <w:spacing w:before="0" w:after="283"/>
              <w:jc w:val="left"/>
              <w:rPr>
                <w:sz w:val="4"/>
                <w:szCs w:val="4"/>
              </w:rPr>
            </w:pPr>
            <w:r>
              <w:rPr>
                <w:sz w:val="4"/>
                <w:szCs w:val="4"/>
              </w:rPr>
            </w:r>
          </w:p>
        </w:tc>
        <w:tc>
          <w:tcPr>
            <w:tcW w:w="7414" w:type="dxa"/>
            <w:tcBorders/>
            <w:vAlign w:val="center"/>
          </w:tcPr>
          <w:p>
            <w:pPr>
              <w:pStyle w:val="TableContents"/>
              <w:bidi w:val="0"/>
              <w:spacing w:before="0" w:after="283"/>
              <w:jc w:val="left"/>
              <w:rPr>
                <w:sz w:val="4"/>
                <w:szCs w:val="4"/>
              </w:rPr>
            </w:pPr>
            <w:r>
              <w:rPr>
                <w:sz w:val="4"/>
                <w:szCs w:val="4"/>
              </w:rPr>
            </w:r>
          </w:p>
        </w:tc>
      </w:tr>
      <w:tr>
        <w:trPr/>
        <w:tc>
          <w:tcPr>
            <w:tcW w:w="27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Relevant Early Termination Date</w:t>
            </w:r>
          </w:p>
        </w:tc>
        <w:tc>
          <w:tcPr>
            <w:tcW w:w="741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Synthetic Instrument Adjusted Issue Price per USD 1,000 principal amount of Convertible Securities</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[__________], 2026</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15, 2027</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2027</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15, 2028</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2028</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15, 2029</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2029</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15, 2030</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2030</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15, 2031</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[_____]</w:t>
            </w:r>
          </w:p>
        </w:tc>
      </w:tr>
      <w:tr>
        <w:trPr/>
        <w:tc>
          <w:tcPr>
            <w:tcW w:w="279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15, 2031</w:t>
            </w:r>
          </w:p>
        </w:tc>
        <w:tc>
          <w:tcPr>
            <w:tcW w:w="741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USD 1,000.00</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 to the “Conversion Rate” (as defined in the Indenture) for the Convertible Securities has occurred pursuant to any Make-Whole Fundamental Change Adjustment or Discretionary Anti-Dilution Adjustment and (z) the corresponding Convertible Securities remain outstanding;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Transaction shall remain in full force and effect, except that, as of the “Conversion Date” (as defined in the Indenture) for such Early Conversion, the Number of Options shall be reduced by the Affected Number of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pPr>
      <w:r>
        <w:rPr>
          <w:rFonts w:ascii="Times New Roman" w:hAnsi="Times New Roman"/>
          <w:i/>
          <w:color w:val="000000"/>
          <w:sz w:val="20"/>
        </w:rPr>
        <w:t>Alternative Calculations and Payment on Early Termination and on Certain Extraordinary Events</w:t>
      </w:r>
      <w:r>
        <w:rPr>
          <w:rFonts w:ascii="Times New Roman" w:hAnsi="Times New Roman"/>
          <w:color w:val="000000"/>
          <w:sz w:val="20"/>
        </w:rPr>
        <w:t>. If (a) an Early Termination Date (whether as a result of an Event of Default or a Termination Event) occurs or is designated with respect to the Transaction or (b) the Transaction is cancelled or terminated upon the occurrence of an Extraordinary Event (except, in both clauses (a) and (b),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and 6(e) of the Agreement (any such amount, a “</w:t>
      </w:r>
      <w:r>
        <w:rPr>
          <w:rFonts w:ascii="Times New Roman" w:hAnsi="Times New Roman"/>
          <w:b/>
          <w:color w:val="000000"/>
          <w:sz w:val="20"/>
        </w:rPr>
        <w:t>Payment Obligation</w:t>
      </w:r>
      <w:r>
        <w:rPr>
          <w:color w:val="000000"/>
        </w:rPr>
        <w:t>”</w:t>
      </w:r>
      <w:r>
        <w:rPr>
          <w:rFonts w:ascii="Times New Roman" w:hAnsi="Times New Roman"/>
          <w:color w:val="000000"/>
          <w:sz w:val="20"/>
        </w:rPr>
        <w:t xml:space="preserve">), 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in possession of any material nonpublic information regarding Counterparty or the Shares, and that such election is being made in good faith and in a commercially reasonable manner and not as part of a plan or scheme to evade compliance with the federal securities laws, and (c) Dealer agrees, in its commercially reasonable discretion, to such election, in which case the provisions of Section 6(d)(ii) and 6(e) of the Agreement, as the case may be, shall apply.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39"/>
        <w:gridCol w:w="146"/>
        <w:gridCol w:w="8720"/>
      </w:tblGrid>
      <w:tr>
        <w:trPr/>
        <w:tc>
          <w:tcPr>
            <w:tcW w:w="1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0" w:type="dxa"/>
            <w:tcBorders/>
            <w:vAlign w:val="center"/>
          </w:tcPr>
          <w:p>
            <w:pPr>
              <w:pStyle w:val="TableContents"/>
              <w:bidi w:val="0"/>
              <w:spacing w:before="0" w:after="283"/>
              <w:jc w:val="left"/>
              <w:rPr>
                <w:sz w:val="4"/>
                <w:szCs w:val="4"/>
              </w:rPr>
            </w:pPr>
            <w:r>
              <w:rPr>
                <w:sz w:val="4"/>
                <w:szCs w:val="4"/>
              </w:rPr>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Share Termination Alternative: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rFonts w:ascii="Times New Roman" w:hAnsi="Times New Roman"/>
                <w:b/>
                <w:color w:val="000000"/>
                <w:sz w:val="20"/>
              </w:rPr>
              <w:t>Share Termination Payment Date</w:t>
            </w:r>
            <w:r>
              <w:rPr>
                <w:rFonts w:ascii="Times New Roman" w:hAnsi="Times New Roman"/>
                <w:color w:val="000000"/>
                <w:sz w:val="20"/>
              </w:rPr>
              <w:t xml:space="preserve">”) taking into account commercially reasonable hedging or hedge unwind activity, in satisfaction of the Payment Obligation. </w:t>
            </w:r>
          </w:p>
        </w:tc>
      </w:tr>
      <w:tr>
        <w:trPr/>
        <w:tc>
          <w:tcPr>
            <w:tcW w:w="10205"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Share Termination Delivery</w:t>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Share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Property: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A number of Share Termination Delivery Units, as calculated by the Calculation Agent in good faith and in a commercially reasonable manner, equal to the Payment Obligation divided by the Share Termination Unit Price. The Calculation Agent shall, in good faith and in a commercially reasonable manner, adjust the Share Termination Delivery Property by replacing any fractional portion of the aggregate amount of a security therein with an amount of cash equal to the value of such fractional security based on the values used to calculate the Share Termination Unit Price. </w:t>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Share Termination Unit Price: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 xml:space="preserve">The value of property contained in one Share Termination Delivery Unit on the date such Share Termination Delivery Units are to be delivered as Share Termination Delivery Property, as determined by the Calculation Agent in a commercially reasonable manner and notified by the Calculation Agent to Dealer at the time of notification of the Payment Obligation. </w:t>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Share Termination Delivery Unit: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Failure to Deliver: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Applicable</w:t>
            </w:r>
          </w:p>
        </w:tc>
      </w:tr>
      <w:tr>
        <w:trPr/>
        <w:tc>
          <w:tcPr>
            <w:tcW w:w="133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Other Applicable Provisions: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720"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sz w:val="20"/>
              </w:rPr>
            </w:pPr>
            <w:r>
              <w:rPr>
                <w:rFonts w:ascii="Times New Roman" w:hAnsi="Times New Roman"/>
                <w:color w:val="000000"/>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 w:hAnsi="Times New Roman"/>
                <w:i/>
                <w:color w:val="000000"/>
                <w:sz w:val="20"/>
              </w:rPr>
              <w:t>provided</w:t>
            </w:r>
            <w:r>
              <w:rPr>
                <w:rFonts w:ascii="Times New Roman" w:hAnsi="Times New Roman"/>
                <w:color w:val="000000"/>
                <w:sz w:val="20"/>
              </w:rPr>
              <w:t xml:space="preserve"> that the Representation and Agreement contained in Section </w:t>
            </w:r>
          </w:p>
        </w:tc>
      </w:tr>
    </w:tbl>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pPr>
      <w:r>
        <w:rPr>
          <w:rFonts w:ascii="Times New Roman" w:hAnsi="Times New Roman"/>
          <w:i/>
          <w:color w:val="000000"/>
          <w:sz w:val="20"/>
        </w:rPr>
        <w:t>Disposition of Hedge Shares</w:t>
      </w:r>
      <w:r>
        <w:rPr>
          <w:rFonts w:ascii="Times New Roman" w:hAnsi="Times New Roman"/>
          <w:color w:val="000000"/>
          <w:sz w:val="20"/>
        </w:rPr>
        <w:t>. Counterparty hereby agrees that if, in the good faith reasonable judgment of Dealer, based on the advice of counsel, the Shares (the “</w:t>
      </w:r>
      <w:r>
        <w:rPr>
          <w:rFonts w:ascii="Times New Roman" w:hAnsi="Times New Roman"/>
          <w:b/>
          <w:color w:val="000000"/>
          <w:sz w:val="20"/>
        </w:rPr>
        <w:t>Hedge Shares</w:t>
      </w:r>
      <w:r>
        <w:rPr>
          <w:color w:val="000000"/>
        </w:rPr>
        <w:t>”</w:t>
      </w:r>
      <w:r>
        <w:rPr>
          <w:rFonts w:ascii="Times New Roman" w:hAnsi="Times New Roman"/>
          <w:color w:val="000000"/>
          <w:sz w:val="20"/>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(in all cases of (A)-(E) above, as would be usual and customary for offerings for companies of similar size and industry); </w:t>
      </w:r>
      <w:r>
        <w:rPr>
          <w:rFonts w:ascii="Times New Roman" w:hAnsi="Times New Roman"/>
          <w:i/>
          <w:color w:val="000000"/>
          <w:sz w:val="20"/>
        </w:rPr>
        <w:t>provided</w:t>
      </w:r>
      <w:r>
        <w:rPr>
          <w:color w:val="000000"/>
        </w:rPr>
        <w:t xml:space="preserve"> </w:t>
      </w:r>
      <w:r>
        <w:rPr>
          <w:rFonts w:ascii="Times New Roman" w:hAnsi="Times New Roman"/>
          <w:color w:val="000000"/>
          <w:sz w:val="20"/>
        </w:rPr>
        <w:t>that, if Counterparty elects clause (i) above but the items referred to therein are not completed in a timely manner, or if Dealer, in its sole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issuers of similar size and industry, in form and substance commercially reasonably satisfactory to Dealer, including using reasonable efforts to include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for transactions of similar size and type, as is commercially reasonably acceptable to Dealer (in which case, the Calculation Agent shall make any adjustments to the terms of the Transaction that are necessary, in its good faith, commercially reasonable judgment, to compensate Dealer for any commercially reasonable discount from the public market price of the Shares incurred on the sale of Hedge Shares in a private placement); or (iii) purchase the Hedge Shares from Dealer at the then-current market price on such Exchange Business Days, and in the amounts and at such time(s), commercially reasonably requested by Dealer. This Section 8(d) shall survive the termination, expiration or early unwind of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pPr>
      <w:r>
        <w:rPr>
          <w:rFonts w:ascii="Times New Roman" w:hAnsi="Times New Roman"/>
          <w:i/>
          <w:color w:val="000000"/>
          <w:sz w:val="20"/>
        </w:rPr>
        <w:t>Repurchase and Conversion Rate Adjustment Notices</w:t>
      </w:r>
      <w:r>
        <w:rPr>
          <w:rFonts w:ascii="Times New Roman" w:hAnsi="Times New Roman"/>
          <w:color w:val="000000"/>
          <w:sz w:val="20"/>
        </w:rPr>
        <w:t>. Counterparty shall, on or prior to the date that is one (1) Exchange Business Day immediately following any day on which Counterparty effects any repurchase of Shares (other than any Shares withheld to satisfy tax withholding obligations, or otherwise acquired, in connection with the vesting or exercise of any equity awards) or consummates or otherwise engages in any transaction or event (a “</w:t>
      </w:r>
      <w:r>
        <w:rPr>
          <w:rFonts w:ascii="Times New Roman" w:hAnsi="Times New Roman"/>
          <w:b/>
          <w:color w:val="000000"/>
          <w:sz w:val="20"/>
        </w:rPr>
        <w:t>Conversion Rate Adjustment Event</w:t>
      </w:r>
      <w:r>
        <w:rPr>
          <w:color w:val="000000"/>
        </w:rPr>
        <w:t>”</w:t>
      </w:r>
      <w:r>
        <w:rPr>
          <w:rFonts w:ascii="Times New Roman" w:hAnsi="Times New Roman"/>
          <w:color w:val="000000"/>
          <w:sz w:val="20"/>
        </w:rPr>
        <w:t>) that leads to an increase in the “Conversion Rate” (as defined in the Indenture), give Dealer a written notice of such repurchase or Conversion Rate Adjustment Event (a “</w:t>
      </w:r>
      <w:r>
        <w:rPr>
          <w:rFonts w:ascii="Times New Roman" w:hAnsi="Times New Roman"/>
          <w:b/>
          <w:color w:val="000000"/>
          <w:sz w:val="20"/>
        </w:rPr>
        <w:t>Repurchase Notice</w:t>
      </w:r>
      <w:r>
        <w:rPr>
          <w:color w:val="000000"/>
        </w:rPr>
        <w:t>”</w:t>
      </w:r>
      <w:r>
        <w:rPr>
          <w:rFonts w:ascii="Times New Roman" w:hAnsi="Times New Roman"/>
          <w:color w:val="000000"/>
          <w:sz w:val="20"/>
        </w:rPr>
        <w:t xml:space="preserve">) on such day if, following such repurchase or Conversion Rate Adjustment Event, the Notice Percentage is (i) greater than [___]% and (ii) greater by at least 0.5% than the Notice Percentage included in the immediately preceding Repurchase Notice (or, in the case of the first such Repurchase Notice, greater than the Notice Percentage as of the date hereof);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Counterparty may provide Dealer advance notice on or prior to any such day on which Counterparty effects any repurchases of Shares or engages in any Conversion Rate Adjustment Event if it expects that such repurchases or such Conversion Rate Adjustment Event effected on such day may result in an obligation to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0"/>
        </w:rPr>
        <w:t>deliver a Repurchase Notice (and in such case, any such advance notice shall be deemed a Repurchase Notice, and any such repurchases or Conversion Rate Adjustment Event shall be given effect for purposes of this Section 8(e), in each case to the maximum extent set forth therein as of the date such advance notice is provided) and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in each case so long as such advance notice shall not contain any material non-public information with respect to the Issuer or the Shares. The “</w:t>
      </w:r>
      <w:r>
        <w:rPr>
          <w:rFonts w:ascii="Times New Roman" w:hAnsi="Times New Roman"/>
          <w:b/>
          <w:color w:val="000000"/>
          <w:sz w:val="20"/>
        </w:rPr>
        <w:t>Notice Percentage</w:t>
      </w:r>
      <w:r>
        <w:rPr>
          <w:color w:val="000000"/>
        </w:rPr>
        <w:t xml:space="preserve">” </w:t>
      </w:r>
      <w:r>
        <w:rPr>
          <w:rFonts w:ascii="Times New Roman" w:hAnsi="Times New Roman"/>
          <w:color w:val="000000"/>
          <w:sz w:val="20"/>
        </w:rPr>
        <w:t>as of any day is the fraction, expressed as a percentage, the numerator of which is the Number of Shares plus the number of Shares underlying any other convertible bond hedge transactions or similar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 w:hAnsi="Times New Roman"/>
          <w:b/>
          <w:color w:val="000000"/>
          <w:sz w:val="20"/>
        </w:rPr>
        <w:t>Indemnified Party</w:t>
      </w:r>
      <w:r>
        <w:rPr>
          <w:color w:val="000000"/>
        </w:rPr>
        <w:t>”</w:t>
      </w:r>
      <w:r>
        <w:rPr>
          <w:rFonts w:ascii="Times New Roman" w:hAnsi="Times New Roman"/>
          <w:color w:val="000000"/>
          <w:sz w:val="20"/>
        </w:rPr>
        <w:t>) from and against any and all losses (including losses relating to the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out-of-pocket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found in a final judgment by a court to have resulted from Dealer’s gross negligence or willful misconduct.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pPr>
      <w:r>
        <w:rPr>
          <w:rFonts w:ascii="Times New Roman" w:hAnsi="Times New Roman"/>
          <w:i/>
          <w:color w:val="000000"/>
          <w:sz w:val="20"/>
        </w:rPr>
        <w:t>Transfer and Assignment</w:t>
      </w:r>
      <w:r>
        <w:rPr>
          <w:rFonts w:ascii="Times New Roman" w:hAnsi="Times New Roman"/>
          <w:color w:val="000000"/>
          <w:sz w:val="20"/>
        </w:rPr>
        <w:t xml:space="preserve">. Either party may transfer or assign any of its rights or obligations under the Transaction with the prior written consent of the non-transferring or non-assigning party, such consent not to be unreasonably withheld or delayed; </w:t>
      </w:r>
      <w:r>
        <w:rPr>
          <w:rFonts w:ascii="Times New Roman" w:hAnsi="Times New Roman"/>
          <w:i/>
          <w:color w:val="000000"/>
          <w:sz w:val="20"/>
        </w:rPr>
        <w:t>provided</w:t>
      </w:r>
      <w:r>
        <w:rPr>
          <w:color w:val="000000"/>
        </w:rPr>
        <w:t xml:space="preserve"> </w:t>
      </w:r>
      <w:r>
        <w:rPr>
          <w:rFonts w:ascii="Times New Roman" w:hAnsi="Times New Roman"/>
          <w:color w:val="000000"/>
          <w:sz w:val="20"/>
        </w:rPr>
        <w:t xml:space="preserve">that Dealer may transfer or assign without any consent of Counterparty its rights and obligations hereunder, in whole or in part, to any affiliate, or any affiliate whose obligations would be guaranteed by a person, in either case, with a rating (i) for its long-term, unsecured and unsubordinated indebtedness at least equivalent to Dealer’s [(or Dealer’s ultimate parent’s)] or (ii) that is no lower than A3 from Moody’s Investors Service, Inc. (or its successor) or A- from S&amp;P Global Ratings, a division of S&amp;P Global Inc. (or its successor); </w:t>
      </w:r>
      <w:r>
        <w:rPr>
          <w:rFonts w:ascii="Times New Roman" w:hAnsi="Times New Roman"/>
          <w:i/>
          <w:color w:val="000000"/>
          <w:sz w:val="20"/>
        </w:rPr>
        <w:t>provided further</w:t>
      </w:r>
      <w:r>
        <w:rPr>
          <w:color w:val="000000"/>
        </w:rPr>
        <w:t xml:space="preserve"> </w:t>
      </w:r>
      <w:r>
        <w:rPr>
          <w:rFonts w:ascii="Times New Roman" w:hAnsi="Times New Roman"/>
          <w:color w:val="000000"/>
          <w:sz w:val="20"/>
        </w:rPr>
        <w:t>that, at the time of such transfer or assignment (i) each of Dealer and the transferee or assignee, as the case may be, in any such transfer or assignment is a “dealer in securities” within the meaning of Section 475(c)(1) of the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 xml:space="preserve">), or the transfer or assignment does not result in a deemed exchange by Counterparty within the meaning of Section 1001 of the Code, (ii) after any such transfer or assignment,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or assignment (except to the extent such lower amount or number of Shares results from a Change in Tax Law after the date of such transfer or assignment), and (iii) Dealer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both"/>
        <w:rPr/>
      </w:pPr>
      <w:r>
        <w:rPr>
          <w:rFonts w:ascii="Times New Roman" w:hAnsi="Times New Roman"/>
          <w:color w:val="000000"/>
          <w:sz w:val="20"/>
        </w:rPr>
        <w:t>shall cause the transferee or assignee to make such Payee Tax Representations and to provide such tax documentation as may reasonably be requested by Counterparty to permit Counterparty to make any necessary determinations pursuant to clause (ii) of this proviso.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 w:hAnsi="Times New Roman"/>
          <w:b/>
          <w:color w:val="000000"/>
          <w:sz w:val="20"/>
        </w:rPr>
        <w:t>Dealer Person</w:t>
      </w:r>
      <w:r>
        <w:rPr>
          <w:color w:val="000000"/>
        </w:rPr>
        <w:t>”</w:t>
      </w:r>
      <w:r>
        <w:rPr>
          <w:rFonts w:ascii="Times New Roman" w:hAnsi="Times New Roman"/>
          <w:color w:val="000000"/>
          <w:sz w:val="20"/>
        </w:rPr>
        <w:t>) under Section 203 of the Delaware General Corporation Law or other federal, state or local law, rule, regulation or regulatory order or organizational documents or contracts of Counterparty applicable to ownership of Shares (“</w:t>
      </w:r>
      <w:r>
        <w:rPr>
          <w:rFonts w:ascii="Times New Roman" w:hAnsi="Times New Roman"/>
          <w:b/>
          <w:color w:val="000000"/>
          <w:sz w:val="20"/>
        </w:rPr>
        <w:t>Applicable Restrictions</w:t>
      </w:r>
      <w:r>
        <w:rPr>
          <w:color w:val="000000"/>
        </w:rPr>
        <w:t>”</w:t>
      </w:r>
      <w:r>
        <w:rPr>
          <w:rFonts w:ascii="Times New Roman" w:hAnsi="Times New Roman"/>
          <w:color w:val="000000"/>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but excluding reporting obligations arising under Section 13 of the Exchange Act) of a Dealer Person under Applicable Restrictions and with respect to which such requirements have not been met or the relevant approval has not been received, or that would have any other adverse effect on a Dealer Person, under Applicable Restrictions </w:t>
      </w:r>
      <w:r>
        <w:rPr>
          <w:rFonts w:ascii="Times New Roman" w:hAnsi="Times New Roman"/>
          <w:i/>
          <w:color w:val="000000"/>
          <w:sz w:val="20"/>
        </w:rPr>
        <w:t>minus</w:t>
      </w:r>
      <w:r>
        <w:rPr>
          <w:color w:val="000000"/>
        </w:rPr>
        <w:t xml:space="preserve"> </w:t>
      </w:r>
      <w:r>
        <w:rPr>
          <w:rFonts w:ascii="Times New Roman" w:hAnsi="Times New Roman"/>
          <w:color w:val="000000"/>
          <w:sz w:val="20"/>
        </w:rPr>
        <w:t>(y) 1% of the number of Shares outstanding on the date of determination (either such condition described in clause (1) or (2), an “</w:t>
      </w:r>
      <w:r>
        <w:rPr>
          <w:rFonts w:ascii="Times New Roman" w:hAnsi="Times New Roman"/>
          <w:b/>
          <w:color w:val="000000"/>
          <w:sz w:val="20"/>
        </w:rPr>
        <w:t>Excess Ownership Position</w:t>
      </w:r>
      <w:r>
        <w:rPr>
          <w:color w:val="000000"/>
        </w:rPr>
        <w:t>”</w:t>
      </w:r>
      <w:r>
        <w:rPr>
          <w:rFonts w:ascii="Times New Roman" w:hAnsi="Times New Roman"/>
          <w:color w:val="000000"/>
          <w:sz w:val="20"/>
        </w:rPr>
        <w:t>),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 w:hAnsi="Times New Roman"/>
          <w:b/>
          <w:color w:val="000000"/>
          <w:sz w:val="20"/>
        </w:rPr>
        <w:t>Terminated Portion</w:t>
      </w:r>
      <w:r>
        <w:rPr>
          <w:color w:val="000000"/>
        </w:rPr>
        <w:t>”</w:t>
      </w:r>
      <w:r>
        <w:rPr>
          <w:rFonts w:ascii="Times New Roman" w:hAnsi="Times New Roman"/>
          <w:color w:val="000000"/>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Affected Transaction and (iv) Dealer were the party entitled to designate an Early Termination Date pursuant to Section 6(b) of the Agreement and to determine the amount payable pursuant to Section 6(e) of the Agreement. The “</w:t>
      </w:r>
      <w:r>
        <w:rPr>
          <w:rFonts w:ascii="Times New Roman" w:hAnsi="Times New Roman"/>
          <w:b/>
          <w:color w:val="000000"/>
          <w:sz w:val="20"/>
        </w:rPr>
        <w:t>Equity Percentage</w:t>
      </w:r>
      <w:r>
        <w:rPr>
          <w:color w:val="000000"/>
        </w:rPr>
        <w:t xml:space="preserve">” </w:t>
      </w:r>
      <w:r>
        <w:rPr>
          <w:rFonts w:ascii="Times New Roman" w:hAnsi="Times New Roman"/>
          <w:color w:val="000000"/>
          <w:sz w:val="20"/>
        </w:rPr>
        <w:t>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w:t>
      </w:r>
      <w:r>
        <w:rPr>
          <w:rFonts w:ascii="Times New Roman" w:hAnsi="Times New Roman"/>
          <w:b/>
          <w:color w:val="000000"/>
          <w:sz w:val="20"/>
        </w:rPr>
        <w:t>Dealer Group</w:t>
      </w:r>
      <w:r>
        <w:rPr>
          <w:color w:val="000000"/>
        </w:rPr>
        <w:t>”</w:t>
      </w:r>
      <w:r>
        <w:rPr>
          <w:rFonts w:ascii="Times New Roman" w:hAnsi="Times New Roman"/>
          <w:color w:val="000000"/>
          <w:sz w:val="20"/>
        </w:rPr>
        <w: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 w:hAnsi="Times New Roman"/>
          <w:b/>
          <w:color w:val="000000"/>
          <w:sz w:val="20"/>
        </w:rPr>
        <w:t>Transfer Options</w:t>
      </w:r>
      <w:r>
        <w:rPr>
          <w:color w:val="000000"/>
        </w:rPr>
        <w:t>”</w:t>
      </w:r>
      <w:r>
        <w:rPr>
          <w:rFonts w:ascii="Times New Roman" w:hAnsi="Times New Roman"/>
          <w:color w:val="000000"/>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Transfer Options shall be transferred or assigned only to a third party that is a United States person (as defined in Section 7701(a)(30) of the Code);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by, and reasonably satisfactory to, Dealer;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Dealer shall not (including, for the avoidance of doubt, after giving effect to any indemnity or other contractual assurance from the transferee or assignee to Dealer provided in connection with such transfer or assignment), as a result of such transfer or assignment, be required to pay the transferee or assignee on any payment date an amount under Section 2(d)(i)(4) of the Agreement greater than an amount that Dealer would have been required to pay to Counterparty in the absence of such transfer or assignment (except to the extent such greater amount results from a Change in Tax Law after the date of such transfer or assignment);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 Event of Default, Potential Event of Default or Termination Event shall not occur as a result of such transfer or assignment;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generality of clause (B), Counterparty shall have caused the transferee or assignee to make such Payee Tax Representations and to provide such tax documentation as may be reasonably requested by Dealer to permit Dealer to determine that results described in clauses (D) and (E) will not occur upon or after such transfer or assignment;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Counterparty shall be responsible for all reasonable costs and expenses, including reasonable counsel fees, incurred by Dealer in connection with such transfer or assignment.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240" w:after="283"/>
        <w:jc w:val="both"/>
        <w:rPr/>
      </w:pPr>
      <w:r>
        <w:rPr>
          <w:rFonts w:ascii="Times New Roman" w:hAnsi="Times New Roman"/>
          <w:i/>
          <w:color w:val="000000"/>
          <w:sz w:val="20"/>
        </w:rPr>
        <w:t>Staggered Settlement</w:t>
      </w:r>
      <w:r>
        <w:rPr>
          <w:rFonts w:ascii="Times New Roman" w:hAnsi="Times New Roman"/>
          <w:color w:val="000000"/>
          <w:sz w:val="20"/>
        </w:rPr>
        <w: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 w:hAnsi="Times New Roman"/>
          <w:b/>
          <w:color w:val="000000"/>
          <w:sz w:val="20"/>
        </w:rPr>
        <w:t>Nominal Settlement Date</w:t>
      </w:r>
      <w:r>
        <w:rPr>
          <w:color w:val="000000"/>
        </w:rPr>
        <w:t>”</w:t>
      </w:r>
      <w:r>
        <w:rPr>
          <w:rFonts w:ascii="Times New Roman" w:hAnsi="Times New Roman"/>
          <w:color w:val="000000"/>
          <w:sz w:val="20"/>
        </w:rPr>
        <w:t>), elect to deliver the Shares on two or more dates (each, a “</w:t>
      </w:r>
      <w:r>
        <w:rPr>
          <w:rFonts w:ascii="Times New Roman" w:hAnsi="Times New Roman"/>
          <w:b/>
          <w:color w:val="000000"/>
          <w:sz w:val="20"/>
        </w:rPr>
        <w:t>Staggered Settlement Date</w:t>
      </w:r>
      <w:r>
        <w:rPr>
          <w:color w:val="000000"/>
        </w:rPr>
        <w:t>”</w:t>
      </w:r>
      <w:r>
        <w:rPr>
          <w:rFonts w:ascii="Times New Roman" w:hAnsi="Times New Roman"/>
          <w:color w:val="000000"/>
          <w:sz w:val="20"/>
        </w:rPr>
        <w:t>) as follows:</w:t>
      </w:r>
    </w:p>
    <w:p>
      <w:pPr>
        <w:pStyle w:val="TextBody"/>
        <w:bidi w:val="0"/>
        <w:spacing w:before="240" w:after="283"/>
        <w:jc w:val="both"/>
        <w:rPr>
          <w:rFonts w:ascii="Times New Roman" w:hAnsi="Times New Roman"/>
          <w:sz w:val="20"/>
        </w:rPr>
      </w:pPr>
      <w:r>
        <w:rPr>
          <w:rFonts w:ascii="Times New Roman" w:hAnsi="Times New Roman"/>
          <w:color w:val="000000"/>
          <w:sz w:val="20"/>
        </w:rPr>
        <w:t>(i) in such notice, Dealer will specify to Counterparty the related Staggered Settlement Dates (the first of which will be such Nominal Settlement Date and the last of which will be no later than the fifteenth (15</w:t>
      </w:r>
      <w:r>
        <w:rPr>
          <w:rFonts w:ascii="Times New Roman" w:hAnsi="Times New Roman"/>
          <w:color w:val="000000"/>
          <w:sz w:val="13"/>
        </w:rPr>
        <w:t>th</w:t>
      </w:r>
      <w:r>
        <w:rPr>
          <w:rFonts w:ascii="Times New Roman" w:hAnsi="Times New Roman"/>
          <w:color w:val="000000"/>
          <w:sz w:val="20"/>
        </w:rPr>
        <w:t xml:space="preserve">) Exchange Business Day following such Nominal Settlement Date) and the number of Shares that it will deliver on each Staggered Settlement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the aggregate number of Shares that Dealer will deliver to Counterparty hereunder on all such Staggered Settlement Dates will equal the number of Shares that Dealer would otherwise be required to deliver on such Nominal Settlement Date;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(iii) the “Settlement Terms” set forth in Section 2 above will apply on each Staggered Settlement Date, except that the Shares otherwise deliverable on such Nominal Settlement Date will be allocated among such Staggered Settlement Dates as specified by Dealer in the notice referred to in clause (i) above.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240" w:after="283"/>
        <w:jc w:val="both"/>
        <w:rPr/>
      </w:pPr>
      <w:r>
        <w:rPr>
          <w:rFonts w:ascii="Times New Roman" w:hAnsi="Times New Roman"/>
          <w:i/>
          <w:color w:val="000000"/>
          <w:sz w:val="20"/>
        </w:rPr>
        <w:t>Disclosure</w:t>
      </w:r>
      <w:r>
        <w:rPr>
          <w:rFonts w:ascii="Times New Roman" w:hAnsi="Times New Roman"/>
          <w:color w:val="000000"/>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both"/>
        <w:rPr/>
      </w:pPr>
      <w:r>
        <w:rPr>
          <w:rFonts w:ascii="Times New Roman" w:hAnsi="Times New Roman"/>
          <w:i/>
          <w:color w:val="000000"/>
          <w:sz w:val="20"/>
        </w:rPr>
        <w:t xml:space="preserve">No Netting and Set-off. </w:t>
      </w:r>
      <w:r>
        <w:rPr>
          <w:rFonts w:ascii="Times New Roman" w:hAnsi="Times New Roman"/>
          <w:color w:val="000000"/>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240" w:after="283"/>
        <w:jc w:val="both"/>
        <w:rPr/>
      </w:pPr>
      <w:r>
        <w:rPr>
          <w:rFonts w:ascii="Times New Roman" w:hAnsi="Times New Roman"/>
          <w:i/>
          <w:color w:val="000000"/>
          <w:sz w:val="20"/>
        </w:rPr>
        <w:t>Equity Rights</w:t>
      </w:r>
      <w:r>
        <w:rPr>
          <w:rFonts w:ascii="Times New Roman" w:hAnsi="Times New Roman"/>
          <w:color w:val="000000"/>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240" w:after="283"/>
        <w:jc w:val="both"/>
        <w:rPr/>
      </w:pPr>
      <w:r>
        <w:rPr>
          <w:rFonts w:ascii="Times New Roman" w:hAnsi="Times New Roman"/>
          <w:i/>
          <w:color w:val="000000"/>
          <w:sz w:val="20"/>
        </w:rPr>
        <w:t>Early Unwind</w:t>
      </w:r>
      <w:r>
        <w:rPr>
          <w:rFonts w:ascii="Times New Roman" w:hAnsi="Times New Roman"/>
          <w:color w:val="000000"/>
          <w:sz w:val="20"/>
        </w:rPr>
        <w:t>. In the event the sale by Counterparty of the [Base Convertible Securities] [Optional Convertible Securities] is not consummated pursuant to the Purchase Agreement dated as of [__], 2026 among Counterparty and BofA Securities, Inc., Citigroup Global Markets Inc., and HSBC Securities (USA) Inc., as representatives of the initial purchasers [(the “</w:t>
      </w:r>
      <w:r>
        <w:rPr>
          <w:rFonts w:ascii="Times New Roman" w:hAnsi="Times New Roman"/>
          <w:b/>
          <w:color w:val="000000"/>
          <w:sz w:val="20"/>
        </w:rPr>
        <w:t>Purchase Agreement</w:t>
      </w:r>
      <w:r>
        <w:rPr>
          <w:color w:val="000000"/>
        </w:rPr>
        <w:t>”</w:t>
      </w:r>
      <w:r>
        <w:rPr>
          <w:rFonts w:ascii="Times New Roman" w:hAnsi="Times New Roman"/>
          <w:color w:val="000000"/>
          <w:sz w:val="20"/>
        </w:rPr>
        <w:t>)] for any reason by the close of business in New York on [___], 2026 (or such later date as agreed upon by the parties) ([__], 2026 or such later date being the “</w:t>
      </w:r>
      <w:r>
        <w:rPr>
          <w:rFonts w:ascii="Times New Roman" w:hAnsi="Times New Roman"/>
          <w:b/>
          <w:color w:val="000000"/>
          <w:sz w:val="20"/>
        </w:rPr>
        <w:t>Early Unwind Date</w:t>
      </w:r>
      <w:r>
        <w:rPr>
          <w:color w:val="000000"/>
        </w:rPr>
        <w:t>”</w:t>
      </w:r>
      <w:r>
        <w:rPr>
          <w:rFonts w:ascii="Times New Roman" w:hAnsi="Times New Roman"/>
          <w:color w:val="000000"/>
          <w:sz w:val="20"/>
        </w:rPr>
        <w:t>), the Transaction shall automatically terminate (the “</w:t>
      </w:r>
      <w:r>
        <w:rPr>
          <w:rFonts w:ascii="Times New Roman" w:hAnsi="Times New Roman"/>
          <w:b/>
          <w:color w:val="000000"/>
          <w:sz w:val="20"/>
        </w:rPr>
        <w:t>Early Unwind</w:t>
      </w:r>
      <w:r>
        <w:rPr>
          <w:color w:val="000000"/>
        </w:rPr>
        <w:t>”</w:t>
      </w:r>
      <w:r>
        <w:rPr>
          <w:rFonts w:ascii="Times New Roman" w:hAnsi="Times New Roman"/>
          <w:color w:val="000000"/>
          <w:sz w:val="20"/>
        </w:rPr>
        <w:t>) on the Early Unwind Date and the Transaction and all of the respective rights and obligations of Dealer and Counterparty hereunder shall be cancelled and terminated. Following such termination and cancellation,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all obligations with respect to the Transaction shall be deemed fully and finally discharged.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240" w:after="283"/>
        <w:jc w:val="both"/>
        <w:rPr/>
      </w:pPr>
      <w:r>
        <w:rPr>
          <w:rFonts w:ascii="Times New Roman" w:hAnsi="Times New Roman"/>
          <w:i/>
          <w:color w:val="000000"/>
          <w:sz w:val="20"/>
        </w:rPr>
        <w:t>Agreements and Acknowledgements Regarding Hedging</w:t>
      </w:r>
      <w:r>
        <w:rPr>
          <w:rFonts w:ascii="Times New Roman" w:hAnsi="Times New Roman"/>
          <w:color w:val="000000"/>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w:t>
      </w:r>
    </w:p>
    <w:p>
      <w:pPr>
        <w:pStyle w:val="TextBody"/>
        <w:bidi w:val="0"/>
        <w:spacing w:before="240" w:after="283"/>
        <w:jc w:val="both"/>
        <w:rPr/>
      </w:pPr>
      <w:r>
        <w:rPr>
          <w:rFonts w:ascii="Times New Roman" w:hAnsi="Times New Roman"/>
          <w:i/>
          <w:color w:val="000000"/>
          <w:sz w:val="20"/>
        </w:rPr>
        <w:t>Wall Street Transparency and Accountability Act</w:t>
      </w:r>
      <w:r>
        <w:rPr>
          <w:rFonts w:ascii="Times New Roman" w:hAnsi="Times New Roman"/>
          <w:color w:val="000000"/>
          <w:sz w:val="20"/>
        </w:rPr>
        <w:t>. In connection with Section 739 of the Wall Street Transparency and Accountability Act of 2010 (the “</w:t>
      </w:r>
      <w:r>
        <w:rPr>
          <w:rFonts w:ascii="Times New Roman" w:hAnsi="Times New Roman"/>
          <w:b/>
          <w:color w:val="000000"/>
          <w:sz w:val="20"/>
        </w:rPr>
        <w:t>WSTAA</w:t>
      </w:r>
      <w:r>
        <w:rPr>
          <w:color w:val="000000"/>
        </w:rPr>
        <w:t>”</w:t>
      </w:r>
      <w:r>
        <w:rPr>
          <w:rFonts w:ascii="Times New Roman" w:hAnsi="Times New Roman"/>
          <w:color w:val="000000"/>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w:t>
      </w:r>
    </w:p>
    <w:p>
      <w:pPr>
        <w:pStyle w:val="TextBody"/>
        <w:bidi w:val="0"/>
        <w:spacing w:before="240" w:after="283"/>
        <w:jc w:val="both"/>
        <w:rPr/>
      </w:pPr>
      <w:r>
        <w:rPr>
          <w:rFonts w:ascii="Times New Roman" w:hAnsi="Times New Roman"/>
          <w:i/>
          <w:color w:val="000000"/>
          <w:sz w:val="20"/>
        </w:rPr>
        <w:t>Governing Law; Exclusive Jurisdiction; Waiver of Jury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color w:val="000000"/>
          <w:sz w:val="20"/>
        </w:rPr>
        <w:t>THE AGREEMENT, THIS CONFIRMATION</w:t>
      </w:r>
      <w:r>
        <w:rPr>
          <w:rFonts w:ascii="Times New Roman" w:hAnsi="Times New Roman"/>
          <w:color w:val="000000"/>
          <w:sz w:val="20"/>
        </w:rPr>
        <w:t xml:space="preserve"> </w:t>
      </w:r>
      <w:r>
        <w:rPr>
          <w:rFonts w:ascii="Times New Roman" w:hAnsi="Times New Roman"/>
          <w:b/>
          <w:color w:val="000000"/>
          <w:sz w:val="20"/>
        </w:rPr>
        <w:t>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color w:val="000000"/>
          <w:sz w:val="20"/>
        </w:rPr>
        <w:t>Section 13(b) of the Agreement is deleted in its entirety and replaced by the following:</w:t>
      </w:r>
    </w:p>
    <w:p>
      <w:pPr>
        <w:pStyle w:val="TextBody"/>
        <w:bidi w:val="0"/>
        <w:spacing w:before="240" w:after="283"/>
        <w:jc w:val="both"/>
        <w:rPr/>
      </w:pPr>
      <w:r>
        <w:rPr>
          <w:color w:val="000000"/>
        </w:rPr>
        <w:t>“</w:t>
      </w:r>
      <w:r>
        <w:rPr>
          <w:rFonts w:ascii="Times New Roman" w:hAnsi="Times New Roman"/>
          <w:b/>
          <w:color w:val="000000"/>
          <w:sz w:val="20"/>
        </w:rPr>
        <w:t>Each party hereby irrevocably and unconditionally submits for itself and its property in any suit, legal action or proceeding relating to any Confirmation or this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any Confirmation or this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pursuant to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any Confirmation or this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color w:val="000000"/>
          <w:sz w:val="20"/>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both"/>
        <w:rPr/>
      </w:pPr>
      <w:r>
        <w:rPr>
          <w:rFonts w:ascii="Times New Roman" w:hAnsi="Times New Roman"/>
          <w:i/>
          <w:color w:val="000000"/>
          <w:sz w:val="20"/>
        </w:rPr>
        <w:t>Amendment.</w:t>
      </w:r>
      <w:r>
        <w:rPr>
          <w:color w:val="000000"/>
        </w:rPr>
        <w:t xml:space="preserve"> </w:t>
      </w:r>
      <w:r>
        <w:rPr>
          <w:rFonts w:ascii="Times New Roman" w:hAnsi="Times New Roman"/>
          <w:color w:val="000000"/>
          <w:sz w:val="20"/>
        </w:rPr>
        <w:t>This Confirmation and the Agreement may not be modified, amended or supplemented, except in a written instrument signed by Counterparty and Dealer.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w:t>
      </w:r>
    </w:p>
    <w:p>
      <w:pPr>
        <w:pStyle w:val="TextBody"/>
        <w:bidi w:val="0"/>
        <w:spacing w:before="240" w:after="283"/>
        <w:jc w:val="both"/>
        <w:rPr/>
      </w:pPr>
      <w:r>
        <w:rPr>
          <w:rFonts w:ascii="Times New Roman" w:hAnsi="Times New Roman"/>
          <w:i/>
          <w:color w:val="000000"/>
          <w:sz w:val="20"/>
        </w:rPr>
        <w:t>Counterparts; Electronic Signatures</w:t>
      </w:r>
      <w:r>
        <w:rPr>
          <w:rFonts w:ascii="Times New Roman" w:hAnsi="Times New Roman"/>
          <w:color w:val="000000"/>
          <w:sz w:val="20"/>
        </w:rPr>
        <w:t>. This Confirmation may be executed in several counterparts, each of which shall be deemed an original but all of which 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(q)</w:t>
      </w:r>
    </w:p>
    <w:p>
      <w:pPr>
        <w:pStyle w:val="TextBody"/>
        <w:bidi w:val="0"/>
        <w:spacing w:before="240" w:after="283"/>
        <w:jc w:val="both"/>
        <w:rPr/>
      </w:pPr>
      <w:r>
        <w:rPr>
          <w:rFonts w:ascii="Times New Roman" w:hAnsi="Times New Roman"/>
          <w:i/>
          <w:color w:val="000000"/>
          <w:sz w:val="20"/>
        </w:rPr>
        <w:t>Payee Tax Representations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For the purpose of Section 3(f) of the Agreement, Counterparty makes the following representation to Dealer: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Counterparty is a corporation and a U.S. person (as that term is defined in Section 7701(a)(30) of the Code and used in Section 1.6045-1(c)(3)(i)(B) of the United States Treasury Regulations) for U.S. federal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For the purpose of Section 3(f) of the Agreement, Dealer makes the following representations to Counterparty:</w:t>
      </w:r>
    </w:p>
    <w:p>
      <w:pPr>
        <w:pStyle w:val="TextBody"/>
        <w:bidi w:val="0"/>
        <w:spacing w:before="240" w:after="283"/>
        <w:jc w:val="both"/>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Dealer to provide</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Each party agrees to give notice to the other party of any failure of a representation made by it under this Section 8(q) to be accurate and true promptly upon learning of such failure.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w:t>
      </w:r>
    </w:p>
    <w:p>
      <w:pPr>
        <w:pStyle w:val="TextBody"/>
        <w:bidi w:val="0"/>
        <w:spacing w:before="240" w:after="283"/>
        <w:jc w:val="both"/>
        <w:rPr/>
      </w:pPr>
      <w:r>
        <w:rPr>
          <w:rFonts w:ascii="Times New Roman" w:hAnsi="Times New Roman"/>
          <w:i/>
          <w:color w:val="000000"/>
          <w:sz w:val="20"/>
        </w:rPr>
        <w:t>Tax Matters</w:t>
      </w:r>
      <w:r>
        <w:rPr>
          <w:rFonts w:ascii="Times New Roman" w:hAnsi="Times New Roman"/>
          <w:color w:val="000000"/>
          <w:sz w:val="20"/>
        </w:rPr>
        <w:t>. For purposes of Sections 4(a)(i) and (ii) of the Agreement, Counterparty agrees to deliver to Dealer one duly executed and completed United States Internal Revenue Service (the “</w:t>
      </w:r>
      <w:r>
        <w:rPr>
          <w:rFonts w:ascii="Times New Roman" w:hAnsi="Times New Roman"/>
          <w:b/>
          <w:color w:val="000000"/>
          <w:sz w:val="20"/>
        </w:rPr>
        <w:t>IRS</w:t>
      </w:r>
      <w:r>
        <w:rPr>
          <w:color w:val="000000"/>
        </w:rPr>
        <w:t>”</w:t>
      </w:r>
      <w:r>
        <w:rPr>
          <w:rFonts w:ascii="Times New Roman" w:hAnsi="Times New Roman"/>
          <w:color w:val="000000"/>
          <w:sz w:val="20"/>
        </w:rPr>
        <w:t>) Form W-9 (or successor thereto), (A) on or before the date of execution of this Confirmation, (B) promptly upon learning that any such tax form previously provided by it has become obsolete or incorrect, and (C) promptly upon request by Dealer. Dealer shall provide to Counterparty one duly executed and completed IRS [Form W-9] (or successor thereto), (A) on or before the date of execution of this Confirmation, (B) promptly upon learning that any such tax form previously provided by it has become obsolete or incorrect, and (C) promptly upon reasonable request of Counterparty.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t>
      </w:r>
    </w:p>
    <w:p>
      <w:pPr>
        <w:pStyle w:val="TextBody"/>
        <w:bidi w:val="0"/>
        <w:spacing w:before="240" w:after="283"/>
        <w:jc w:val="both"/>
        <w:rPr/>
      </w:pPr>
      <w:r>
        <w:rPr>
          <w:rFonts w:ascii="Times New Roman" w:hAnsi="Times New Roman"/>
          <w:i/>
          <w:color w:val="000000"/>
          <w:sz w:val="20"/>
        </w:rPr>
        <w:t>Withholding Tax with Respect to Non-US Counterparties</w:t>
      </w:r>
      <w:r>
        <w:rPr>
          <w:rFonts w:ascii="Times New Roman" w:hAnsi="Times New Roman"/>
          <w:color w:val="000000"/>
          <w:sz w:val="20"/>
        </w:rPr>
        <w:t>.</w:t>
      </w:r>
      <w:r>
        <w:rPr>
          <w:color w:val="000000"/>
        </w:rPr>
        <w:t xml:space="preserve"> “</w:t>
      </w:r>
      <w:r>
        <w:rPr>
          <w:rFonts w:ascii="Times New Roman" w:hAnsi="Times New Roman"/>
          <w:color w:val="000000"/>
          <w:sz w:val="20"/>
        </w:rPr>
        <w:t>Indemnifiable Tax” as defined in Section 14 of the Agreement shall not include (i)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hAnsi="Times New Roman"/>
          <w:b/>
          <w:color w:val="000000"/>
          <w:sz w:val="20"/>
        </w:rPr>
        <w:t>FATCA Withholding Tax</w:t>
      </w:r>
      <w:r>
        <w:rPr>
          <w:color w:val="000000"/>
        </w:rPr>
        <w:t>”</w:t>
      </w:r>
      <w:r>
        <w:rPr>
          <w:rFonts w:ascii="Times New Roman" w:hAnsi="Times New Roman"/>
          <w:color w:val="000000"/>
          <w:sz w:val="20"/>
        </w:rPr>
        <w:t>) or (ii) any tax imposed on amounts treated as dividends from sources within the United States under Section 871(m) of the Code (or any United States Treasury Regulations or other guidance issued thereunder). For the avoidance of doubt, each of a FATCA Withholding Tax and any tax imposed under Section 871(m) of the Code is a Tax the deduction or withholding of which is required by applicable law for the purposes of Section 2(d) of the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w:t>
      </w:r>
    </w:p>
    <w:p>
      <w:pPr>
        <w:pStyle w:val="TextBody"/>
        <w:bidi w:val="0"/>
        <w:spacing w:before="240" w:after="283"/>
        <w:jc w:val="both"/>
        <w:rPr/>
      </w:pPr>
      <w:r>
        <w:rPr>
          <w:rFonts w:ascii="Times New Roman" w:hAnsi="Times New Roman"/>
          <w:i/>
          <w:color w:val="000000"/>
          <w:sz w:val="20"/>
        </w:rPr>
        <w:t>Amendments to Equity Definitions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Solely in respect of adjustments to the Cap Price pursuant to Section 8(u) of this Confirmation, 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options on the Shares; </w:t>
      </w:r>
      <w:r>
        <w:rPr>
          <w:rFonts w:ascii="Times New Roman" w:hAnsi="Times New Roman"/>
          <w:i/>
          <w:color w:val="000000"/>
          <w:sz w:val="20"/>
        </w:rPr>
        <w:t>provided</w:t>
      </w:r>
      <w:r>
        <w:rPr>
          <w:rFonts w:ascii="Times New Roman" w:hAnsi="Times New Roman"/>
          <w:color w:val="000000"/>
          <w:sz w:val="20"/>
        </w:rPr>
        <w:t xml:space="preserve"> that such event is not based on (a) an observable market, other than the market for Counterparty’s own stock or (b) an observable index, other than an index calculated and measured solely by reference to Counterparty’s own operations.”.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Section 12.9(b)(i) of the Equity Definitions is hereby amended by (1) replacing “either party may elect” with “Dealer may elect or, if Counterparty represents to Dealer in writing at the time of such election that (i) it is not aware of any material nonpublic information with respect to Counterparty or the Shares and (ii) it is not making such election as part of a plan or scheme to evade compliance with the U.S. federal securities laws, Counterparty may elect”.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Section 12.9(b)(vi) of the Equity Definitions is hereby amended by adding the phrase “; </w:t>
      </w:r>
      <w:r>
        <w:rPr>
          <w:rFonts w:ascii="Times New Roman" w:hAnsi="Times New Roman"/>
          <w:i/>
          <w:color w:val="000000"/>
          <w:sz w:val="20"/>
        </w:rPr>
        <w:t>provided</w:t>
      </w:r>
      <w:r>
        <w:rPr>
          <w:rFonts w:ascii="Times New Roman" w:hAnsi="Times New Roman"/>
          <w:color w:val="000000"/>
          <w:sz w:val="20"/>
        </w:rPr>
        <w:t xml:space="preserve"> that, in the case of clause (C), in order to make such election, Counterparty must represent to Dealer in writing at the time of such election that (1) it is not aware of any material nonpublic information with respect to Counterparty or the Shares and (2) it is not making such election as part of a plan or scheme to evade compliance with the U.S. federal securities laws” at the end of the second sentence of such Section.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w:t>
      </w:r>
    </w:p>
    <w:p>
      <w:pPr>
        <w:pStyle w:val="TextBody"/>
        <w:bidi w:val="0"/>
        <w:spacing w:before="240" w:after="283"/>
        <w:jc w:val="both"/>
        <w:rPr/>
      </w:pPr>
      <w:r>
        <w:rPr>
          <w:rFonts w:ascii="Times New Roman" w:hAnsi="Times New Roman"/>
          <w:i/>
          <w:color w:val="000000"/>
          <w:sz w:val="20"/>
        </w:rPr>
        <w:t>Other Adjustments Pursuant to the Equity Definitions</w:t>
      </w:r>
      <w:r>
        <w:rPr>
          <w:rFonts w:ascii="Times New Roman" w:hAnsi="Times New Roman"/>
          <w:color w:val="000000"/>
          <w:sz w:val="20"/>
        </w:rPr>
        <w:t xml:space="preserve">. Notwithstanding anything to the contrary in the Agreement, the Equity Definitions or this Confirmation, upon the occurrence 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preserve the fair value of the Options taking into account, for the avoidance of doubt, such economic effect on both the Strike Price and Cap Price to account solely for stock price volatility, expected dividends, interest rates, stock loan rate, value of any commercially reasonable hedge positions in connection with the Transaction and liquidity relevant to the Shares or to such Transaction; </w:t>
      </w:r>
      <w:r>
        <w:rPr>
          <w:rFonts w:ascii="Times New Roman" w:hAnsi="Times New Roman"/>
          <w:i/>
          <w:color w:val="000000"/>
          <w:sz w:val="20"/>
        </w:rPr>
        <w:t xml:space="preserve">provided </w:t>
      </w:r>
      <w:r>
        <w:rPr>
          <w:rFonts w:ascii="Times New Roman" w:hAnsi="Times New Roman"/>
          <w:color w:val="000000"/>
          <w:sz w:val="20"/>
        </w:rPr>
        <w:t>that (i) in no event shall the Cap Price be less than the Strike Price, (ii) any adjustment to the Cap Price made pursuant to this Section 8(u) shall be made without duplication of any other adjustment hereunder, (iii) with respect to any Announcement Event (or any event that would be an Announcement Event if “35%” and “20%” in the definition thereof were replaced with “0%”), no adjustment to the Cap Price shall be made pursuant to this Section 8(u), and (iv) the parties agree that, for purposes of this Section 8(u), (x) open market Share repurchases at prevailing market prices, (y) Share repurchases through a dealer pursuant to accelerated share repurchases, forward contracts or similar transactions that are entered into at prevailing market prices and in accordance with customary market terms (including, without limitation, any discount to average VWAP prices) for transactions of such type to repurchase the Shares and (z) any reacquisition of Shares pursuant to Counterparty’s employee incentive plans in connection with the related equity transactions, or Counterparty’s withholding of Shares to cover tax liabilities associated with such equity transactions, shall not be considered Potential Adjustment Events or Tender Offers so long as, in the case of clauses (x) and (y), such repurchases in aggregate would not reduce the number of total Shares outstanding to be less than [_______] Shares, as determined by the Calculation Agent and as adjusted by the Calculation Agent to account for any subdivision or combination with respect to the Shares. For purposes of this Section 8(u), (x) the terms “Potential Adjustment Event,” “Merger Event,” and “Tender Offer” shall each have the meanings assigned to each such term in the Equity Definitions (in the case of the definition of “Potential Adjustment Event”, as amended by Section 8(t)(i), and in the case of the definition of “Tender Offer”, as if all references to “voting shares” in Sections 12.1(d), 12.1(e) and 12.1(l) of the Equity Definitions were instead references to “Shares”) and (y) “Extraordinary Dividend” shall mean any cash dividend on the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240" w:after="283"/>
        <w:jc w:val="both"/>
        <w:rPr/>
      </w:pPr>
      <w:r>
        <w:rPr>
          <w:rFonts w:ascii="Times New Roman" w:hAnsi="Times New Roman"/>
          <w:i/>
          <w:color w:val="000000"/>
          <w:sz w:val="20"/>
        </w:rPr>
        <w:t>Notice of Certain Other Events</w:t>
      </w:r>
      <w:r>
        <w:rPr>
          <w:rFonts w:ascii="Times New Roman" w:hAnsi="Times New Roman"/>
          <w:color w:val="000000"/>
          <w:sz w:val="20"/>
        </w:rPr>
        <w:t>. (A) 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 and (B) promptly following any such adjustment, Counterparty shall give Dealer written notice of the details of such adjustment.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w:t>
      </w:r>
    </w:p>
    <w:p>
      <w:pPr>
        <w:pStyle w:val="TextBody"/>
        <w:bidi w:val="0"/>
        <w:spacing w:before="240" w:after="283"/>
        <w:jc w:val="both"/>
        <w:rPr/>
      </w:pPr>
      <w:r>
        <w:rPr>
          <w:rFonts w:ascii="Times New Roman" w:hAnsi="Times New Roman"/>
          <w:i/>
          <w:color w:val="000000"/>
          <w:sz w:val="20"/>
        </w:rPr>
        <w:t>Payment by Counterparty</w:t>
      </w:r>
      <w:r>
        <w:rPr>
          <w:rFonts w:ascii="Times New Roman" w:hAnsi="Times New Roman"/>
          <w:color w:val="000000"/>
          <w:sz w:val="20"/>
        </w:rPr>
        <w:t xml:space="preserve">.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Definitions, an amount calculated under Section 12.8 of the Equity Definitions, such amount shall be deemed to be zero.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[Insert Agency Boilerplate,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[Insert QFC Language, If Applicable.]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(z)</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[Insert additional Dealer boilerplate, if applicable.]</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Please confirm that the foregoing correctly sets forth the terms of the Transaction by executing this Confirmation and returning it to Dealer.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tbl>
      <w:tblPr>
        <w:tblW w:w="1497" w:type="dxa"/>
        <w:jc w:val="left"/>
        <w:tblInd w:w="0" w:type="dxa"/>
        <w:tblLayout w:type="fixed"/>
        <w:tblCellMar>
          <w:top w:w="28" w:type="dxa"/>
          <w:left w:w="28" w:type="dxa"/>
          <w:bottom w:w="28" w:type="dxa"/>
          <w:right w:w="28" w:type="dxa"/>
        </w:tblCellMar>
      </w:tblPr>
      <w:tblGrid>
        <w:gridCol w:w="436"/>
        <w:gridCol w:w="1061"/>
      </w:tblGrid>
      <w:tr>
        <w:trPr/>
        <w:tc>
          <w:tcPr>
            <w:tcW w:w="43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w:t>
            </w:r>
            <w:r>
              <w:rPr>
                <w:rFonts w:ascii="Times New Roman" w:hAnsi="Times New Roman"/>
                <w:b/>
                <w:color w:val="000000"/>
                <w:sz w:val="20"/>
              </w:rPr>
              <w:t>DEALER</w:t>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61" w:type="dxa"/>
            <w:tcBorders>
              <w:bottom w:val="single" w:sz="4" w:space="0" w:color="000000"/>
            </w:tcBorders>
            <w:tcMar>
              <w:top w:w="0" w:type="dxa"/>
              <w:left w:w="0" w:type="dxa"/>
              <w:right w:w="0" w:type="dxa"/>
            </w:tcMar>
            <w:vAlign w:val="center"/>
          </w:tcPr>
          <w:p>
            <w:pPr>
              <w:pStyle w:val="TableContents"/>
              <w:bidi w:val="0"/>
              <w:spacing w:before="0" w:after="283"/>
              <w:ind w:left="0" w:right="0" w:firstLine="777"/>
              <w:jc w:val="left"/>
              <w:rPr/>
            </w:pPr>
            <w:r>
              <w:rPr/>
              <w:t> </w:t>
            </w:r>
          </w:p>
        </w:tc>
      </w:tr>
      <w:tr>
        <w:trPr/>
        <w:tc>
          <w:tcPr>
            <w:tcW w:w="1497" w:type="dxa"/>
            <w:gridSpan w:val="2"/>
            <w:tcBorders/>
            <w:tcMar>
              <w:top w:w="0" w:type="dxa"/>
              <w:left w:w="0" w:type="dxa"/>
              <w:bottom w:w="0" w:type="dxa"/>
              <w:right w:w="0" w:type="dxa"/>
            </w:tcMar>
            <w:vAlign w:val="center"/>
          </w:tcPr>
          <w:p>
            <w:pPr>
              <w:pStyle w:val="TableContents"/>
              <w:bidi w:val="0"/>
              <w:spacing w:before="0" w:after="283"/>
              <w:ind w:left="0" w:right="0" w:firstLine="777"/>
              <w:jc w:val="left"/>
              <w:rPr>
                <w:rFonts w:ascii="Times New Roman" w:hAnsi="Times New Roman"/>
                <w:color w:val="000000"/>
                <w:sz w:val="20"/>
              </w:rPr>
            </w:pPr>
            <w:r>
              <w:rPr>
                <w:rFonts w:ascii="Times New Roman" w:hAnsi="Times New Roman"/>
                <w:color w:val="000000"/>
                <w:sz w:val="20"/>
              </w:rPr>
              <w:t>Name:</w:t>
            </w:r>
          </w:p>
        </w:tc>
      </w:tr>
      <w:tr>
        <w:trPr/>
        <w:tc>
          <w:tcPr>
            <w:tcW w:w="1497" w:type="dxa"/>
            <w:gridSpan w:val="2"/>
            <w:tcBorders/>
            <w:tcMar>
              <w:top w:w="0" w:type="dxa"/>
              <w:left w:w="0" w:type="dxa"/>
              <w:bottom w:w="0" w:type="dxa"/>
              <w:right w:w="0" w:type="dxa"/>
            </w:tcMar>
            <w:vAlign w:val="center"/>
          </w:tcPr>
          <w:p>
            <w:pPr>
              <w:pStyle w:val="TableContents"/>
              <w:bidi w:val="0"/>
              <w:spacing w:before="0" w:after="283"/>
              <w:ind w:left="0" w:right="0" w:firstLine="777"/>
              <w:jc w:val="left"/>
              <w:rPr>
                <w:rFonts w:ascii="Times New Roman" w:hAnsi="Times New Roman"/>
                <w:color w:val="000000"/>
                <w:sz w:val="20"/>
              </w:rPr>
            </w:pPr>
            <w:r>
              <w:rPr>
                <w:rFonts w:ascii="Times New Roman" w:hAnsi="Times New Roman"/>
                <w:color w:val="000000"/>
                <w:sz w:val="20"/>
              </w:rPr>
              <w:t>Title: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Agreed and Accepted By: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DIODES INCORPORATED</w:t>
      </w:r>
    </w:p>
    <w:p>
      <w:pPr>
        <w:pStyle w:val="TextBody"/>
        <w:bidi w:val="0"/>
        <w:spacing w:before="240" w:after="283"/>
        <w:jc w:val="both"/>
        <w:rPr/>
      </w:pPr>
      <w:r>
        <w:rPr/>
        <w:t> </w:t>
      </w:r>
    </w:p>
    <w:tbl>
      <w:tblPr>
        <w:tblW w:w="867" w:type="dxa"/>
        <w:jc w:val="left"/>
        <w:tblInd w:w="0" w:type="dxa"/>
        <w:tblLayout w:type="fixed"/>
        <w:tblCellMar>
          <w:top w:w="28" w:type="dxa"/>
          <w:left w:w="28" w:type="dxa"/>
          <w:bottom w:w="28" w:type="dxa"/>
          <w:right w:w="28" w:type="dxa"/>
        </w:tblCellMar>
      </w:tblPr>
      <w:tblGrid>
        <w:gridCol w:w="676"/>
        <w:gridCol w:w="191"/>
      </w:tblGrid>
      <w:tr>
        <w:trPr/>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b/>
          <w:color w:val="000000"/>
          <w:sz w:val="20"/>
        </w:rPr>
      </w:pPr>
      <w:bookmarkStart w:id="9" w:name="diod-ex99_1.htm"/>
      <w:bookmarkStart w:id="10" w:name="ksdiodex99_1"/>
      <w:bookmarkEnd w:id="9"/>
      <w:bookmarkEnd w:id="10"/>
      <w:r>
        <w:rPr>
          <w:rFonts w:ascii="Verdana;sans-serif" w:hAnsi="Verdana;sans-serif"/>
          <w:b/>
          <w:color w:val="000000"/>
          <w:sz w:val="20"/>
        </w:rPr>
        <w:t>Exhibit 99.1</w:t>
      </w:r>
      <w:r>
        <w:br w:type="page"/>
      </w:r>
    </w:p>
    <w:p>
      <w:pPr>
        <w:pStyle w:val="TextBody"/>
        <w:bidi w:val="0"/>
        <w:jc w:val="left"/>
        <w:rPr/>
      </w:pPr>
      <w:r>
        <w:rPr/>
        <w:drawing>
          <wp:inline distT="0" distB="0" distL="0" distR="0">
            <wp:extent cx="1781175"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81175" cy="495300"/>
                    </a:xfrm>
                    <a:prstGeom prst="rect">
                      <a:avLst/>
                    </a:prstGeom>
                  </pic:spPr>
                </pic:pic>
              </a:graphicData>
            </a:graphic>
          </wp:inline>
        </w:drawing>
      </w:r>
    </w:p>
    <w:p>
      <w:pPr>
        <w:pStyle w:val="TextBody"/>
        <w:bidi w:val="0"/>
        <w:jc w:val="left"/>
        <w:rPr/>
      </w:pPr>
      <w:r>
        <w:rPr/>
        <w:t> </w:t>
      </w:r>
    </w:p>
    <w:p>
      <w:pPr>
        <w:pStyle w:val="TextBody"/>
        <w:bidi w:val="0"/>
        <w:spacing w:before="0" w:after="240"/>
        <w:jc w:val="center"/>
        <w:rPr>
          <w:rFonts w:ascii="Verdana;sans-serif" w:hAnsi="Verdana;sans-serif"/>
          <w:b/>
          <w:color w:val="000000"/>
          <w:sz w:val="24"/>
        </w:rPr>
      </w:pPr>
      <w:r>
        <w:rPr>
          <w:rFonts w:ascii="Verdana;sans-serif" w:hAnsi="Verdana;sans-serif"/>
          <w:b/>
          <w:color w:val="000000"/>
          <w:sz w:val="24"/>
        </w:rPr>
        <w:t>Diodes Incorporated Announces Proposed Private Placement</w:t>
        <w:br/>
        <w:t>of $325 Million of Convertible Senior Notes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PLANO, Texas - August 13, 2026 -- Diodes Incorporated (“Diodes”) (Nasdaq: DIOD), today announced it intends to offer, subject to market conditions and other factors, $325 million aggregate principal amount of Convertible Senior Notes due 2031 (the “notes”) in a private placement (the “offering”) only to persons reasonably believed to be “qualified institutional buyers” pursuant to Rule 144A under the Securities Act of 1933, as amended (the “Securities Act”). Diodes also intends to grant the initial purchasers of the notes an option to purchase, during a 13-day period beginning on, and including, the date on which the notes are first issued, up to an additional $50 million aggregate principal amount of the notes.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Diodes expects to use a portion of the net proceeds from the offering to pay the cost of the capped call transactions described below, to repurchase up to $35 million of shares of its common stock concurrently with the pricing of the offering in privately negotiated transactions effected with or through one of the initial purchasers or one or more of their affiliates, and for general corporate purposes, including potential future acquisitions. If the initial purchasers exercise their option to purchase additional notes, Diodes expects to use a portion of the net proceeds from the sale of the additional notes to enter into additional capped call transactions with the option counterparties (as defined below).</w:t>
      </w:r>
    </w:p>
    <w:p>
      <w:pPr>
        <w:pStyle w:val="TextBody"/>
        <w:bidi w:val="0"/>
        <w:spacing w:before="0" w:after="120"/>
        <w:jc w:val="both"/>
        <w:rPr>
          <w:rFonts w:ascii="Times New Roman" w:hAnsi="Times New Roman"/>
          <w:sz w:val="20"/>
        </w:rPr>
      </w:pPr>
      <w:r>
        <w:rPr>
          <w:rFonts w:ascii="Verdana;sans-serif" w:hAnsi="Verdana;sans-serif"/>
          <w:color w:val="000000"/>
          <w:sz w:val="20"/>
        </w:rPr>
        <w:t>The notes will be general senior unsecured obligations of Diodes, will accrue interest payable semiannually in arrears and will mature on August 15, 2031, unless earlier repurchased, redeemed or converted. Upon conversion, Diodes will pay cash up to the aggregate principal amount of the notes to be converted and pay or deliver, as the case may be, cash, shares of Diodes’ common stock or a combination of cash and shares of Diodes’ common stock, at Diodes’ election, in respect of the remainder, if any, of Diodes’ conversion obligation in excess of the aggregate principal amount of the notes being converted. The interest rate, initial conversion rate and other terms of the notes will be determined at the time of pricing of the offering.</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Verdana;sans-serif" w:hAnsi="Verdana;sans-serif"/>
          <w:color w:val="000000"/>
          <w:sz w:val="20"/>
        </w:rPr>
        <w:t>In connection with the pricing of the notes, Diodes expects to enter into privately negotiated capped call transactions with one or more of the initial purchasers or their respective affiliates and/or other financial institutions (the “option counterparties”). The capped call transactions will cover, subject to customary adjustments substantially similar to those applicable to the notes, the number of shares of Diodes’ common stock that will initially underlie the notes. The capped call transactions are expected generally to reduce the potential dilution to Diodes’ common stock upon any conversion of notes and/or offset any cash payments Diodes is required to make in excess of the principal amount of converted notes, as the case may be, with such reduction and/or offset subject to a cap.</w:t>
      </w:r>
      <w:r>
        <w:rPr>
          <w:rFonts w:ascii="Times New Roman" w:hAnsi="Times New Roman"/>
          <w:color w:val="000000"/>
          <w:sz w:val="20"/>
        </w:rPr>
        <w:t xml:space="preserve">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connection with establishing their initial hedges of the capped call transactions, Diodes expects that the option counterparties or their respective affiliates will purchase shares of Diodes’ common stock and/or enter into various derivative transactions with respect to Diodes’ common stock concurrently with or shortly after the pricing of the notes. This activity could increase (or reduce the size of any decrease in) the market price of Diodes’ common stock or the notes at that time.</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Verdana;sans-serif" w:hAnsi="Verdana;sans-serif"/>
          <w:color w:val="000000"/>
          <w:sz w:val="20"/>
        </w:rPr>
        <w:t>In addition, Diodes expects that the option counterparties or their respective affiliates may modify their hedge positions by entering into or unwinding various derivatives with respect to Diodes’ common stock and/or purchasing or selling Diodes’ common stock or other securities of Diodes in secondary market transactions following the pricing of the notes and prior to the maturity of the notes (and are likely to do so during any observation period related to a conversion of notes or, to the extent Diodes exercises the relevant election under the capped call transactions, following any repurchase or redemption of the notes). This activity could also cause or avoid an increase or a decrease in the market price of Diodes’ common stock or the notes which could affect the ability of a holder of notes to convert the notes and, to the extent the activity occurs during any observation period related to a conversion of notes, this could affect the number of shares, if any, and value of the consideration that a holder of notes will receive upon conversion of its notes.</w:t>
      </w:r>
      <w:r>
        <w:rPr>
          <w:rFonts w:ascii="Times New Roman" w:hAnsi="Times New Roman"/>
          <w:color w:val="000000"/>
          <w:sz w:val="20"/>
        </w:rPr>
        <w:t xml:space="preserve">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concurrent repurchases of up to $35 million of Diodes’ common stock described above could increase (or reduce the size of any decrease in) the market price of Diodes’ common stock or the notes prior to, concurrently with or shortly after the pricing of the notes, and could result in a higher effective conversion price for the notes. The offering of the notes is not contingent upon the repurchase of any of Diodes’ common stock.</w:t>
      </w:r>
    </w:p>
    <w:p>
      <w:pPr>
        <w:pStyle w:val="TextBody"/>
        <w:bidi w:val="0"/>
        <w:spacing w:before="0" w:after="240"/>
        <w:jc w:val="both"/>
        <w:rPr>
          <w:rFonts w:ascii="Times New Roman" w:hAnsi="Times New Roman"/>
          <w:sz w:val="20"/>
        </w:rPr>
      </w:pPr>
      <w:r>
        <w:rPr>
          <w:rFonts w:ascii="Verdana;sans-serif" w:hAnsi="Verdana;sans-serif"/>
          <w:color w:val="000000"/>
          <w:sz w:val="20"/>
        </w:rPr>
        <w:t>The notes and any shares of Diodes’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r>
        <w:rPr>
          <w:rFonts w:ascii="Times New Roman" w:hAnsi="Times New Roman"/>
          <w:color w:val="000000"/>
          <w:sz w:val="20"/>
        </w:rPr>
        <w:t xml:space="preserve"> </w:t>
      </w:r>
    </w:p>
    <w:p>
      <w:pPr>
        <w:pStyle w:val="TextBody"/>
        <w:bidi w:val="0"/>
        <w:spacing w:before="0" w:after="240"/>
        <w:jc w:val="both"/>
        <w:rPr>
          <w:rFonts w:ascii="Verdana;sans-serif" w:hAnsi="Verdana;sans-serif"/>
          <w:color w:val="000000"/>
          <w:sz w:val="20"/>
        </w:rPr>
      </w:pPr>
      <w:r>
        <w:rPr>
          <w:rFonts w:ascii="Verdana;sans-serif" w:hAnsi="Verdana;sans-serif"/>
          <w:color w:val="000000"/>
          <w:sz w:val="20"/>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before="0" w:after="12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spacing w:before="0" w:after="240"/>
        <w:jc w:val="both"/>
        <w:rPr>
          <w:rFonts w:ascii="Times New Roman" w:hAnsi="Times New Roman"/>
          <w:sz w:val="20"/>
        </w:rPr>
      </w:pPr>
      <w:r>
        <w:rPr>
          <w:rFonts w:ascii="Verdana;sans-serif" w:hAnsi="Verdana;sans-serif"/>
          <w:color w:val="000000"/>
          <w:sz w:val="20"/>
        </w:rPr>
        <w:t>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to meet customers’ needs. Our broad range of application-specific products, delivered through a total solutions sales approach and supported by global operations including engineering, testing, manufacturing, and customer service, enable us to be a premier provider for high-growth markets.</w:t>
      </w:r>
      <w:r>
        <w:rPr>
          <w:rFonts w:ascii="Times New Roman" w:hAnsi="Times New Roman"/>
          <w:color w:val="000000"/>
          <w:sz w:val="20"/>
        </w:rPr>
        <w:t xml:space="preserve"> </w:t>
      </w:r>
    </w:p>
    <w:p>
      <w:pPr>
        <w:pStyle w:val="TextBody"/>
        <w:bidi w:val="0"/>
        <w:spacing w:before="0" w:after="120"/>
        <w:jc w:val="both"/>
        <w:rPr>
          <w:rFonts w:ascii="Verdana;sans-serif" w:hAnsi="Verdana;sans-serif"/>
          <w:b/>
          <w:color w:val="000000"/>
          <w:sz w:val="20"/>
        </w:rPr>
      </w:pPr>
      <w:r>
        <w:rPr>
          <w:rFonts w:ascii="Verdana;sans-serif" w:hAnsi="Verdana;sans-serif"/>
          <w:b/>
          <w:color w:val="000000"/>
          <w:sz w:val="20"/>
        </w:rPr>
        <w:t>Cautions Regarding Forward-Looking Statements:</w:t>
      </w:r>
    </w:p>
    <w:p>
      <w:pPr>
        <w:pStyle w:val="TextBody"/>
        <w:bidi w:val="0"/>
        <w:spacing w:before="0" w:after="120"/>
        <w:jc w:val="both"/>
        <w:rPr>
          <w:rFonts w:ascii="Times New Roman" w:hAnsi="Times New Roman"/>
          <w:sz w:val="20"/>
        </w:rPr>
      </w:pPr>
      <w:r>
        <w:rPr>
          <w:rFonts w:ascii="Verdana;sans-serif" w:hAnsi="Verdana;sans-serif"/>
          <w:i/>
          <w:color w:val="000000"/>
          <w:sz w:val="20"/>
        </w:rPr>
        <w:t>This press release contains forward-looking statements within the meaning of Section 27A of the Securities Act of 1933, as amended, and Section 21E of the Securities Exchange Act of 1934, as amended. In some cases, forward-looking statements may be identified by terminology such as “believe,” “may,” “will,” “should,” “predict,” “goal,” “strategy,” “potentially,” “estimate,” “continue,” “anticipate,” “intend,” “could,” “would,” “project,” “plan,” “expect,” “seek” and similar expressions and variations thereof. These words are intended to identify forward-looking statements. Forward-looking statements in this press release include statements regarding the anticipated benefits of the proposed offering of the notes, the expected use of proceeds, the capped call transactions, the concurrent repurchase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Verdana;sans-serif" w:hAnsi="Verdana;sans-serif"/>
          <w:i/>
          <w:color w:val="000000"/>
          <w:sz w:val="20"/>
        </w:rPr>
      </w:pPr>
      <w:r>
        <w:rPr>
          <w:rFonts w:ascii="Verdana;sans-serif" w:hAnsi="Verdana;sans-serif"/>
          <w:i/>
          <w:color w:val="000000"/>
          <w:sz w:val="20"/>
        </w:rPr>
        <w:t>of shares of our common stock and our business, prospects and market growth opportunities. These forward-looking statements are based on Diodes' current expectations and assumptions and involve known and unknown risks, uncertainties, and other factors that may cause actual results to differ materially from those expressed or implied. Such factors include, but are not limited to: the failure to close the contemplated transaction with respect to the issuance of the notes; market conditions affecting the pricing and completion of the offering of the notes; the impact of the capped call transactions and concurrent share repurchases on the market price of our common stock and the notes; competitive market conditions; changes in demand for semiconductor products; macroeconomic conditions; and other risks described in Diodes' filings with the Securities and Exchange Commission, including its most recent Annual Report on Form 10-K and Quarterly Reports on Form 10-Q. Diodes undertakes no obligation to update any forward-looking statements to reflect events or circumstances after the date of this press release.</w:t>
      </w:r>
    </w:p>
    <w:p>
      <w:pPr>
        <w:pStyle w:val="TextBody"/>
        <w:bidi w:val="0"/>
        <w:spacing w:before="0" w:after="120"/>
        <w:jc w:val="both"/>
        <w:rPr>
          <w:rFonts w:ascii="Verdana;sans-serif" w:hAnsi="Verdana;sans-serif"/>
          <w:i/>
          <w:color w:val="000000"/>
          <w:sz w:val="20"/>
        </w:rPr>
      </w:pPr>
      <w:r>
        <w:rPr>
          <w:rFonts w:ascii="Verdana;sans-serif" w:hAnsi="Verdana;sans-serif"/>
          <w:i/>
          <w:color w:val="000000"/>
          <w:sz w:val="20"/>
        </w:rPr>
        <w:t>The Diodes logo is a registered trademark of Diodes Incorporated in the United States and other countries.</w:t>
      </w:r>
    </w:p>
    <w:p>
      <w:pPr>
        <w:pStyle w:val="TextBody"/>
        <w:bidi w:val="0"/>
        <w:spacing w:before="0" w:after="120"/>
        <w:jc w:val="both"/>
        <w:rPr>
          <w:rFonts w:ascii="Verdana;sans-serif" w:hAnsi="Verdana;sans-serif"/>
          <w:i/>
          <w:color w:val="000000"/>
          <w:sz w:val="20"/>
        </w:rPr>
      </w:pPr>
      <w:r>
        <w:rPr>
          <w:rFonts w:ascii="Verdana;sans-serif" w:hAnsi="Verdana;sans-serif"/>
          <w:i/>
          <w:color w:val="000000"/>
          <w:sz w:val="20"/>
        </w:rPr>
        <w:t>© 2026 Diodes Incorporated. All Rights Reserved.</w:t>
      </w:r>
    </w:p>
    <w:p>
      <w:pPr>
        <w:pStyle w:val="TextBody"/>
        <w:bidi w:val="0"/>
        <w:spacing w:before="120" w:after="120"/>
        <w:jc w:val="left"/>
        <w:rPr>
          <w:rFonts w:ascii="Times New Roman" w:hAnsi="Times New Roman"/>
          <w:sz w:val="20"/>
        </w:rPr>
      </w:pPr>
      <w:r>
        <w:rPr>
          <w:rFonts w:ascii="Verdana;sans-serif" w:hAnsi="Verdana;sans-serif"/>
          <w:b/>
          <w:color w:val="000000"/>
          <w:sz w:val="20"/>
        </w:rPr>
        <w:t>Company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Diodes Incorporated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Gurmeet Dhaliwal</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Vice President, Corporate Marketing &amp; Investor Relations</w:t>
      </w:r>
    </w:p>
    <w:p>
      <w:pPr>
        <w:pStyle w:val="TextBody"/>
        <w:bidi w:val="0"/>
        <w:jc w:val="left"/>
        <w:rPr>
          <w:rFonts w:ascii="Times New Roman" w:hAnsi="Times New Roman"/>
          <w:sz w:val="20"/>
        </w:rPr>
      </w:pPr>
      <w:r>
        <w:rPr>
          <w:rFonts w:ascii="Verdana;sans-serif" w:hAnsi="Verdana;sans-serif"/>
          <w:color w:val="000000"/>
          <w:sz w:val="20"/>
        </w:rPr>
        <w:t>P: 408-232-9003</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Gurmeet_Dhaliwal@diodes.com</w:t>
      </w:r>
      <w:r>
        <w:rPr>
          <w:rFonts w:ascii="Times New Roman" w:hAnsi="Times New Roman"/>
          <w:color w:val="0462C1"/>
          <w:sz w:val="20"/>
        </w:rPr>
        <w:t xml:space="preserve"> </w:t>
      </w:r>
    </w:p>
    <w:p>
      <w:pPr>
        <w:pStyle w:val="TextBody"/>
        <w:bidi w:val="0"/>
        <w:spacing w:before="0" w:after="120"/>
        <w:jc w:val="left"/>
        <w:rPr>
          <w:rFonts w:ascii="Times New Roman" w:hAnsi="Times New Roman"/>
          <w:sz w:val="20"/>
        </w:rPr>
      </w:pPr>
      <w:r>
        <w:rPr>
          <w:rFonts w:ascii="Verdana;sans-serif" w:hAnsi="Verdana;sans-serif"/>
          <w:b/>
          <w:color w:val="000000"/>
          <w:sz w:val="20"/>
        </w:rPr>
        <w:t>Investor Relations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Shelton Group</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Leanne K. Sievers</w:t>
      </w:r>
    </w:p>
    <w:p>
      <w:pPr>
        <w:pStyle w:val="TextBody"/>
        <w:bidi w:val="0"/>
        <w:jc w:val="left"/>
        <w:rPr>
          <w:rFonts w:ascii="Times New Roman" w:hAnsi="Times New Roman"/>
          <w:sz w:val="20"/>
        </w:rPr>
      </w:pPr>
      <w:r>
        <w:rPr>
          <w:rFonts w:ascii="Verdana;sans-serif" w:hAnsi="Verdana;sans-serif"/>
          <w:color w:val="000000"/>
          <w:sz w:val="20"/>
        </w:rPr>
        <w:t>President, Investor Relations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lsievers@sheltongroup.com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1" w:name="diod-ex99_2.htm"/>
      <w:bookmarkStart w:id="12" w:name="ksdiodex99_2"/>
      <w:bookmarkEnd w:id="11"/>
      <w:bookmarkEnd w:id="12"/>
      <w:r>
        <w:rPr/>
        <w:t> </w:t>
      </w:r>
      <w:r>
        <w:br w:type="page"/>
      </w:r>
    </w:p>
    <w:p>
      <w:pPr>
        <w:pStyle w:val="TextBody"/>
        <w:bidi w:val="0"/>
        <w:jc w:val="right"/>
        <w:rPr>
          <w:rFonts w:ascii="Verdana;sans-serif" w:hAnsi="Verdana;sans-serif"/>
          <w:b/>
          <w:color w:val="000000"/>
          <w:sz w:val="20"/>
        </w:rPr>
      </w:pPr>
      <w:r>
        <w:rPr>
          <w:rFonts w:ascii="Verdana;sans-serif" w:hAnsi="Verdana;sans-serif"/>
          <w:b/>
          <w:color w:val="000000"/>
          <w:sz w:val="20"/>
        </w:rPr>
        <w:t>Exhibit 99.2</w:t>
      </w:r>
    </w:p>
    <w:p>
      <w:pPr>
        <w:pStyle w:val="TextBody"/>
        <w:bidi w:val="0"/>
        <w:jc w:val="left"/>
        <w:rPr/>
      </w:pPr>
      <w:r>
        <w:rPr/>
        <w:drawing>
          <wp:inline distT="0" distB="0" distL="0" distR="0">
            <wp:extent cx="1781175"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81175" cy="495300"/>
                    </a:xfrm>
                    <a:prstGeom prst="rect">
                      <a:avLst/>
                    </a:prstGeom>
                  </pic:spPr>
                </pic:pic>
              </a:graphicData>
            </a:graphic>
          </wp:inline>
        </w:drawing>
      </w:r>
    </w:p>
    <w:p>
      <w:pPr>
        <w:pStyle w:val="TextBody"/>
        <w:bidi w:val="0"/>
        <w:jc w:val="left"/>
        <w:rPr/>
      </w:pPr>
      <w:r>
        <w:rPr/>
        <w:t> </w:t>
      </w:r>
    </w:p>
    <w:p>
      <w:pPr>
        <w:pStyle w:val="TextBody"/>
        <w:bidi w:val="0"/>
        <w:spacing w:before="0" w:after="120"/>
        <w:jc w:val="center"/>
        <w:rPr>
          <w:rFonts w:ascii="Verdana;sans-serif" w:hAnsi="Verdana;sans-serif"/>
          <w:b/>
          <w:color w:val="000000"/>
          <w:sz w:val="24"/>
        </w:rPr>
      </w:pPr>
      <w:r>
        <w:rPr>
          <w:rFonts w:ascii="Verdana;sans-serif" w:hAnsi="Verdana;sans-serif"/>
          <w:b/>
          <w:color w:val="000000"/>
          <w:sz w:val="24"/>
        </w:rPr>
        <w:t>Diodes Incorporated Announces Pricing of</w:t>
        <w:br/>
        <w:t>Private Placement of Convertible Senior Notes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PLANO, Texas - August 14, 2026 -- Diodes Incorporated (“Diodes”) (Nasdaq: DIOD), today announced the pricing of $325 million aggregate principal amount of 0.00% Convertible Senior Notes due 2031 (the “notes”) in a private placement (the “offering”) only to persons reasonably believed to be qualified institutional buyers pursuant to Rule 144A under the Securities Act of 1933, as amended (the “Securities Act”). Diodes has also granted the initial purchasers of the notes an option to purchase, during a 13-day period beginning on, and including, the date on which the notes are first issued, up to an additional $50 million aggregate principal amount of the notes. The sale of the notes to the initial purchasers is expected to close on August 18, 2026, subject to customary closing conditions.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Diodes estimates that the net proceeds from the offering will be approximately $315.9 million (or approximately $364.6 million if the initial purchasers exercise their option to purchase additional notes in full) after deducting the initial purchasers’ discounts and commissions and estimated offering expenses payable by Diodes. Diodes expects to use the net proceeds from the offering to pay the approximately $19.0 million cost of the capped call transactions described below, to pay $35.0 million to repurchase approximately 0.36 million shares of its common stock concurrently with the pricing of the offering in privately negotiated transactions effected with or through one of the initial purchasers or one or more of its affiliates. Diodes expects to use the remainder of the net proceeds of the offering for general corporate purposes, including potential future acquisitions.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If the initial purchasers exercise their option to purchase additional notes, then Diodes intends to use a portion of the additional net proceeds to fund the cost of entering into additional capped call transactions, as described below, and the remainder for general corporate purposes, including potential future acquisitions.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notes will be general senior unsecured obligations of Diodes and will not bear regular interest and the principal amount of the notes will not accrete. The notes will mature on August 15, 2031, unless earlier converted, redeemed or repurchased.</w:t>
      </w:r>
    </w:p>
    <w:p>
      <w:pPr>
        <w:pStyle w:val="TextBody"/>
        <w:bidi w:val="0"/>
        <w:spacing w:before="0" w:after="120"/>
        <w:jc w:val="both"/>
        <w:rPr>
          <w:rFonts w:ascii="Times New Roman" w:hAnsi="Times New Roman"/>
          <w:sz w:val="20"/>
        </w:rPr>
      </w:pPr>
      <w:r>
        <w:rPr>
          <w:rFonts w:ascii="Verdana;sans-serif" w:hAnsi="Verdana;sans-serif"/>
          <w:color w:val="000000"/>
          <w:sz w:val="20"/>
        </w:rPr>
        <w:t>The notes will be convertible at the option of the holders in certain circumstances. Upon conversion, Diodes will pay cash up to the aggregate principal amount of the notes to be converted and pay or deliver, as the case may be, cash, shares of Diodes’ common stock or a combination of cash and shares of Diodes’ common stock, at Diodes’ election, in respect of the remainder, if any, of Diodes’ conversion obligation in excess of the aggregate principal amount of the notes being converted.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Verdana;sans-serif" w:hAnsi="Verdana;sans-serif"/>
          <w:color w:val="000000"/>
          <w:sz w:val="20"/>
        </w:rPr>
        <w:t>The conversion rate will initially be 6.8594 shares of Diodes’ common stock per $1,000 principal amount of notes (equivalent to an initial conversion price of approximately $145.79 per share of Diodes’ common stock). The initial conversion price represents a premium of approximately 50.0% over the last reported sale price of $97.19 per share of Diodes’ common stock on August 13, 2026. The conversion rate will be subject to adjustment in some events but will not be adjusted for any accrued and unpaid special interest. In addition, following certain corporate events that occur prior to the maturity date or if Diodes delivers a notice of redemption, it will, in certain circumstances, increase the conversion rate for a holder who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elects to convert its notes in connection with such a corporate event or convert its notes called (or deemed called) for redemption during the related redemption period, as the case may be.</w:t>
      </w:r>
    </w:p>
    <w:p>
      <w:pPr>
        <w:pStyle w:val="TextBody"/>
        <w:bidi w:val="0"/>
        <w:spacing w:before="0" w:after="120"/>
        <w:jc w:val="both"/>
        <w:rPr>
          <w:rFonts w:ascii="Times New Roman" w:hAnsi="Times New Roman"/>
          <w:sz w:val="20"/>
        </w:rPr>
      </w:pPr>
      <w:r>
        <w:rPr>
          <w:rFonts w:ascii="Verdana;sans-serif" w:hAnsi="Verdana;sans-serif"/>
          <w:color w:val="000000"/>
          <w:sz w:val="20"/>
        </w:rPr>
        <w:t>Diodes may not redeem the notes prior to August 20, 2029. Diodes may redeem for cash all or any portion of the notes (subject to certain limitations), at its option, on a redemption date on or after August 20, 2029 and before the 31</w:t>
      </w:r>
      <w:r>
        <w:rPr>
          <w:rFonts w:ascii="Verdana;sans-serif" w:hAnsi="Verdana;sans-serif"/>
          <w:color w:val="000000"/>
          <w:sz w:val="13"/>
        </w:rPr>
        <w:t>st</w:t>
      </w:r>
      <w:r>
        <w:rPr>
          <w:rFonts w:ascii="Times New Roman" w:hAnsi="Times New Roman"/>
          <w:color w:val="000000"/>
          <w:sz w:val="20"/>
        </w:rPr>
        <w:t xml:space="preserve"> </w:t>
      </w:r>
      <w:r>
        <w:rPr>
          <w:rFonts w:ascii="Verdana;sans-serif" w:hAnsi="Verdana;sans-serif"/>
          <w:color w:val="000000"/>
          <w:sz w:val="20"/>
        </w:rPr>
        <w:t>scheduled trading day immediately prior to the maturity date if the last reported sale price of Diodes’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Diodes provides notice of redemption at a redemption price equal to 100% of the principal amount of the notes to be redeemed, plus accrued and unpaid special interest, if any, to, but excluding, the redemption date.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If Diodes undergoes a “fundamental change” (as defined in the indenture that will govern the notes) then, subject to certain conditions and exceptions, holders may require Diodes to repurchase for cash all or any portion of their notes at a fundamental change repurchase price equal to 100% of the principal amount of the notes to be repurchased, plus accrued and unpaid special interest, if any, to, but excluding, the fundamental change repurchase date.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connection with the pricing of the notes, Diodes entered into privately negotiated capped call transactions with certain of the initial purchasers or affiliates thereof and other financial institutions (the “option counterparties”). The capped call transactions cover, subject to customary adjustments substantially similar to those applicable to the notes, the number of shares of Diodes’ common stock initially underlying the notes. The capped call transactions are expected generally to reduce the potential dilution to Diodes’ common stock upon any conversion of notes and/or offset any cash payments Diodes is required to make in excess of the principal amount of converted notes, as the case may be, with such reduction and/or offset subject to a cap.</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The cap price of the capped call transactions relating to the notes will initially be $194.38, which represents a premium of 100% over the last reported sale price of Diodes’ common stock on the Nasdaq Global Select Market on August 13, 2026, and is subject to certain adjustments under the terms of the capped call transactions.</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connection with establishing their initial hedges of the capped call transactions, Diodes expects that the option counterparties or their respective affiliates will purchase shares of Diodes’ common stock and/or enter into various derivative transactions with respect to Diodes’ common stock concurrently with or shortly after the pricing of the notes. This activity could increase (or reduce the size of any decrease in) the market price of Diodes’ common stock or the notes at that time.</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In addition, Diodes expects that the option counterparties or their respective affiliates may modify their hedge positions by entering into or unwinding various derivatives with respect to Diodes’ common stock and/or purchasing or selling Diodes’ common stock or other securities of Diodes in secondary market transactions following the pricing of the notes and prior to the maturity of the notes (and are likely to do so during any observation period related to a conversion of notes or, to the extent Diodes exercises its related termination right under the capped call transactions, following any repurchase or redemption of the notes). This activity could also cause or avoid an increase or a decrease in the market price of Diodes’ common stock or the notes which could affect the ability of a holder of notes to convert the notes and, to the extent the activity occurs during any observation period related to a conversion of notes, this could affect the number of shares, if any, and value of the consideration that a holder of notes will receive upon conversion of its notes.</w:t>
      </w:r>
    </w:p>
    <w:p>
      <w:pPr>
        <w:pStyle w:val="TextBody"/>
        <w:bidi w:val="0"/>
        <w:spacing w:before="0" w:after="120"/>
        <w:jc w:val="both"/>
        <w:rPr>
          <w:rFonts w:ascii="Times New Roman" w:hAnsi="Times New Roman"/>
          <w:sz w:val="20"/>
        </w:rPr>
      </w:pPr>
      <w:r>
        <w:rPr>
          <w:rFonts w:ascii="Verdana;sans-serif" w:hAnsi="Verdana;sans-serif"/>
          <w:color w:val="000000"/>
          <w:sz w:val="20"/>
        </w:rPr>
        <w:t>Diodes expects to use $35.0 million of the net proceeds from the offering to repurchase approximately 0.36 million shares of its common stock concurrently with the pricing of the offering in privately negotiated transactions effected with or through one of the initial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Verdana;sans-serif" w:hAnsi="Verdana;sans-serif"/>
          <w:color w:val="000000"/>
          <w:sz w:val="20"/>
        </w:rPr>
      </w:pPr>
      <w:r>
        <w:rPr>
          <w:rFonts w:ascii="Verdana;sans-serif" w:hAnsi="Verdana;sans-serif"/>
          <w:color w:val="000000"/>
          <w:sz w:val="20"/>
        </w:rPr>
        <w:t>purchasers or its affiliate. The purchase price in such transactions will be $97.19 per share, which is the last reported sale price of our common stock on the Nasdaq Global Select Market on August 13, 2026.</w:t>
      </w:r>
    </w:p>
    <w:p>
      <w:pPr>
        <w:pStyle w:val="TextBody"/>
        <w:bidi w:val="0"/>
        <w:spacing w:before="0" w:after="120"/>
        <w:jc w:val="both"/>
        <w:rPr>
          <w:rFonts w:ascii="Times New Roman" w:hAnsi="Times New Roman"/>
          <w:sz w:val="20"/>
        </w:rPr>
      </w:pPr>
      <w:r>
        <w:rPr>
          <w:rFonts w:ascii="Verdana;sans-serif" w:hAnsi="Verdana;sans-serif"/>
          <w:color w:val="000000"/>
          <w:sz w:val="20"/>
        </w:rPr>
        <w:t>The notes were only offered to persons reasonably believed to be qualified institutional buyers pursuant to Rule 144A promulgated under the Securities Act by means of a private offering memorandum. The notes and any shares of Diodes’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r>
        <w:rPr>
          <w:rFonts w:ascii="Times New Roman" w:hAnsi="Times New Roman"/>
          <w:color w:val="000000"/>
          <w:sz w:val="20"/>
        </w:rPr>
        <w:t xml:space="preserve"> </w:t>
      </w:r>
    </w:p>
    <w:p>
      <w:pPr>
        <w:pStyle w:val="TextBody"/>
        <w:bidi w:val="0"/>
        <w:spacing w:before="0" w:after="240"/>
        <w:jc w:val="both"/>
        <w:rPr>
          <w:rFonts w:ascii="Verdana;sans-serif" w:hAnsi="Verdana;sans-serif"/>
          <w:color w:val="000000"/>
          <w:sz w:val="20"/>
        </w:rPr>
      </w:pPr>
      <w:r>
        <w:rPr>
          <w:rFonts w:ascii="Verdana;sans-serif" w:hAnsi="Verdana;sans-serif"/>
          <w:color w:val="000000"/>
          <w:sz w:val="20"/>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before="0" w:after="12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spacing w:before="0" w:after="240"/>
        <w:jc w:val="both"/>
        <w:rPr>
          <w:rFonts w:ascii="Times New Roman" w:hAnsi="Times New Roman"/>
          <w:sz w:val="20"/>
        </w:rPr>
      </w:pPr>
      <w:r>
        <w:rPr>
          <w:rFonts w:ascii="Verdana;sans-serif" w:hAnsi="Verdana;sans-serif"/>
          <w:color w:val="000000"/>
          <w:sz w:val="20"/>
        </w:rPr>
        <w:t>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to meet customers’ needs. Our broad range of application-specific products, delivered through a total solutions sales approach and supported by global operations including engineering, testing, manufacturing, and customer service, enable us to be a premier provider for high-growth markets.</w:t>
      </w:r>
      <w:r>
        <w:rPr>
          <w:rFonts w:ascii="Times New Roman" w:hAnsi="Times New Roman"/>
          <w:color w:val="000000"/>
          <w:sz w:val="20"/>
        </w:rPr>
        <w:t xml:space="preserve"> </w:t>
      </w:r>
    </w:p>
    <w:p>
      <w:pPr>
        <w:pStyle w:val="TextBody"/>
        <w:bidi w:val="0"/>
        <w:spacing w:before="0" w:after="120"/>
        <w:jc w:val="both"/>
        <w:rPr>
          <w:rFonts w:ascii="Verdana;sans-serif" w:hAnsi="Verdana;sans-serif"/>
          <w:b/>
          <w:color w:val="000000"/>
          <w:sz w:val="20"/>
        </w:rPr>
      </w:pPr>
      <w:r>
        <w:rPr>
          <w:rFonts w:ascii="Verdana;sans-serif" w:hAnsi="Verdana;sans-serif"/>
          <w:b/>
          <w:color w:val="000000"/>
          <w:sz w:val="20"/>
        </w:rPr>
        <w:t>Cautions Regarding Forward-Looking Statements:</w:t>
      </w:r>
    </w:p>
    <w:p>
      <w:pPr>
        <w:pStyle w:val="TextBody"/>
        <w:bidi w:val="0"/>
        <w:spacing w:before="0" w:after="120"/>
        <w:jc w:val="both"/>
        <w:rPr>
          <w:rFonts w:ascii="Verdana;sans-serif" w:hAnsi="Verdana;sans-serif"/>
          <w:i/>
          <w:color w:val="000000"/>
          <w:sz w:val="20"/>
        </w:rPr>
      </w:pPr>
      <w:r>
        <w:rPr>
          <w:rFonts w:ascii="Verdana;sans-serif" w:hAnsi="Verdana;sans-serif"/>
          <w:i/>
          <w:color w:val="000000"/>
          <w:sz w:val="20"/>
        </w:rPr>
        <w:t>This press release contains forward-looking statements within the meaning of Section 27A of the Securities Act of 1933, as amended, and Section 21E of the Securities Exchange Act of 1934, as amended. In some cases, forward-looking statements may be identified by terminology such as “believe,” “may,” “will,” “should,” “predict,” “goal,” “strategy,” “potentially,” “estimate,” “continue,” “anticipate,” “intend,” “could,” “would,” “project,” “plan,” “expect,” “seek” and similar expressions and variations thereof. These words are intended to identify forward-looking statements. Forward-looking statements in this press release include statements regarding the anticipated benefits of the proposed offering of the notes, the expected use of proceeds, the capped call transactions, the concurrent repurchase of shares of our common stock and our business, prospects and market growth opportunities. These forward-looking statements are based on Diodes' current expectations and assumptions and involve known and unknown risks, uncertainties, and other factors that may cause actual results to differ materially from those expressed or implied. Such factors include, but are not limited to: the failure to close the contemplated transaction with respect to the issuance of the notes; market conditions affecting the pricing and completion of the offering of the notes; the impact of the capped call transactions and concurrent share repurchases on the market price of our common stock and the notes; competitive market conditions; changes in demand for semiconductor products; macroeconomic conditions; and other risks described in Diodes' filings with the Securities and Exchange Commission, including its most recent Annual Report on Form 10-K and Quarterly Reports on Form 10-Q. Diodes undertakes no obligation to update any forward-looking statements to reflect events or circumstances after the date of this press release.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Verdana;sans-serif" w:hAnsi="Verdana;sans-serif"/>
          <w:i/>
          <w:color w:val="000000"/>
          <w:sz w:val="20"/>
        </w:rPr>
      </w:pPr>
      <w:r>
        <w:rPr>
          <w:rFonts w:ascii="Verdana;sans-serif" w:hAnsi="Verdana;sans-serif"/>
          <w:i/>
          <w:color w:val="000000"/>
          <w:sz w:val="20"/>
        </w:rPr>
        <w:t>The Diodes logo is a registered trademark of Diodes Incorporated in the United States and other countries.</w:t>
      </w:r>
    </w:p>
    <w:p>
      <w:pPr>
        <w:pStyle w:val="TextBody"/>
        <w:bidi w:val="0"/>
        <w:spacing w:before="0" w:after="240"/>
        <w:jc w:val="both"/>
        <w:rPr>
          <w:rFonts w:ascii="Verdana;sans-serif" w:hAnsi="Verdana;sans-serif"/>
          <w:i/>
          <w:color w:val="000000"/>
          <w:sz w:val="20"/>
        </w:rPr>
      </w:pPr>
      <w:r>
        <w:rPr>
          <w:rFonts w:ascii="Verdana;sans-serif" w:hAnsi="Verdana;sans-serif"/>
          <w:i/>
          <w:color w:val="000000"/>
          <w:sz w:val="20"/>
        </w:rPr>
        <w:t>© 2026 Diodes Incorporated. All Rights Reserved.</w:t>
      </w:r>
    </w:p>
    <w:p>
      <w:pPr>
        <w:pStyle w:val="TextBody"/>
        <w:bidi w:val="0"/>
        <w:spacing w:before="0" w:after="120"/>
        <w:jc w:val="left"/>
        <w:rPr>
          <w:rFonts w:ascii="Times New Roman" w:hAnsi="Times New Roman"/>
          <w:sz w:val="20"/>
        </w:rPr>
      </w:pPr>
      <w:r>
        <w:rPr>
          <w:rFonts w:ascii="Verdana;sans-serif" w:hAnsi="Verdana;sans-serif"/>
          <w:b/>
          <w:color w:val="000000"/>
          <w:sz w:val="20"/>
        </w:rPr>
        <w:t>Company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Diodes Incorporated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Gurmeet Dhaliwal</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Vice President, Corporate Marketing &amp; Investor Relations</w:t>
      </w:r>
    </w:p>
    <w:p>
      <w:pPr>
        <w:pStyle w:val="TextBody"/>
        <w:bidi w:val="0"/>
        <w:jc w:val="left"/>
        <w:rPr>
          <w:rFonts w:ascii="Times New Roman" w:hAnsi="Times New Roman"/>
          <w:sz w:val="20"/>
        </w:rPr>
      </w:pPr>
      <w:r>
        <w:rPr>
          <w:rFonts w:ascii="Verdana;sans-serif" w:hAnsi="Verdana;sans-serif"/>
          <w:color w:val="000000"/>
          <w:sz w:val="20"/>
        </w:rPr>
        <w:t>P: 408-232-9003</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Gurmeet_Dhaliwal@diodes.com</w:t>
      </w:r>
      <w:r>
        <w:rPr>
          <w:rFonts w:ascii="Times New Roman" w:hAnsi="Times New Roman"/>
          <w:color w:val="0462C1"/>
          <w:sz w:val="20"/>
        </w:rPr>
        <w:t xml:space="preserve"> </w:t>
      </w:r>
    </w:p>
    <w:p>
      <w:pPr>
        <w:pStyle w:val="TextBody"/>
        <w:bidi w:val="0"/>
        <w:spacing w:before="0" w:after="120"/>
        <w:jc w:val="left"/>
        <w:rPr>
          <w:rFonts w:ascii="Times New Roman" w:hAnsi="Times New Roman"/>
          <w:sz w:val="20"/>
        </w:rPr>
      </w:pPr>
      <w:r>
        <w:rPr>
          <w:rFonts w:ascii="Verdana;sans-serif" w:hAnsi="Verdana;sans-serif"/>
          <w:b/>
          <w:color w:val="000000"/>
          <w:sz w:val="20"/>
        </w:rPr>
        <w:t>Investor Relations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Verdana;sans-serif" w:hAnsi="Verdana;sans-serif"/>
          <w:color w:val="000000"/>
          <w:sz w:val="20"/>
        </w:rPr>
        <w:t>Shelton Group</w:t>
      </w:r>
      <w:r>
        <w:rPr>
          <w:rFonts w:ascii="Times New Roman" w:hAnsi="Times New Roman"/>
          <w:color w:val="000000"/>
          <w:sz w:val="20"/>
        </w:rPr>
        <w:t xml:space="preserve"> </w:t>
      </w:r>
    </w:p>
    <w:p>
      <w:pPr>
        <w:pStyle w:val="TextBody"/>
        <w:bidi w:val="0"/>
        <w:jc w:val="left"/>
        <w:rPr>
          <w:rFonts w:ascii="Verdana;sans-serif" w:hAnsi="Verdana;sans-serif"/>
          <w:color w:val="000000"/>
          <w:sz w:val="20"/>
        </w:rPr>
      </w:pPr>
      <w:r>
        <w:rPr>
          <w:rFonts w:ascii="Verdana;sans-serif" w:hAnsi="Verdana;sans-serif"/>
          <w:color w:val="000000"/>
          <w:sz w:val="20"/>
        </w:rPr>
        <w:t>Leanne K. Sievers</w:t>
      </w:r>
    </w:p>
    <w:p>
      <w:pPr>
        <w:pStyle w:val="TextBody"/>
        <w:bidi w:val="0"/>
        <w:jc w:val="left"/>
        <w:rPr>
          <w:rFonts w:ascii="Times New Roman" w:hAnsi="Times New Roman"/>
          <w:sz w:val="20"/>
        </w:rPr>
      </w:pPr>
      <w:r>
        <w:rPr>
          <w:rFonts w:ascii="Verdana;sans-serif" w:hAnsi="Verdana;sans-serif"/>
          <w:color w:val="000000"/>
          <w:sz w:val="20"/>
        </w:rPr>
        <w:t>President, Investor Relations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Verdana;sans-serif" w:hAnsi="Verdana;sans-serif"/>
          <w:color w:val="000000"/>
          <w:sz w:val="20"/>
        </w:rPr>
        <w:t xml:space="preserve">E: </w:t>
      </w:r>
      <w:r>
        <w:rPr>
          <w:rFonts w:ascii="Verdana;sans-serif" w:hAnsi="Verdana;sans-serif"/>
          <w:color w:val="0462C1"/>
          <w:sz w:val="20"/>
        </w:rPr>
        <w:t>lsievers@sheltongroup.com</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190931</Words>
  <Characters>1002495</Characters>
  <CharactersWithSpaces>1189525</CharactersWithSpaces>
  <Paragraphs>5887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