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 w:lineRule="exact"/>
        <w:rPr>
          <w:sz w:val="24"/>
          <w:szCs w:val="24"/>
          <w:color w:val="auto"/>
        </w:rPr>
      </w:pPr>
    </w:p>
    <w:p>
      <w:pPr>
        <w:jc w:val="center"/>
        <w:ind w:right="-1100"/>
        <w:spacing w:after="0"/>
        <w:rPr>
          <w:sz w:val="20"/>
          <w:szCs w:val="20"/>
          <w:color w:val="auto"/>
        </w:rPr>
      </w:pPr>
      <w:r>
        <w:rPr>
          <w:rFonts w:ascii="Calibri" w:cs="Calibri" w:eastAsia="Calibri" w:hAnsi="Calibri"/>
          <w:sz w:val="28"/>
          <w:szCs w:val="28"/>
          <w:b w:val="1"/>
          <w:bCs w:val="1"/>
          <w:color w:val="auto"/>
        </w:rPr>
        <w:t>SECURITIES AND EXCHANGE COMMISSION</w:t>
      </w:r>
    </w:p>
    <w:p>
      <w:pPr>
        <w:spacing w:after="0" w:line="6" w:lineRule="exact"/>
        <w:rPr>
          <w:sz w:val="24"/>
          <w:szCs w:val="24"/>
          <w:color w:val="auto"/>
        </w:rPr>
      </w:pPr>
    </w:p>
    <w:p>
      <w:pPr>
        <w:ind w:left="4620"/>
        <w:spacing w:after="0"/>
        <w:rPr>
          <w:sz w:val="20"/>
          <w:szCs w:val="20"/>
          <w:color w:val="auto"/>
        </w:rPr>
      </w:pPr>
      <w:r>
        <w:rPr>
          <w:rFonts w:ascii="Calibri" w:cs="Calibri" w:eastAsia="Calibri" w:hAnsi="Calibri"/>
          <w:sz w:val="20"/>
          <w:szCs w:val="20"/>
          <w:b w:val="1"/>
          <w:bCs w:val="1"/>
          <w:color w:val="auto"/>
        </w:rPr>
        <w:t>Washington, D.C. 20549</w:t>
      </w:r>
    </w:p>
    <w:p>
      <w:pPr>
        <w:spacing w:after="0" w:line="127" w:lineRule="exact"/>
        <w:rPr>
          <w:sz w:val="24"/>
          <w:szCs w:val="24"/>
          <w:color w:val="auto"/>
        </w:rPr>
      </w:pPr>
    </w:p>
    <w:p>
      <w:pPr>
        <w:jc w:val="center"/>
        <w:ind w:right="-1040"/>
        <w:spacing w:after="0"/>
        <w:rPr>
          <w:sz w:val="20"/>
          <w:szCs w:val="20"/>
          <w:color w:val="auto"/>
        </w:rPr>
      </w:pPr>
      <w:r>
        <w:rPr>
          <w:rFonts w:ascii="Calibri" w:cs="Calibri" w:eastAsia="Calibri" w:hAnsi="Calibri"/>
          <w:sz w:val="29"/>
          <w:szCs w:val="29"/>
          <w:b w:val="1"/>
          <w:bCs w:val="1"/>
          <w:color w:val="auto"/>
        </w:rPr>
        <w:t>SCHEDULE 14A</w:t>
      </w:r>
    </w:p>
    <w:p>
      <w:pPr>
        <w:spacing w:after="0" w:line="112" w:lineRule="exact"/>
        <w:rPr>
          <w:sz w:val="24"/>
          <w:szCs w:val="24"/>
          <w:color w:val="auto"/>
        </w:rPr>
      </w:pPr>
    </w:p>
    <w:p>
      <w:pPr>
        <w:ind w:left="3540"/>
        <w:spacing w:after="0"/>
        <w:rPr>
          <w:sz w:val="20"/>
          <w:szCs w:val="20"/>
          <w:color w:val="auto"/>
        </w:rPr>
      </w:pPr>
      <w:r>
        <w:rPr>
          <w:rFonts w:ascii="Calibri" w:cs="Calibri" w:eastAsia="Calibri" w:hAnsi="Calibri"/>
          <w:sz w:val="20"/>
          <w:szCs w:val="20"/>
          <w:b w:val="1"/>
          <w:bCs w:val="1"/>
          <w:color w:val="auto"/>
        </w:rPr>
        <w:t>Proxy Statement Pursuant to Secton 14(a) of the</w:t>
      </w:r>
    </w:p>
    <w:p>
      <w:pPr>
        <w:ind w:left="4280"/>
        <w:spacing w:after="0" w:line="238" w:lineRule="auto"/>
        <w:rPr>
          <w:sz w:val="20"/>
          <w:szCs w:val="20"/>
          <w:color w:val="auto"/>
        </w:rPr>
      </w:pPr>
      <w:r>
        <w:rPr>
          <w:rFonts w:ascii="Calibri" w:cs="Calibri" w:eastAsia="Calibri" w:hAnsi="Calibri"/>
          <w:sz w:val="20"/>
          <w:szCs w:val="20"/>
          <w:b w:val="1"/>
          <w:bCs w:val="1"/>
          <w:color w:val="auto"/>
        </w:rPr>
        <w:t>Securites Exchange Act of 1934</w:t>
      </w:r>
    </w:p>
    <w:p>
      <w:pPr>
        <w:ind w:left="4720"/>
        <w:spacing w:after="0"/>
        <w:tabs>
          <w:tab w:leader="none" w:pos="6440" w:val="left"/>
        </w:tabs>
        <w:rPr>
          <w:sz w:val="20"/>
          <w:szCs w:val="20"/>
          <w:color w:val="auto"/>
        </w:rPr>
      </w:pPr>
      <w:r>
        <w:rPr>
          <w:rFonts w:ascii="Calibri" w:cs="Calibri" w:eastAsia="Calibri" w:hAnsi="Calibri"/>
          <w:sz w:val="20"/>
          <w:szCs w:val="20"/>
          <w:b w:val="1"/>
          <w:bCs w:val="1"/>
          <w:color w:val="auto"/>
        </w:rPr>
        <w:t>(Amendment No.</w:t>
      </w:r>
      <w:r>
        <w:rPr>
          <w:sz w:val="20"/>
          <w:szCs w:val="20"/>
          <w:color w:val="auto"/>
        </w:rPr>
        <w:tab/>
      </w:r>
      <w:r>
        <w:rPr>
          <w:rFonts w:ascii="Calibri" w:cs="Calibri" w:eastAsia="Calibri" w:hAnsi="Calibri"/>
          <w:sz w:val="19"/>
          <w:szCs w:val="19"/>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123825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spacing w:after="0" w:line="208" w:lineRule="exact"/>
        <w:tabs>
          <w:tab w:leader="none" w:pos="3140" w:val="left"/>
        </w:tabs>
        <w:rPr>
          <w:sz w:val="20"/>
          <w:szCs w:val="20"/>
          <w:color w:val="auto"/>
        </w:rPr>
      </w:pPr>
      <w:r>
        <w:rPr>
          <w:rFonts w:ascii="Calibri" w:cs="Calibri" w:eastAsia="Calibri" w:hAnsi="Calibri"/>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6" w:lineRule="exact"/>
        <w:rPr>
          <w:sz w:val="24"/>
          <w:szCs w:val="24"/>
          <w:color w:val="auto"/>
        </w:rPr>
      </w:pPr>
    </w:p>
    <w:p>
      <w:pPr>
        <w:spacing w:after="0"/>
        <w:rPr>
          <w:sz w:val="20"/>
          <w:szCs w:val="20"/>
          <w:color w:val="auto"/>
        </w:rPr>
      </w:pPr>
      <w:r>
        <w:rPr>
          <w:rFonts w:ascii="Calibri" w:cs="Calibri" w:eastAsia="Calibri" w:hAnsi="Calibri"/>
          <w:sz w:val="17"/>
          <w:szCs w:val="17"/>
          <w:color w:val="auto"/>
        </w:rPr>
        <w:t>Check the appropriate box:</w:t>
      </w:r>
    </w:p>
    <w:p>
      <w:pPr>
        <w:spacing w:after="0" w:line="103"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Preliminary Proxy Statement</w:t>
      </w:r>
    </w:p>
    <w:p>
      <w:pPr>
        <w:spacing w:after="0" w:line="102" w:lineRule="exact"/>
        <w:rPr>
          <w:rFonts w:ascii="MS PGothic" w:cs="MS PGothic" w:eastAsia="MS PGothic" w:hAnsi="MS PGothic"/>
          <w:sz w:val="17"/>
          <w:szCs w:val="17"/>
          <w:color w:val="auto"/>
        </w:rPr>
      </w:pPr>
    </w:p>
    <w:p>
      <w:pPr>
        <w:ind w:left="580" w:hanging="559"/>
        <w:spacing w:after="0"/>
        <w:tabs>
          <w:tab w:leader="none" w:pos="58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b w:val="1"/>
          <w:bCs w:val="1"/>
          <w:color w:val="auto"/>
        </w:rPr>
        <w:t>Confdental, for Use of the Commission Only (as permited by Rule 14a-6(e)(2))</w:t>
      </w:r>
    </w:p>
    <w:p>
      <w:pPr>
        <w:spacing w:after="0" w:line="103"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rPr>
      </w:pPr>
      <w:r>
        <w:rPr>
          <w:rFonts w:ascii="Calibri" w:cs="Calibri" w:eastAsia="Calibri" w:hAnsi="Calibri"/>
          <w:sz w:val="17"/>
          <w:szCs w:val="17"/>
          <w:color w:val="auto"/>
        </w:rPr>
        <w:t>Defnitve Proxy Statement</w:t>
      </w:r>
    </w:p>
    <w:p>
      <w:pPr>
        <w:spacing w:after="0" w:line="103" w:lineRule="exact"/>
        <w:rPr>
          <w:sz w:val="24"/>
          <w:szCs w:val="24"/>
          <w:color w:val="auto"/>
        </w:rPr>
      </w:pPr>
    </w:p>
    <w:p>
      <w:pPr>
        <w:ind w:left="580" w:hanging="559"/>
        <w:spacing w:after="0"/>
        <w:tabs>
          <w:tab w:leader="none" w:pos="58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Defnitve Additonal Materials</w:t>
      </w:r>
    </w:p>
    <w:p>
      <w:pPr>
        <w:spacing w:after="0" w:line="102" w:lineRule="exact"/>
        <w:rPr>
          <w:rFonts w:ascii="MS PGothic" w:cs="MS PGothic" w:eastAsia="MS PGothic" w:hAnsi="MS PGothic"/>
          <w:sz w:val="17"/>
          <w:szCs w:val="17"/>
          <w:color w:val="auto"/>
        </w:rPr>
      </w:pPr>
    </w:p>
    <w:p>
      <w:pPr>
        <w:ind w:left="580" w:hanging="559"/>
        <w:spacing w:after="0"/>
        <w:tabs>
          <w:tab w:leader="none" w:pos="58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Solicitng Material under § 240.14a-12</w:t>
      </w:r>
    </w:p>
    <w:p>
      <w:pPr>
        <w:spacing w:after="0" w:line="81" w:lineRule="exact"/>
        <w:rPr>
          <w:sz w:val="24"/>
          <w:szCs w:val="24"/>
          <w:color w:val="auto"/>
        </w:rPr>
      </w:pPr>
    </w:p>
    <w:p>
      <w:pPr>
        <w:ind w:left="3680"/>
        <w:spacing w:after="0"/>
        <w:rPr>
          <w:sz w:val="20"/>
          <w:szCs w:val="20"/>
          <w:color w:val="auto"/>
        </w:rPr>
      </w:pPr>
      <w:r>
        <w:rPr>
          <w:rFonts w:ascii="Calibri" w:cs="Calibri" w:eastAsia="Calibri" w:hAnsi="Calibri"/>
          <w:sz w:val="40"/>
          <w:szCs w:val="40"/>
          <w:color w:val="auto"/>
        </w:rPr>
        <w:t>DIODES INCORPORATED</w:t>
      </w:r>
    </w:p>
    <w:p>
      <w:pPr>
        <w:spacing w:after="0" w:line="6" w:lineRule="exact"/>
        <w:rPr>
          <w:sz w:val="24"/>
          <w:szCs w:val="24"/>
          <w:color w:val="auto"/>
        </w:rPr>
      </w:pPr>
    </w:p>
    <w:p>
      <w:pPr>
        <w:jc w:val="center"/>
        <w:ind w:right="-1060"/>
        <w:spacing w:after="0"/>
        <w:rPr>
          <w:sz w:val="20"/>
          <w:szCs w:val="20"/>
          <w:color w:val="auto"/>
        </w:rPr>
      </w:pPr>
      <w:r>
        <w:rPr>
          <w:rFonts w:ascii="Calibri" w:cs="Calibri" w:eastAsia="Calibri" w:hAnsi="Calibri"/>
          <w:sz w:val="17"/>
          <w:szCs w:val="17"/>
          <w:b w:val="1"/>
          <w:bCs w:val="1"/>
          <w:color w:val="auto"/>
        </w:rPr>
        <w:t>(Name of Registrant as Specifed in Its Charter)</w:t>
      </w:r>
    </w:p>
    <w:p>
      <w:pPr>
        <w:spacing w:after="0" w:line="118" w:lineRule="exact"/>
        <w:rPr>
          <w:sz w:val="24"/>
          <w:szCs w:val="24"/>
          <w:color w:val="auto"/>
        </w:rPr>
      </w:pPr>
    </w:p>
    <w:p>
      <w:pPr>
        <w:ind w:left="3480"/>
        <w:spacing w:after="0"/>
        <w:rPr>
          <w:sz w:val="20"/>
          <w:szCs w:val="20"/>
          <w:color w:val="auto"/>
        </w:rPr>
      </w:pPr>
      <w:r>
        <w:rPr>
          <w:rFonts w:ascii="Calibri" w:cs="Calibri" w:eastAsia="Calibri" w:hAnsi="Calibri"/>
          <w:sz w:val="14"/>
          <w:szCs w:val="14"/>
          <w:b w:val="1"/>
          <w:bCs w:val="1"/>
          <w:color w:val="auto"/>
        </w:rPr>
        <w:t>(Name of Person(s) Filing Proxy Statement, if other than the Registrant)</w:t>
      </w:r>
    </w:p>
    <w:p>
      <w:pPr>
        <w:spacing w:after="0" w:line="97" w:lineRule="exact"/>
        <w:rPr>
          <w:sz w:val="24"/>
          <w:szCs w:val="24"/>
          <w:color w:val="auto"/>
        </w:rPr>
      </w:pPr>
    </w:p>
    <w:p>
      <w:pPr>
        <w:spacing w:after="0"/>
        <w:rPr>
          <w:sz w:val="20"/>
          <w:szCs w:val="20"/>
          <w:color w:val="auto"/>
        </w:rPr>
      </w:pPr>
      <w:r>
        <w:rPr>
          <w:rFonts w:ascii="Calibri" w:cs="Calibri" w:eastAsia="Calibri" w:hAnsi="Calibri"/>
          <w:sz w:val="17"/>
          <w:szCs w:val="17"/>
          <w:color w:val="auto"/>
        </w:rPr>
        <w:t>Payment of Filing Fee (Check all appropriate boxes that apply):</w:t>
      </w:r>
    </w:p>
    <w:p>
      <w:pPr>
        <w:spacing w:after="0" w:line="76" w:lineRule="exact"/>
        <w:rPr>
          <w:sz w:val="24"/>
          <w:szCs w:val="24"/>
          <w:color w:val="auto"/>
        </w:rPr>
      </w:pPr>
    </w:p>
    <w:p>
      <w:pPr>
        <w:ind w:left="700" w:hanging="679"/>
        <w:spacing w:after="0"/>
        <w:tabs>
          <w:tab w:leader="none" w:pos="700" w:val="left"/>
        </w:tabs>
        <w:numPr>
          <w:ilvl w:val="0"/>
          <w:numId w:val="4"/>
        </w:numPr>
        <w:rPr>
          <w:rFonts w:ascii="MS PGothic" w:cs="MS PGothic" w:eastAsia="MS PGothic" w:hAnsi="MS PGothic"/>
          <w:sz w:val="17"/>
          <w:szCs w:val="17"/>
          <w:color w:val="auto"/>
        </w:rPr>
      </w:pPr>
      <w:r>
        <w:rPr>
          <w:rFonts w:ascii="Calibri" w:cs="Calibri" w:eastAsia="Calibri" w:hAnsi="Calibri"/>
          <w:sz w:val="17"/>
          <w:szCs w:val="17"/>
          <w:color w:val="auto"/>
        </w:rPr>
        <w:t>No fee required</w:t>
      </w:r>
    </w:p>
    <w:p>
      <w:pPr>
        <w:ind w:left="700" w:hanging="679"/>
        <w:spacing w:after="0" w:line="234" w:lineRule="auto"/>
        <w:tabs>
          <w:tab w:leader="none" w:pos="700" w:val="left"/>
        </w:tabs>
        <w:numPr>
          <w:ilvl w:val="0"/>
          <w:numId w:val="5"/>
        </w:numPr>
        <w:rPr>
          <w:rFonts w:ascii="MS PGothic" w:cs="MS PGothic" w:eastAsia="MS PGothic" w:hAnsi="MS PGothic"/>
          <w:sz w:val="17"/>
          <w:szCs w:val="17"/>
          <w:color w:val="auto"/>
        </w:rPr>
      </w:pPr>
      <w:r>
        <w:rPr>
          <w:rFonts w:ascii="Calibri" w:cs="Calibri" w:eastAsia="Calibri" w:hAnsi="Calibri"/>
          <w:sz w:val="17"/>
          <w:szCs w:val="17"/>
          <w:color w:val="auto"/>
        </w:rPr>
        <w:t>Fee paid previously with preliminary materials</w:t>
      </w:r>
    </w:p>
    <w:p>
      <w:pPr>
        <w:spacing w:after="0" w:line="29" w:lineRule="exact"/>
        <w:rPr>
          <w:rFonts w:ascii="MS PGothic" w:cs="MS PGothic" w:eastAsia="MS PGothic" w:hAnsi="MS PGothic"/>
          <w:sz w:val="17"/>
          <w:szCs w:val="17"/>
          <w:color w:val="auto"/>
        </w:rPr>
      </w:pPr>
    </w:p>
    <w:p>
      <w:pPr>
        <w:ind w:left="700" w:hanging="679"/>
        <w:spacing w:after="0"/>
        <w:tabs>
          <w:tab w:leader="none" w:pos="7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5" w:right="1440" w:bottom="1440" w:gutter="0" w:footer="0" w:header="0"/>
        </w:sectPr>
      </w:pPr>
    </w:p>
    <w:bookmarkStart w:id="1" w:name="page2"/>
    <w:bookmarkEnd w:id="1"/>
    <w:p>
      <w:pPr>
        <w:jc w:val="center"/>
        <w:ind w:right="60"/>
        <w:spacing w:after="0"/>
        <w:rPr>
          <w:sz w:val="20"/>
          <w:szCs w:val="20"/>
          <w:color w:val="auto"/>
        </w:rPr>
      </w:pPr>
      <w:r>
        <w:rPr>
          <w:rFonts w:ascii="Calibri" w:cs="Calibri" w:eastAsia="Calibri" w:hAnsi="Calibri"/>
          <w:sz w:val="25"/>
          <w:szCs w:val="25"/>
          <w:b w:val="1"/>
          <w:bCs w:val="1"/>
          <w:color w:val="auto"/>
        </w:rPr>
        <w:t>DIODES INCORPORATED</w:t>
      </w:r>
    </w:p>
    <w:p>
      <w:pPr>
        <w:jc w:val="center"/>
        <w:ind w:right="40"/>
        <w:spacing w:after="0" w:line="238" w:lineRule="auto"/>
        <w:rPr>
          <w:sz w:val="20"/>
          <w:szCs w:val="20"/>
          <w:color w:val="auto"/>
        </w:rPr>
      </w:pPr>
      <w:r>
        <w:rPr>
          <w:rFonts w:ascii="Calibri" w:cs="Calibri" w:eastAsia="Calibri" w:hAnsi="Calibri"/>
          <w:sz w:val="20"/>
          <w:szCs w:val="20"/>
          <w:color w:val="auto"/>
        </w:rPr>
        <w:t>Notce of Annual Meetng of Stockholders</w:t>
      </w:r>
    </w:p>
    <w:p>
      <w:pPr>
        <w:spacing w:after="0" w:line="148"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To Be Held May 12, 2025</w:t>
      </w:r>
    </w:p>
    <w:p>
      <w:pPr>
        <w:spacing w:after="0" w:line="177" w:lineRule="exact"/>
        <w:rPr>
          <w:sz w:val="20"/>
          <w:szCs w:val="20"/>
          <w:color w:val="auto"/>
        </w:rPr>
      </w:pPr>
    </w:p>
    <w:p>
      <w:pPr>
        <w:jc w:val="both"/>
        <w:spacing w:after="0" w:line="248" w:lineRule="auto"/>
        <w:rPr>
          <w:sz w:val="20"/>
          <w:szCs w:val="20"/>
          <w:color w:val="auto"/>
        </w:rPr>
      </w:pPr>
      <w:r>
        <w:rPr>
          <w:rFonts w:ascii="Calibri" w:cs="Calibri" w:eastAsia="Calibri" w:hAnsi="Calibri"/>
          <w:sz w:val="16"/>
          <w:szCs w:val="16"/>
          <w:b w:val="1"/>
          <w:bCs w:val="1"/>
          <w:color w:val="auto"/>
        </w:rPr>
        <w:t>Notce is hereby given that the annual meetng (the “Meetng”) of the stockholders of Diodes Incorporated (the “Company”) will be held online via live audio webcast at www.proxydocs.com/DIOD on Monday, May 12, 2025, at 6:30 p.m. (Central Time). The Meetng will be conducted completely virtually, via a live audio webcast; there will be no physical meetng locaton. Even though our Meetng is being held virtually, stockholders will stll have the ability to partcipate in and hear others during the Meetng. Questons should be submited when registering to atend the Meetng. The Meetng is being held for the following purposes:</w:t>
      </w:r>
    </w:p>
    <w:p>
      <w:pPr>
        <w:spacing w:after="0" w:line="111" w:lineRule="exact"/>
        <w:rPr>
          <w:sz w:val="20"/>
          <w:szCs w:val="20"/>
          <w:color w:val="auto"/>
        </w:rPr>
      </w:pPr>
    </w:p>
    <w:p>
      <w:pPr>
        <w:jc w:val="both"/>
        <w:ind w:left="1020" w:hanging="503"/>
        <w:spacing w:after="0" w:line="264" w:lineRule="auto"/>
        <w:tabs>
          <w:tab w:leader="none" w:pos="1020" w:val="left"/>
        </w:tabs>
        <w:numPr>
          <w:ilvl w:val="0"/>
          <w:numId w:val="6"/>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 xml:space="preserve">Electon of Directors. </w:t>
      </w:r>
      <w:r>
        <w:rPr>
          <w:rFonts w:ascii="Calibri" w:cs="Calibri" w:eastAsia="Calibri" w:hAnsi="Calibri"/>
          <w:sz w:val="16"/>
          <w:szCs w:val="16"/>
          <w:color w:val="auto"/>
        </w:rPr>
        <w:t>To elect seven persons to the Board of Directors of the Company, each to serve untl the next annual meetng of stockholders and</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untl their respectve successors have been elected and qualifed. The Board of Directors’ nominees are: Elizabeth Bull, Angie Chen Buton, Warren Chen, Robert E. Feiger, Keh-Shew Lu, Huey-Jen (Jenny) Su</w:t>
      </w:r>
      <w:r>
        <w:rPr>
          <w:rFonts w:ascii="Times New Roman" w:cs="Times New Roman" w:eastAsia="Times New Roman" w:hAnsi="Times New Roman"/>
          <w:sz w:val="17"/>
          <w:szCs w:val="17"/>
          <w:color w:val="auto"/>
        </w:rPr>
        <w:t>,</w:t>
      </w:r>
      <w:r>
        <w:rPr>
          <w:rFonts w:ascii="Calibri" w:cs="Calibri" w:eastAsia="Calibri" w:hAnsi="Calibri"/>
          <w:sz w:val="16"/>
          <w:szCs w:val="16"/>
          <w:color w:val="auto"/>
        </w:rPr>
        <w:t xml:space="preserve"> and Gary Yu.</w:t>
      </w:r>
    </w:p>
    <w:p>
      <w:pPr>
        <w:spacing w:after="0" w:line="82" w:lineRule="exact"/>
        <w:rPr>
          <w:rFonts w:ascii="Calibri" w:cs="Calibri" w:eastAsia="Calibri" w:hAnsi="Calibri"/>
          <w:sz w:val="16"/>
          <w:szCs w:val="16"/>
          <w:b w:val="1"/>
          <w:bCs w:val="1"/>
          <w:color w:val="auto"/>
        </w:rPr>
      </w:pPr>
    </w:p>
    <w:p>
      <w:pPr>
        <w:ind w:left="1020" w:hanging="503"/>
        <w:spacing w:after="0"/>
        <w:tabs>
          <w:tab w:leader="none" w:pos="1020" w:val="left"/>
        </w:tabs>
        <w:numPr>
          <w:ilvl w:val="0"/>
          <w:numId w:val="6"/>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 xml:space="preserve">Approval of Executve Compensaton. </w:t>
      </w:r>
      <w:r>
        <w:rPr>
          <w:rFonts w:ascii="Calibri" w:cs="Calibri" w:eastAsia="Calibri" w:hAnsi="Calibri"/>
          <w:sz w:val="16"/>
          <w:szCs w:val="16"/>
          <w:color w:val="auto"/>
        </w:rPr>
        <w:t>To approve, on an advisory basis, the Company’s executve compensaton.</w:t>
      </w:r>
    </w:p>
    <w:p>
      <w:pPr>
        <w:spacing w:after="0" w:line="117" w:lineRule="exact"/>
        <w:rPr>
          <w:rFonts w:ascii="Calibri" w:cs="Calibri" w:eastAsia="Calibri" w:hAnsi="Calibri"/>
          <w:sz w:val="16"/>
          <w:szCs w:val="16"/>
          <w:b w:val="1"/>
          <w:bCs w:val="1"/>
          <w:color w:val="auto"/>
        </w:rPr>
      </w:pPr>
    </w:p>
    <w:p>
      <w:pPr>
        <w:ind w:left="1020" w:right="20" w:hanging="503"/>
        <w:spacing w:after="0" w:line="246" w:lineRule="auto"/>
        <w:tabs>
          <w:tab w:leader="none" w:pos="1020" w:val="left"/>
        </w:tabs>
        <w:numPr>
          <w:ilvl w:val="0"/>
          <w:numId w:val="6"/>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 xml:space="preserve">Ratfcaton of Appointment of Independent Registered Public Accountng Firm. </w:t>
      </w:r>
      <w:r>
        <w:rPr>
          <w:rFonts w:ascii="Calibri" w:cs="Calibri" w:eastAsia="Calibri" w:hAnsi="Calibri"/>
          <w:sz w:val="16"/>
          <w:szCs w:val="16"/>
          <w:color w:val="auto"/>
        </w:rPr>
        <w:t>To ratfy the appointment of Moss Adams LLP as the Company’s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independent registered public accountng frm for the fscal year ending December 31, 2025.</w:t>
      </w:r>
    </w:p>
    <w:p>
      <w:pPr>
        <w:spacing w:after="0" w:line="110" w:lineRule="exact"/>
        <w:rPr>
          <w:rFonts w:ascii="Calibri" w:cs="Calibri" w:eastAsia="Calibri" w:hAnsi="Calibri"/>
          <w:sz w:val="16"/>
          <w:szCs w:val="16"/>
          <w:b w:val="1"/>
          <w:bCs w:val="1"/>
          <w:color w:val="auto"/>
        </w:rPr>
      </w:pPr>
    </w:p>
    <w:p>
      <w:pPr>
        <w:ind w:left="1020" w:hanging="503"/>
        <w:spacing w:after="0"/>
        <w:tabs>
          <w:tab w:leader="none" w:pos="1020" w:val="left"/>
        </w:tabs>
        <w:numPr>
          <w:ilvl w:val="0"/>
          <w:numId w:val="6"/>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 xml:space="preserve">Other Business. </w:t>
      </w:r>
      <w:r>
        <w:rPr>
          <w:rFonts w:ascii="Calibri" w:cs="Calibri" w:eastAsia="Calibri" w:hAnsi="Calibri"/>
          <w:sz w:val="16"/>
          <w:szCs w:val="16"/>
          <w:color w:val="auto"/>
        </w:rPr>
        <w:t>To transact such other business as properly may come before the Meetng or any adjournment or postponement thereof.</w:t>
      </w:r>
    </w:p>
    <w:p>
      <w:pPr>
        <w:spacing w:after="0" w:line="117" w:lineRule="exact"/>
        <w:rPr>
          <w:sz w:val="20"/>
          <w:szCs w:val="20"/>
          <w:color w:val="auto"/>
        </w:rPr>
      </w:pPr>
    </w:p>
    <w:p>
      <w:pPr>
        <w:jc w:val="both"/>
        <w:spacing w:after="0" w:line="247" w:lineRule="auto"/>
        <w:rPr>
          <w:sz w:val="20"/>
          <w:szCs w:val="20"/>
          <w:color w:val="auto"/>
        </w:rPr>
      </w:pPr>
      <w:r>
        <w:rPr>
          <w:rFonts w:ascii="Calibri" w:cs="Calibri" w:eastAsia="Calibri" w:hAnsi="Calibri"/>
          <w:sz w:val="16"/>
          <w:szCs w:val="16"/>
          <w:color w:val="auto"/>
        </w:rPr>
        <w:t>It is possible that an adjournment or postponement may be necessary that makes us unable to hold the Meetng on the date as planned. If such an adjournment or postponement is made, the Company will notfy stockholders through the issuance of a press release and the fling of defnitve additonal solicitng material with the Securites and Exchange Commission.</w:t>
      </w:r>
    </w:p>
    <w:p>
      <w:pPr>
        <w:spacing w:after="0" w:line="112" w:lineRule="exact"/>
        <w:rPr>
          <w:sz w:val="20"/>
          <w:szCs w:val="20"/>
          <w:color w:val="auto"/>
        </w:rPr>
      </w:pPr>
    </w:p>
    <w:p>
      <w:pPr>
        <w:ind w:right="260"/>
        <w:spacing w:after="0" w:line="246" w:lineRule="auto"/>
        <w:rPr>
          <w:sz w:val="20"/>
          <w:szCs w:val="20"/>
          <w:color w:val="auto"/>
        </w:rPr>
      </w:pPr>
      <w:r>
        <w:rPr>
          <w:rFonts w:ascii="Calibri" w:cs="Calibri" w:eastAsia="Calibri" w:hAnsi="Calibri"/>
          <w:sz w:val="16"/>
          <w:szCs w:val="16"/>
          <w:color w:val="auto"/>
        </w:rPr>
        <w:t>Only persons who were stockholders of record at the close of business on March 20, 2025 are enttled to notce of and to vote either by proxy or at the Meetng or any adjournment or postponement thereof.</w:t>
      </w:r>
    </w:p>
    <w:p>
      <w:pPr>
        <w:spacing w:after="0" w:line="113" w:lineRule="exact"/>
        <w:rPr>
          <w:sz w:val="20"/>
          <w:szCs w:val="20"/>
          <w:color w:val="auto"/>
        </w:rPr>
      </w:pPr>
    </w:p>
    <w:p>
      <w:pPr>
        <w:jc w:val="both"/>
        <w:ind w:right="20"/>
        <w:spacing w:after="0" w:line="246" w:lineRule="auto"/>
        <w:rPr>
          <w:sz w:val="20"/>
          <w:szCs w:val="20"/>
          <w:color w:val="auto"/>
        </w:rPr>
      </w:pPr>
      <w:r>
        <w:rPr>
          <w:rFonts w:ascii="Calibri" w:cs="Calibri" w:eastAsia="Calibri" w:hAnsi="Calibri"/>
          <w:sz w:val="16"/>
          <w:szCs w:val="16"/>
          <w:color w:val="auto"/>
        </w:rPr>
        <w:t>The proxy statement, which accompanies this Notce, contains additonal informaton regarding the proposals to be considered at the Meetng, and stockholders are encouraged to read it in its entrety.</w:t>
      </w:r>
    </w:p>
    <w:p>
      <w:pPr>
        <w:spacing w:after="0" w:line="113" w:lineRule="exact"/>
        <w:rPr>
          <w:sz w:val="20"/>
          <w:szCs w:val="20"/>
          <w:color w:val="auto"/>
        </w:rPr>
      </w:pPr>
    </w:p>
    <w:p>
      <w:pPr>
        <w:jc w:val="both"/>
        <w:spacing w:after="0" w:line="249" w:lineRule="auto"/>
        <w:rPr>
          <w:sz w:val="20"/>
          <w:szCs w:val="20"/>
          <w:color w:val="auto"/>
        </w:rPr>
      </w:pPr>
      <w:r>
        <w:rPr>
          <w:rFonts w:ascii="Calibri" w:cs="Calibri" w:eastAsia="Calibri" w:hAnsi="Calibri"/>
          <w:sz w:val="16"/>
          <w:szCs w:val="16"/>
          <w:color w:val="auto"/>
        </w:rPr>
        <w:t>The Company has elected to provide access to our proxy materials by notfying you of the availability of our proxy statement and our fscal 2024 Annual Report to Stockholders over the Internet at www.proxydocs.com/DIOD. Stockholders may also obtain a printed copy of the proxy materials free of charge by following the instructons provided in the Notce of Internet Availability of Proxy Materials that will be frst mailed to stockholders on or about April 2, 2025 or in the enclosed proxy statement.</w:t>
      </w:r>
    </w:p>
    <w:p>
      <w:pPr>
        <w:spacing w:after="0" w:line="310" w:lineRule="exact"/>
        <w:rPr>
          <w:sz w:val="20"/>
          <w:szCs w:val="20"/>
          <w:color w:val="auto"/>
        </w:rPr>
      </w:pPr>
    </w:p>
    <w:p>
      <w:pPr>
        <w:jc w:val="both"/>
        <w:spacing w:after="0" w:line="246" w:lineRule="auto"/>
        <w:rPr>
          <w:sz w:val="20"/>
          <w:szCs w:val="20"/>
          <w:color w:val="auto"/>
        </w:rPr>
      </w:pPr>
      <w:r>
        <w:rPr>
          <w:rFonts w:ascii="Calibri" w:cs="Calibri" w:eastAsia="Calibri" w:hAnsi="Calibri"/>
          <w:sz w:val="16"/>
          <w:szCs w:val="16"/>
          <w:color w:val="auto"/>
        </w:rPr>
        <w:t>As set forth in the enclosed proxy statement, proxies are being solicited by and on behalf of the Board of Directors of the Company. All proposals set forth above are proposals of the Board of Directors.</w:t>
      </w:r>
    </w:p>
    <w:p>
      <w:pPr>
        <w:spacing w:after="0" w:line="113" w:lineRule="exact"/>
        <w:rPr>
          <w:sz w:val="20"/>
          <w:szCs w:val="20"/>
          <w:color w:val="auto"/>
        </w:rPr>
      </w:pPr>
    </w:p>
    <w:p>
      <w:pPr>
        <w:jc w:val="both"/>
        <w:ind w:right="20"/>
        <w:spacing w:after="0" w:line="246" w:lineRule="auto"/>
        <w:rPr>
          <w:sz w:val="20"/>
          <w:szCs w:val="20"/>
          <w:color w:val="auto"/>
        </w:rPr>
      </w:pPr>
      <w:r>
        <w:rPr>
          <w:rFonts w:ascii="Calibri" w:cs="Calibri" w:eastAsia="Calibri" w:hAnsi="Calibri"/>
          <w:sz w:val="16"/>
          <w:szCs w:val="16"/>
          <w:b w:val="1"/>
          <w:bCs w:val="1"/>
          <w:color w:val="auto"/>
        </w:rPr>
        <w:t>Whether or not you plan to partcipate in the virtual Meetng, YOUR VOTE IS IMPORTANT. Please follow the instructons enclosed to ensure that your shares are voted. If you partcipate in the Meetng, you may revoke your proxy at any tme prior to its exercise at the Meetng.</w:t>
      </w:r>
    </w:p>
    <w:p>
      <w:pPr>
        <w:spacing w:after="0" w:line="117" w:lineRule="exact"/>
        <w:rPr>
          <w:sz w:val="20"/>
          <w:szCs w:val="20"/>
          <w:color w:val="auto"/>
        </w:rPr>
      </w:pPr>
    </w:p>
    <w:p>
      <w:pPr>
        <w:ind w:left="1500"/>
        <w:spacing w:after="0"/>
        <w:rPr>
          <w:sz w:val="20"/>
          <w:szCs w:val="20"/>
          <w:color w:val="auto"/>
        </w:rPr>
      </w:pPr>
      <w:r>
        <w:rPr>
          <w:rFonts w:ascii="Calibri" w:cs="Calibri" w:eastAsia="Calibri" w:hAnsi="Calibri"/>
          <w:sz w:val="16"/>
          <w:szCs w:val="16"/>
          <w:color w:val="auto"/>
        </w:rPr>
        <w:t>Dated at Plano, Texas, this 2</w:t>
      </w:r>
      <w:r>
        <w:rPr>
          <w:rFonts w:ascii="Calibri" w:cs="Calibri" w:eastAsia="Calibri" w:hAnsi="Calibri"/>
          <w:sz w:val="21"/>
          <w:szCs w:val="21"/>
          <w:color w:val="auto"/>
          <w:vertAlign w:val="superscript"/>
        </w:rPr>
        <w:t>nd</w:t>
      </w:r>
      <w:r>
        <w:rPr>
          <w:rFonts w:ascii="Calibri" w:cs="Calibri" w:eastAsia="Calibri" w:hAnsi="Calibri"/>
          <w:sz w:val="16"/>
          <w:szCs w:val="16"/>
          <w:color w:val="auto"/>
        </w:rPr>
        <w:t xml:space="preserve"> day of April, 2025.</w:t>
      </w:r>
    </w:p>
    <w:p>
      <w:pPr>
        <w:spacing w:after="0" w:line="75" w:lineRule="exact"/>
        <w:rPr>
          <w:sz w:val="20"/>
          <w:szCs w:val="20"/>
          <w:color w:val="auto"/>
        </w:rPr>
      </w:pPr>
    </w:p>
    <w:p>
      <w:pPr>
        <w:ind w:left="3600"/>
        <w:spacing w:after="0"/>
        <w:rPr>
          <w:sz w:val="20"/>
          <w:szCs w:val="20"/>
          <w:color w:val="auto"/>
        </w:rPr>
      </w:pPr>
      <w:r>
        <w:rPr>
          <w:rFonts w:ascii="Calibri" w:cs="Calibri" w:eastAsia="Calibri" w:hAnsi="Calibri"/>
          <w:sz w:val="16"/>
          <w:szCs w:val="16"/>
          <w:color w:val="auto"/>
        </w:rPr>
        <w:t>By Order of the Board of Directors,</w:t>
      </w:r>
    </w:p>
    <w:p>
      <w:pPr>
        <w:spacing w:after="0" w:line="115" w:lineRule="exact"/>
        <w:rPr>
          <w:sz w:val="20"/>
          <w:szCs w:val="20"/>
          <w:color w:val="auto"/>
        </w:rPr>
      </w:pPr>
    </w:p>
    <w:p>
      <w:pPr>
        <w:ind w:left="3600"/>
        <w:spacing w:after="0"/>
        <w:rPr>
          <w:sz w:val="20"/>
          <w:szCs w:val="20"/>
          <w:color w:val="auto"/>
        </w:rPr>
      </w:pPr>
      <w:r>
        <w:rPr>
          <w:rFonts w:ascii="Calibri" w:cs="Calibri" w:eastAsia="Calibri" w:hAnsi="Calibri"/>
          <w:sz w:val="16"/>
          <w:szCs w:val="16"/>
          <w:color w:val="auto"/>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111760</wp:posOffset>
            </wp:positionV>
            <wp:extent cx="1903095"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00"/>
        <w:spacing w:after="0"/>
        <w:rPr>
          <w:sz w:val="20"/>
          <w:szCs w:val="20"/>
          <w:color w:val="auto"/>
        </w:rPr>
      </w:pPr>
      <w:r>
        <w:rPr>
          <w:rFonts w:ascii="Calibri" w:cs="Calibri" w:eastAsia="Calibri" w:hAnsi="Calibri"/>
          <w:sz w:val="16"/>
          <w:szCs w:val="16"/>
          <w:color w:val="auto"/>
        </w:rPr>
        <w:t>Richard D. White,</w:t>
      </w:r>
    </w:p>
    <w:p>
      <w:pPr>
        <w:spacing w:after="0" w:line="7" w:lineRule="exact"/>
        <w:rPr>
          <w:sz w:val="20"/>
          <w:szCs w:val="20"/>
          <w:color w:val="auto"/>
        </w:rPr>
      </w:pPr>
    </w:p>
    <w:p>
      <w:pPr>
        <w:ind w:left="3600"/>
        <w:spacing w:after="0"/>
        <w:rPr>
          <w:sz w:val="20"/>
          <w:szCs w:val="20"/>
          <w:color w:val="auto"/>
        </w:rPr>
      </w:pPr>
      <w:r>
        <w:rPr>
          <w:rFonts w:ascii="Calibri" w:cs="Calibri" w:eastAsia="Calibri" w:hAnsi="Calibri"/>
          <w:sz w:val="16"/>
          <w:szCs w:val="16"/>
          <w:color w:val="auto"/>
        </w:rPr>
        <w:t>Secretary</w:t>
      </w:r>
    </w:p>
    <w:p>
      <w:pPr>
        <w:spacing w:after="0" w:line="115"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IF YOU PLAN TO ATTEND THE MEETING</w:t>
      </w:r>
    </w:p>
    <w:p>
      <w:pPr>
        <w:spacing w:after="0" w:line="117" w:lineRule="exact"/>
        <w:rPr>
          <w:sz w:val="20"/>
          <w:szCs w:val="20"/>
          <w:color w:val="auto"/>
        </w:rPr>
      </w:pPr>
    </w:p>
    <w:p>
      <w:pPr>
        <w:jc w:val="both"/>
        <w:spacing w:after="0" w:line="248" w:lineRule="auto"/>
        <w:rPr>
          <w:sz w:val="20"/>
          <w:szCs w:val="20"/>
          <w:color w:val="auto"/>
        </w:rPr>
      </w:pPr>
      <w:r>
        <w:rPr>
          <w:rFonts w:ascii="Calibri" w:cs="Calibri" w:eastAsia="Calibri" w:hAnsi="Calibri"/>
          <w:sz w:val="16"/>
          <w:szCs w:val="16"/>
          <w:b w:val="1"/>
          <w:bCs w:val="1"/>
          <w:color w:val="auto"/>
        </w:rPr>
        <w:t>If you plan to atend the Meetng online you must be registered no later than 5:00 p.m. Central Time on May 11, 2025. To register go to www.proxydocs.com/DIOD. Upon completng your registraton, you will receive further instructons via email, including your unique links that will allow you access to the Meetng and will also permit you to submit questons in advance of the Meetng. Please be sure to follow instructons found on your proxy card and subsequent instructons that will be delivered to you via email. You will be able to listen, vote, and submit questons from any remote locaton that has Internet connectvity. Technical assistance is available as part of the instructons.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4"/>
          </w:tcPr>
          <w:p>
            <w:pPr>
              <w:ind w:left="200"/>
              <w:spacing w:after="0"/>
              <w:rPr>
                <w:sz w:val="20"/>
                <w:szCs w:val="20"/>
                <w:color w:val="auto"/>
              </w:rPr>
            </w:pPr>
            <w:r>
              <w:rPr>
                <w:rFonts w:ascii="Calibri" w:cs="Calibri" w:eastAsia="Calibri" w:hAnsi="Calibri"/>
                <w:sz w:val="16"/>
                <w:szCs w:val="16"/>
                <w:b w:val="1"/>
                <w:bCs w:val="1"/>
                <w:color w:val="auto"/>
              </w:rPr>
              <w:t>TABLE OF CONTENTS</w:t>
            </w:r>
          </w:p>
        </w:tc>
        <w:tc>
          <w:tcPr>
            <w:tcW w:w="4680" w:type="dxa"/>
            <w:vAlign w:val="bottom"/>
          </w:tcPr>
          <w:p>
            <w:pPr>
              <w:spacing w:after="0"/>
              <w:rPr>
                <w:sz w:val="16"/>
                <w:szCs w:val="16"/>
                <w:color w:val="auto"/>
              </w:rPr>
            </w:pPr>
          </w:p>
        </w:tc>
      </w:tr>
      <w:tr>
        <w:trPr>
          <w:trHeight w:val="41"/>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80" w:type="dxa"/>
            <w:vAlign w:val="bottom"/>
          </w:tcPr>
          <w:p>
            <w:pPr>
              <w:spacing w:after="0"/>
              <w:rPr>
                <w:sz w:val="3"/>
                <w:szCs w:val="3"/>
                <w:color w:val="auto"/>
              </w:rPr>
            </w:pPr>
          </w:p>
        </w:tc>
      </w:tr>
      <w:tr>
        <w:trPr>
          <w:trHeight w:val="189"/>
        </w:trPr>
        <w:tc>
          <w:tcPr>
            <w:tcW w:w="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680" w:type="dxa"/>
            <w:vAlign w:val="bottom"/>
            <w:shd w:val="clear" w:color="auto" w:fill="CFF0FC"/>
          </w:tcPr>
          <w:p>
            <w:pPr>
              <w:ind w:left="4000"/>
              <w:spacing w:after="0"/>
              <w:rPr>
                <w:sz w:val="20"/>
                <w:szCs w:val="20"/>
                <w:color w:val="auto"/>
              </w:rPr>
            </w:pPr>
            <w:r>
              <w:rPr>
                <w:rFonts w:ascii="Calibri" w:cs="Calibri" w:eastAsia="Calibri" w:hAnsi="Calibri"/>
                <w:sz w:val="15"/>
                <w:szCs w:val="15"/>
                <w:b w:val="1"/>
                <w:bCs w:val="1"/>
                <w:color w:val="auto"/>
              </w:rPr>
              <w:t>Page</w:t>
            </w:r>
          </w:p>
        </w:tc>
      </w:tr>
      <w:tr>
        <w:trPr>
          <w:trHeight w:val="148"/>
        </w:trPr>
        <w:tc>
          <w:tcPr>
            <w:tcW w:w="6560" w:type="dxa"/>
            <w:vAlign w:val="bottom"/>
            <w:gridSpan w:val="53"/>
          </w:tcPr>
          <w:p>
            <w:pPr>
              <w:ind w:left="20"/>
              <w:spacing w:after="0" w:line="149" w:lineRule="exact"/>
              <w:rPr>
                <w:sz w:val="20"/>
                <w:szCs w:val="20"/>
                <w:color w:val="auto"/>
              </w:rPr>
            </w:pPr>
            <w:r>
              <w:rPr>
                <w:rFonts w:ascii="Calibri" w:cs="Calibri" w:eastAsia="Calibri" w:hAnsi="Calibri"/>
                <w:sz w:val="16"/>
                <w:szCs w:val="16"/>
                <w:color w:val="0000FF"/>
              </w:rPr>
              <w:t>General Informaton</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7"/>
              </w:rPr>
              <w:t>1</w:t>
            </w:r>
          </w:p>
        </w:tc>
      </w:tr>
      <w:tr>
        <w:trPr>
          <w:trHeight w:val="34"/>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900" w:type="dxa"/>
            <w:vAlign w:val="bottom"/>
            <w:gridSpan w:val="51"/>
            <w:shd w:val="clear" w:color="auto" w:fill="CFF0FC"/>
          </w:tcPr>
          <w:p>
            <w:pPr>
              <w:spacing w:after="0" w:line="149" w:lineRule="exact"/>
              <w:rPr>
                <w:sz w:val="20"/>
                <w:szCs w:val="20"/>
                <w:color w:val="auto"/>
              </w:rPr>
            </w:pPr>
            <w:r>
              <w:rPr>
                <w:rFonts w:ascii="Calibri" w:cs="Calibri" w:eastAsia="Calibri" w:hAnsi="Calibri"/>
                <w:sz w:val="16"/>
                <w:szCs w:val="16"/>
                <w:color w:val="0000FF"/>
              </w:rPr>
              <w:t>Maters to be Considered at the Meetng</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7"/>
              </w:rPr>
              <w:t>1</w:t>
            </w:r>
          </w:p>
        </w:tc>
      </w:tr>
      <w:tr>
        <w:trPr>
          <w:trHeight w:val="148"/>
        </w:trPr>
        <w:tc>
          <w:tcPr>
            <w:tcW w:w="2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2700" w:type="dxa"/>
            <w:vAlign w:val="bottom"/>
            <w:tcBorders>
              <w:top w:val="single" w:sz="8" w:color="0000FF"/>
            </w:tcBorders>
            <w:gridSpan w:val="36"/>
          </w:tcPr>
          <w:p>
            <w:pPr>
              <w:spacing w:after="0" w:line="149" w:lineRule="exact"/>
              <w:rPr>
                <w:sz w:val="20"/>
                <w:szCs w:val="20"/>
                <w:color w:val="auto"/>
              </w:rPr>
            </w:pPr>
            <w:r>
              <w:rPr>
                <w:rFonts w:ascii="Calibri" w:cs="Calibri" w:eastAsia="Calibri" w:hAnsi="Calibri"/>
                <w:sz w:val="16"/>
                <w:szCs w:val="16"/>
                <w:color w:val="0000FF"/>
              </w:rPr>
              <w:t>Votng Recommendatons of the Board</w:t>
            </w:r>
          </w:p>
        </w:tc>
        <w:tc>
          <w:tcPr>
            <w:tcW w:w="3200" w:type="dxa"/>
            <w:vAlign w:val="bottom"/>
            <w:tcBorders>
              <w:top w:val="single" w:sz="8" w:color="CFF0FC"/>
            </w:tcBorders>
            <w:gridSpan w:val="15"/>
          </w:tcPr>
          <w:p>
            <w:pPr>
              <w:spacing w:after="0"/>
              <w:rPr>
                <w:sz w:val="12"/>
                <w:szCs w:val="12"/>
                <w:color w:val="auto"/>
              </w:rPr>
            </w:pPr>
          </w:p>
        </w:tc>
        <w:tc>
          <w:tcPr>
            <w:tcW w:w="4680" w:type="dxa"/>
            <w:vAlign w:val="bottom"/>
            <w:tcBorders>
              <w:top w:val="single" w:sz="8" w:color="CFF0FC"/>
            </w:tcBorders>
          </w:tcPr>
          <w:p>
            <w:pPr>
              <w:jc w:val="center"/>
              <w:ind w:left="3639"/>
              <w:spacing w:after="0" w:line="149" w:lineRule="exact"/>
              <w:rPr>
                <w:sz w:val="20"/>
                <w:szCs w:val="20"/>
                <w:color w:val="auto"/>
              </w:rPr>
            </w:pPr>
            <w:r>
              <w:rPr>
                <w:rFonts w:ascii="Calibri" w:cs="Calibri" w:eastAsia="Calibri" w:hAnsi="Calibri"/>
                <w:sz w:val="16"/>
                <w:szCs w:val="16"/>
                <w:color w:val="auto"/>
                <w:w w:val="97"/>
              </w:rPr>
              <w:t>1</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20" w:type="dxa"/>
            <w:vAlign w:val="bottom"/>
            <w:tcBorders>
              <w:bottom w:val="single" w:sz="8" w:color="0000FF"/>
            </w:tcBorders>
            <w:gridSpan w:val="31"/>
            <w:shd w:val="clear" w:color="auto" w:fill="CFF0FC"/>
          </w:tcPr>
          <w:p>
            <w:pPr>
              <w:spacing w:after="0" w:line="149" w:lineRule="exact"/>
              <w:rPr>
                <w:sz w:val="20"/>
                <w:szCs w:val="20"/>
                <w:color w:val="auto"/>
              </w:rPr>
            </w:pPr>
            <w:r>
              <w:rPr>
                <w:rFonts w:ascii="Calibri" w:cs="Calibri" w:eastAsia="Calibri" w:hAnsi="Calibri"/>
                <w:sz w:val="16"/>
                <w:szCs w:val="16"/>
                <w:color w:val="0000FF"/>
              </w:rPr>
              <w:t>Votng Shares Held in “Street Name”</w:t>
            </w:r>
          </w:p>
        </w:tc>
        <w:tc>
          <w:tcPr>
            <w:tcW w:w="3480" w:type="dxa"/>
            <w:vAlign w:val="bottom"/>
            <w:tcBorders>
              <w:bottom w:val="single" w:sz="8" w:color="CFF0FC"/>
            </w:tcBorders>
            <w:gridSpan w:val="20"/>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7"/>
              </w:rPr>
              <w:t>1</w:t>
            </w:r>
          </w:p>
        </w:tc>
      </w:tr>
      <w:tr>
        <w:trPr>
          <w:trHeight w:val="148"/>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Internet Access to Proxy Materials</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7"/>
              </w:rPr>
              <w:t>1</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0000FF"/>
            </w:tcBorders>
            <w:gridSpan w:val="3"/>
            <w:shd w:val="clear" w:color="auto" w:fill="CFF0FC"/>
          </w:tcPr>
          <w:p>
            <w:pPr>
              <w:spacing w:after="0" w:line="149" w:lineRule="exact"/>
              <w:rPr>
                <w:sz w:val="20"/>
                <w:szCs w:val="20"/>
                <w:color w:val="auto"/>
              </w:rPr>
            </w:pPr>
            <w:r>
              <w:rPr>
                <w:rFonts w:ascii="Calibri" w:cs="Calibri" w:eastAsia="Calibri" w:hAnsi="Calibri"/>
                <w:sz w:val="16"/>
                <w:szCs w:val="16"/>
                <w:color w:val="0000FF"/>
              </w:rPr>
              <w:t>How to Vote</w:t>
            </w:r>
          </w:p>
        </w:tc>
        <w:tc>
          <w:tcPr>
            <w:tcW w:w="5060" w:type="dxa"/>
            <w:vAlign w:val="bottom"/>
            <w:tcBorders>
              <w:bottom w:val="single" w:sz="8" w:color="CFF0FC"/>
            </w:tcBorders>
            <w:gridSpan w:val="48"/>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7"/>
              </w:rPr>
              <w:t>2</w:t>
            </w:r>
          </w:p>
        </w:tc>
      </w:tr>
      <w:tr>
        <w:trPr>
          <w:trHeight w:val="148"/>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How to Change or Revoke Your Vote</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7"/>
              </w:rPr>
              <w:t>3</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0000FF"/>
            </w:tcBorders>
            <w:gridSpan w:val="11"/>
            <w:shd w:val="clear" w:color="auto" w:fill="CFF0FC"/>
          </w:tcPr>
          <w:p>
            <w:pPr>
              <w:spacing w:after="0" w:line="149" w:lineRule="exact"/>
              <w:rPr>
                <w:sz w:val="20"/>
                <w:szCs w:val="20"/>
                <w:color w:val="auto"/>
              </w:rPr>
            </w:pPr>
            <w:r>
              <w:rPr>
                <w:rFonts w:ascii="Calibri" w:cs="Calibri" w:eastAsia="Calibri" w:hAnsi="Calibri"/>
                <w:sz w:val="16"/>
                <w:szCs w:val="16"/>
                <w:color w:val="0000FF"/>
              </w:rPr>
              <w:t>Meetng Admission</w:t>
            </w:r>
          </w:p>
        </w:tc>
        <w:tc>
          <w:tcPr>
            <w:tcW w:w="4620" w:type="dxa"/>
            <w:vAlign w:val="bottom"/>
            <w:tcBorders>
              <w:bottom w:val="single" w:sz="8" w:color="CFF0FC"/>
            </w:tcBorders>
            <w:gridSpan w:val="40"/>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7"/>
              </w:rPr>
              <w:t>3</w:t>
            </w:r>
          </w:p>
        </w:tc>
      </w:tr>
      <w:tr>
        <w:trPr>
          <w:trHeight w:val="148"/>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Votng Rights</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7"/>
              </w:rPr>
              <w:t>3</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900" w:type="dxa"/>
            <w:vAlign w:val="bottom"/>
            <w:gridSpan w:val="51"/>
            <w:shd w:val="clear" w:color="auto" w:fill="CFF0FC"/>
          </w:tcPr>
          <w:p>
            <w:pPr>
              <w:spacing w:after="0" w:line="149" w:lineRule="exact"/>
              <w:rPr>
                <w:sz w:val="20"/>
                <w:szCs w:val="20"/>
                <w:color w:val="auto"/>
              </w:rPr>
            </w:pPr>
            <w:r>
              <w:rPr>
                <w:rFonts w:ascii="Calibri" w:cs="Calibri" w:eastAsia="Calibri" w:hAnsi="Calibri"/>
                <w:sz w:val="16"/>
                <w:szCs w:val="16"/>
                <w:color w:val="0000FF"/>
              </w:rPr>
              <w:t>Procedures for Stockholder Nominatons and Proposals</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7"/>
              </w:rPr>
              <w:t>5</w:t>
            </w:r>
          </w:p>
        </w:tc>
      </w:tr>
      <w:tr>
        <w:trPr>
          <w:trHeight w:val="148"/>
        </w:trPr>
        <w:tc>
          <w:tcPr>
            <w:tcW w:w="2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3640" w:type="dxa"/>
            <w:vAlign w:val="bottom"/>
            <w:tcBorders>
              <w:top w:val="single" w:sz="8" w:color="0000FF"/>
            </w:tcBorders>
            <w:gridSpan w:val="42"/>
          </w:tcPr>
          <w:p>
            <w:pPr>
              <w:spacing w:after="0" w:line="149" w:lineRule="exact"/>
              <w:rPr>
                <w:sz w:val="20"/>
                <w:szCs w:val="20"/>
                <w:color w:val="auto"/>
              </w:rPr>
            </w:pPr>
            <w:r>
              <w:rPr>
                <w:rFonts w:ascii="Calibri" w:cs="Calibri" w:eastAsia="Calibri" w:hAnsi="Calibri"/>
                <w:sz w:val="16"/>
                <w:szCs w:val="16"/>
                <w:color w:val="0000FF"/>
              </w:rPr>
              <w:t>Cost of Proxy Solicitaton</w:t>
            </w:r>
          </w:p>
        </w:tc>
        <w:tc>
          <w:tcPr>
            <w:tcW w:w="2260" w:type="dxa"/>
            <w:vAlign w:val="bottom"/>
            <w:tcBorders>
              <w:top w:val="single" w:sz="8" w:color="CFF0FC"/>
            </w:tcBorders>
            <w:gridSpan w:val="9"/>
          </w:tcPr>
          <w:p>
            <w:pPr>
              <w:spacing w:after="0"/>
              <w:rPr>
                <w:sz w:val="12"/>
                <w:szCs w:val="12"/>
                <w:color w:val="auto"/>
              </w:rPr>
            </w:pPr>
          </w:p>
        </w:tc>
        <w:tc>
          <w:tcPr>
            <w:tcW w:w="4680" w:type="dxa"/>
            <w:vAlign w:val="bottom"/>
            <w:tcBorders>
              <w:top w:val="single" w:sz="8" w:color="CFF0FC"/>
            </w:tcBorders>
          </w:tcPr>
          <w:p>
            <w:pPr>
              <w:jc w:val="center"/>
              <w:ind w:left="3639"/>
              <w:spacing w:after="0" w:line="149" w:lineRule="exact"/>
              <w:rPr>
                <w:sz w:val="20"/>
                <w:szCs w:val="20"/>
                <w:color w:val="auto"/>
              </w:rPr>
            </w:pPr>
            <w:r>
              <w:rPr>
                <w:rFonts w:ascii="Calibri" w:cs="Calibri" w:eastAsia="Calibri" w:hAnsi="Calibri"/>
                <w:sz w:val="16"/>
                <w:szCs w:val="16"/>
                <w:color w:val="auto"/>
                <w:w w:val="97"/>
              </w:rPr>
              <w:t>5</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0000FF"/>
            </w:tcBorders>
            <w:gridSpan w:val="9"/>
            <w:shd w:val="clear" w:color="auto" w:fill="CFF0FC"/>
          </w:tcPr>
          <w:p>
            <w:pPr>
              <w:spacing w:after="0" w:line="149" w:lineRule="exact"/>
              <w:rPr>
                <w:sz w:val="20"/>
                <w:szCs w:val="20"/>
                <w:color w:val="auto"/>
              </w:rPr>
            </w:pPr>
            <w:r>
              <w:rPr>
                <w:rFonts w:ascii="Calibri" w:cs="Calibri" w:eastAsia="Calibri" w:hAnsi="Calibri"/>
                <w:sz w:val="16"/>
                <w:szCs w:val="16"/>
                <w:color w:val="0000FF"/>
              </w:rPr>
              <w:t>Other Business</w:t>
            </w:r>
          </w:p>
        </w:tc>
        <w:tc>
          <w:tcPr>
            <w:tcW w:w="4900" w:type="dxa"/>
            <w:vAlign w:val="bottom"/>
            <w:tcBorders>
              <w:bottom w:val="single" w:sz="8" w:color="CFF0FC"/>
            </w:tcBorders>
            <w:gridSpan w:val="42"/>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7"/>
              </w:rPr>
              <w:t>5</w:t>
            </w:r>
          </w:p>
        </w:tc>
      </w:tr>
      <w:tr>
        <w:trPr>
          <w:trHeight w:val="148"/>
        </w:trPr>
        <w:tc>
          <w:tcPr>
            <w:tcW w:w="6560" w:type="dxa"/>
            <w:vAlign w:val="bottom"/>
            <w:gridSpan w:val="53"/>
          </w:tcPr>
          <w:p>
            <w:pPr>
              <w:ind w:left="20"/>
              <w:spacing w:after="0" w:line="149" w:lineRule="exact"/>
              <w:rPr>
                <w:sz w:val="20"/>
                <w:szCs w:val="20"/>
                <w:color w:val="auto"/>
              </w:rPr>
            </w:pPr>
            <w:r>
              <w:rPr>
                <w:rFonts w:ascii="Calibri" w:cs="Calibri" w:eastAsia="Calibri" w:hAnsi="Calibri"/>
                <w:sz w:val="16"/>
                <w:szCs w:val="16"/>
                <w:color w:val="0000FF"/>
              </w:rPr>
              <w:t>Security Ownership of Certain Benefcial Owners and Management</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7"/>
              </w:rPr>
              <w:t>6</w:t>
            </w:r>
          </w:p>
        </w:tc>
      </w:tr>
      <w:tr>
        <w:trPr>
          <w:trHeight w:val="34"/>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380" w:type="dxa"/>
            <w:vAlign w:val="bottom"/>
            <w:tcBorders>
              <w:bottom w:val="single" w:sz="8" w:color="0000FF"/>
            </w:tcBorders>
            <w:gridSpan w:val="19"/>
            <w:shd w:val="clear" w:color="auto" w:fill="CFF0FC"/>
          </w:tcPr>
          <w:p>
            <w:pPr>
              <w:spacing w:after="0" w:line="149" w:lineRule="exact"/>
              <w:rPr>
                <w:sz w:val="20"/>
                <w:szCs w:val="20"/>
                <w:color w:val="auto"/>
              </w:rPr>
            </w:pPr>
            <w:r>
              <w:rPr>
                <w:rFonts w:ascii="Calibri" w:cs="Calibri" w:eastAsia="Calibri" w:hAnsi="Calibri"/>
                <w:sz w:val="16"/>
                <w:szCs w:val="16"/>
                <w:color w:val="0000FF"/>
              </w:rPr>
              <w:t>Proposal One – Electon of Directors</w:t>
            </w:r>
          </w:p>
        </w:tc>
        <w:tc>
          <w:tcPr>
            <w:tcW w:w="4160" w:type="dxa"/>
            <w:vAlign w:val="bottom"/>
            <w:tcBorders>
              <w:bottom w:val="single" w:sz="8" w:color="CFF0FC"/>
            </w:tcBorders>
            <w:gridSpan w:val="33"/>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7"/>
              </w:rPr>
              <w:t>9</w:t>
            </w:r>
          </w:p>
        </w:tc>
      </w:tr>
      <w:tr>
        <w:trPr>
          <w:trHeight w:val="148"/>
        </w:trPr>
        <w:tc>
          <w:tcPr>
            <w:tcW w:w="6560" w:type="dxa"/>
            <w:vAlign w:val="bottom"/>
            <w:gridSpan w:val="53"/>
          </w:tcPr>
          <w:p>
            <w:pPr>
              <w:ind w:left="20"/>
              <w:spacing w:after="0" w:line="149" w:lineRule="exact"/>
              <w:rPr>
                <w:sz w:val="20"/>
                <w:szCs w:val="20"/>
                <w:color w:val="auto"/>
              </w:rPr>
            </w:pPr>
            <w:r>
              <w:rPr>
                <w:rFonts w:ascii="Calibri" w:cs="Calibri" w:eastAsia="Calibri" w:hAnsi="Calibri"/>
                <w:sz w:val="16"/>
                <w:szCs w:val="16"/>
                <w:color w:val="0000FF"/>
              </w:rPr>
              <w:t>Corporate Governance</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13</w:t>
            </w:r>
          </w:p>
        </w:tc>
      </w:tr>
      <w:tr>
        <w:trPr>
          <w:trHeight w:val="34"/>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48"/>
        </w:trPr>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900" w:type="dxa"/>
            <w:vAlign w:val="bottom"/>
            <w:gridSpan w:val="51"/>
            <w:shd w:val="clear" w:color="auto" w:fill="CFF0FC"/>
          </w:tcPr>
          <w:p>
            <w:pPr>
              <w:spacing w:after="0" w:line="149" w:lineRule="exact"/>
              <w:rPr>
                <w:sz w:val="20"/>
                <w:szCs w:val="20"/>
                <w:color w:val="auto"/>
              </w:rPr>
            </w:pPr>
            <w:r>
              <w:rPr>
                <w:rFonts w:ascii="Calibri" w:cs="Calibri" w:eastAsia="Calibri" w:hAnsi="Calibri"/>
                <w:sz w:val="16"/>
                <w:szCs w:val="16"/>
                <w:color w:val="0000FF"/>
              </w:rPr>
              <w:t>Commitees of the Board</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13</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00" w:type="dxa"/>
            <w:vAlign w:val="bottom"/>
            <w:gridSpan w:val="51"/>
          </w:tcPr>
          <w:p>
            <w:pPr>
              <w:spacing w:after="0" w:line="149" w:lineRule="exact"/>
              <w:rPr>
                <w:sz w:val="20"/>
                <w:szCs w:val="20"/>
                <w:color w:val="auto"/>
              </w:rPr>
            </w:pPr>
            <w:r>
              <w:rPr>
                <w:rFonts w:ascii="Calibri" w:cs="Calibri" w:eastAsia="Calibri" w:hAnsi="Calibri"/>
                <w:sz w:val="16"/>
                <w:szCs w:val="16"/>
                <w:color w:val="0000FF"/>
              </w:rPr>
              <w:t>Meetngs of the Board and Commitees</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14</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48"/>
        </w:trPr>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900" w:type="dxa"/>
            <w:vAlign w:val="bottom"/>
            <w:gridSpan w:val="51"/>
            <w:shd w:val="clear" w:color="auto" w:fill="CFF0FC"/>
          </w:tcPr>
          <w:p>
            <w:pPr>
              <w:spacing w:after="0" w:line="149" w:lineRule="exact"/>
              <w:rPr>
                <w:sz w:val="20"/>
                <w:szCs w:val="20"/>
                <w:color w:val="auto"/>
              </w:rPr>
            </w:pPr>
            <w:r>
              <w:rPr>
                <w:rFonts w:ascii="Calibri" w:cs="Calibri" w:eastAsia="Calibri" w:hAnsi="Calibri"/>
                <w:sz w:val="16"/>
                <w:szCs w:val="16"/>
                <w:color w:val="0000FF"/>
              </w:rPr>
              <w:t>Board Leadership Structure</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14</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00" w:type="dxa"/>
            <w:vAlign w:val="bottom"/>
            <w:gridSpan w:val="51"/>
          </w:tcPr>
          <w:p>
            <w:pPr>
              <w:spacing w:after="0" w:line="149" w:lineRule="exact"/>
              <w:rPr>
                <w:sz w:val="20"/>
                <w:szCs w:val="20"/>
                <w:color w:val="auto"/>
              </w:rPr>
            </w:pPr>
            <w:r>
              <w:rPr>
                <w:rFonts w:ascii="Calibri" w:cs="Calibri" w:eastAsia="Calibri" w:hAnsi="Calibri"/>
                <w:sz w:val="16"/>
                <w:szCs w:val="16"/>
                <w:color w:val="0000FF"/>
              </w:rPr>
              <w:t>Nominatng Procedures and Criteria and Board Diversity</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15</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780" w:type="dxa"/>
            <w:vAlign w:val="bottom"/>
            <w:tcBorders>
              <w:bottom w:val="single" w:sz="8" w:color="0000FF"/>
            </w:tcBorders>
            <w:gridSpan w:val="19"/>
            <w:shd w:val="clear" w:color="auto" w:fill="CFF0FC"/>
          </w:tcPr>
          <w:p>
            <w:pPr>
              <w:spacing w:after="0" w:line="149" w:lineRule="exact"/>
              <w:rPr>
                <w:sz w:val="20"/>
                <w:szCs w:val="20"/>
                <w:color w:val="auto"/>
              </w:rPr>
            </w:pPr>
            <w:r>
              <w:rPr>
                <w:rFonts w:ascii="Calibri" w:cs="Calibri" w:eastAsia="Calibri" w:hAnsi="Calibri"/>
                <w:sz w:val="16"/>
                <w:szCs w:val="16"/>
                <w:color w:val="0000FF"/>
              </w:rPr>
              <w:t>Director Resignaton Policy</w:t>
            </w:r>
          </w:p>
        </w:tc>
        <w:tc>
          <w:tcPr>
            <w:tcW w:w="4120" w:type="dxa"/>
            <w:vAlign w:val="bottom"/>
            <w:tcBorders>
              <w:bottom w:val="single" w:sz="8" w:color="CFF0FC"/>
            </w:tcBorders>
            <w:gridSpan w:val="32"/>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16</w:t>
            </w:r>
          </w:p>
        </w:tc>
      </w:tr>
      <w:tr>
        <w:trPr>
          <w:trHeight w:val="148"/>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Communicatons with Directors</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16</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780" w:type="dxa"/>
            <w:vAlign w:val="bottom"/>
            <w:tcBorders>
              <w:bottom w:val="single" w:sz="8" w:color="0000FF"/>
            </w:tcBorders>
            <w:gridSpan w:val="19"/>
            <w:shd w:val="clear" w:color="auto" w:fill="CFF0FC"/>
          </w:tcPr>
          <w:p>
            <w:pPr>
              <w:spacing w:after="0" w:line="149" w:lineRule="exact"/>
              <w:rPr>
                <w:sz w:val="20"/>
                <w:szCs w:val="20"/>
                <w:color w:val="auto"/>
              </w:rPr>
            </w:pPr>
            <w:r>
              <w:rPr>
                <w:rFonts w:ascii="Calibri" w:cs="Calibri" w:eastAsia="Calibri" w:hAnsi="Calibri"/>
                <w:sz w:val="16"/>
                <w:szCs w:val="16"/>
                <w:color w:val="0000FF"/>
              </w:rPr>
              <w:t>Compensaton of Directors</w:t>
            </w:r>
          </w:p>
        </w:tc>
        <w:tc>
          <w:tcPr>
            <w:tcW w:w="4120" w:type="dxa"/>
            <w:vAlign w:val="bottom"/>
            <w:tcBorders>
              <w:bottom w:val="single" w:sz="8" w:color="CFF0FC"/>
            </w:tcBorders>
            <w:gridSpan w:val="32"/>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17</w:t>
            </w:r>
          </w:p>
        </w:tc>
      </w:tr>
      <w:tr>
        <w:trPr>
          <w:trHeight w:val="148"/>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Compensaton Commitee Interlocks and Insider Partcipaton</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18</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48"/>
        </w:trPr>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900" w:type="dxa"/>
            <w:vAlign w:val="bottom"/>
            <w:gridSpan w:val="51"/>
            <w:shd w:val="clear" w:color="auto" w:fill="CFF0FC"/>
          </w:tcPr>
          <w:p>
            <w:pPr>
              <w:spacing w:after="0" w:line="149" w:lineRule="exact"/>
              <w:rPr>
                <w:sz w:val="20"/>
                <w:szCs w:val="20"/>
                <w:color w:val="auto"/>
              </w:rPr>
            </w:pPr>
            <w:r>
              <w:rPr>
                <w:rFonts w:ascii="Calibri" w:cs="Calibri" w:eastAsia="Calibri" w:hAnsi="Calibri"/>
                <w:sz w:val="16"/>
                <w:szCs w:val="16"/>
                <w:color w:val="0000FF"/>
              </w:rPr>
              <w:t>Corporate Policies</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18</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00" w:type="dxa"/>
            <w:vAlign w:val="bottom"/>
            <w:gridSpan w:val="51"/>
          </w:tcPr>
          <w:p>
            <w:pPr>
              <w:spacing w:after="0" w:line="149" w:lineRule="exact"/>
              <w:rPr>
                <w:sz w:val="20"/>
                <w:szCs w:val="20"/>
                <w:color w:val="auto"/>
              </w:rPr>
            </w:pPr>
            <w:r>
              <w:rPr>
                <w:rFonts w:ascii="Calibri" w:cs="Calibri" w:eastAsia="Calibri" w:hAnsi="Calibri"/>
                <w:sz w:val="16"/>
                <w:szCs w:val="16"/>
                <w:color w:val="0000FF"/>
              </w:rPr>
              <w:t>Corporate Sustainability</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20</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2"/>
        </w:trPr>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900" w:type="dxa"/>
            <w:vAlign w:val="bottom"/>
            <w:gridSpan w:val="51"/>
            <w:shd w:val="clear" w:color="auto" w:fill="CFF0FC"/>
          </w:tcPr>
          <w:p>
            <w:pPr>
              <w:spacing w:after="0" w:line="149" w:lineRule="exact"/>
              <w:rPr>
                <w:sz w:val="20"/>
                <w:szCs w:val="20"/>
                <w:color w:val="auto"/>
              </w:rPr>
            </w:pPr>
            <w:r>
              <w:rPr>
                <w:rFonts w:ascii="Calibri" w:cs="Calibri" w:eastAsia="Calibri" w:hAnsi="Calibri"/>
                <w:sz w:val="16"/>
                <w:szCs w:val="16"/>
                <w:color w:val="0000FF"/>
              </w:rPr>
              <w:t>Executve Ofcers of the Company</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22</w:t>
            </w:r>
          </w:p>
        </w:tc>
      </w:tr>
      <w:tr>
        <w:trPr>
          <w:trHeight w:val="149"/>
        </w:trPr>
        <w:tc>
          <w:tcPr>
            <w:tcW w:w="2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2260" w:type="dxa"/>
            <w:vAlign w:val="bottom"/>
            <w:tcBorders>
              <w:top w:val="single" w:sz="8" w:color="0000FF"/>
            </w:tcBorders>
            <w:gridSpan w:val="27"/>
          </w:tcPr>
          <w:p>
            <w:pPr>
              <w:spacing w:after="0" w:line="149" w:lineRule="exact"/>
              <w:rPr>
                <w:sz w:val="20"/>
                <w:szCs w:val="20"/>
                <w:color w:val="auto"/>
              </w:rPr>
            </w:pPr>
            <w:r>
              <w:rPr>
                <w:rFonts w:ascii="Calibri" w:cs="Calibri" w:eastAsia="Calibri" w:hAnsi="Calibri"/>
                <w:sz w:val="16"/>
                <w:szCs w:val="16"/>
                <w:color w:val="0000FF"/>
              </w:rPr>
              <w:t>Report of the Audit Commitee</w:t>
            </w:r>
          </w:p>
        </w:tc>
        <w:tc>
          <w:tcPr>
            <w:tcW w:w="3640" w:type="dxa"/>
            <w:vAlign w:val="bottom"/>
            <w:tcBorders>
              <w:top w:val="single" w:sz="8" w:color="CFF0FC"/>
            </w:tcBorders>
            <w:gridSpan w:val="24"/>
          </w:tcPr>
          <w:p>
            <w:pPr>
              <w:spacing w:after="0"/>
              <w:rPr>
                <w:sz w:val="12"/>
                <w:szCs w:val="12"/>
                <w:color w:val="auto"/>
              </w:rPr>
            </w:pPr>
          </w:p>
        </w:tc>
        <w:tc>
          <w:tcPr>
            <w:tcW w:w="4680" w:type="dxa"/>
            <w:vAlign w:val="bottom"/>
            <w:tcBorders>
              <w:top w:val="single" w:sz="8" w:color="CFF0FC"/>
            </w:tcBorders>
          </w:tcPr>
          <w:p>
            <w:pPr>
              <w:jc w:val="center"/>
              <w:ind w:left="3639"/>
              <w:spacing w:after="0" w:line="149" w:lineRule="exact"/>
              <w:rPr>
                <w:sz w:val="20"/>
                <w:szCs w:val="20"/>
                <w:color w:val="auto"/>
              </w:rPr>
            </w:pPr>
            <w:r>
              <w:rPr>
                <w:rFonts w:ascii="Calibri" w:cs="Calibri" w:eastAsia="Calibri" w:hAnsi="Calibri"/>
                <w:sz w:val="16"/>
                <w:szCs w:val="16"/>
                <w:color w:val="auto"/>
                <w:w w:val="98"/>
              </w:rPr>
              <w:t>23</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49"/>
        </w:trPr>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900" w:type="dxa"/>
            <w:vAlign w:val="bottom"/>
            <w:gridSpan w:val="51"/>
            <w:shd w:val="clear" w:color="auto" w:fill="CFF0FC"/>
          </w:tcPr>
          <w:p>
            <w:pPr>
              <w:spacing w:after="0" w:line="149" w:lineRule="exact"/>
              <w:rPr>
                <w:sz w:val="20"/>
                <w:szCs w:val="20"/>
                <w:color w:val="auto"/>
              </w:rPr>
            </w:pPr>
            <w:r>
              <w:rPr>
                <w:rFonts w:ascii="Calibri" w:cs="Calibri" w:eastAsia="Calibri" w:hAnsi="Calibri"/>
                <w:sz w:val="16"/>
                <w:szCs w:val="16"/>
                <w:color w:val="0000FF"/>
              </w:rPr>
              <w:t>Code of Ethics</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25</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00" w:type="dxa"/>
            <w:vAlign w:val="bottom"/>
            <w:gridSpan w:val="51"/>
          </w:tcPr>
          <w:p>
            <w:pPr>
              <w:spacing w:after="0" w:line="149" w:lineRule="exact"/>
              <w:rPr>
                <w:sz w:val="20"/>
                <w:szCs w:val="20"/>
                <w:color w:val="auto"/>
              </w:rPr>
            </w:pPr>
            <w:r>
              <w:rPr>
                <w:rFonts w:ascii="Calibri" w:cs="Calibri" w:eastAsia="Calibri" w:hAnsi="Calibri"/>
                <w:sz w:val="16"/>
                <w:szCs w:val="16"/>
                <w:color w:val="0000FF"/>
              </w:rPr>
              <w:t>Certain Relatonships and Related Person Transactons</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25</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48"/>
        </w:trPr>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900" w:type="dxa"/>
            <w:vAlign w:val="bottom"/>
            <w:gridSpan w:val="51"/>
            <w:shd w:val="clear" w:color="auto" w:fill="CFF0FC"/>
          </w:tcPr>
          <w:p>
            <w:pPr>
              <w:spacing w:after="0" w:line="149" w:lineRule="exact"/>
              <w:rPr>
                <w:sz w:val="20"/>
                <w:szCs w:val="20"/>
                <w:color w:val="auto"/>
              </w:rPr>
            </w:pPr>
            <w:r>
              <w:rPr>
                <w:rFonts w:ascii="Calibri" w:cs="Calibri" w:eastAsia="Calibri" w:hAnsi="Calibri"/>
                <w:sz w:val="16"/>
                <w:szCs w:val="16"/>
                <w:color w:val="0000FF"/>
              </w:rPr>
              <w:t>Delinquent Secton 16(a) Reports</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26</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00" w:type="dxa"/>
            <w:vAlign w:val="bottom"/>
            <w:gridSpan w:val="51"/>
          </w:tcPr>
          <w:p>
            <w:pPr>
              <w:spacing w:after="0" w:line="149" w:lineRule="exact"/>
              <w:rPr>
                <w:sz w:val="20"/>
                <w:szCs w:val="20"/>
                <w:color w:val="auto"/>
              </w:rPr>
            </w:pPr>
            <w:r>
              <w:rPr>
                <w:rFonts w:ascii="Calibri" w:cs="Calibri" w:eastAsia="Calibri" w:hAnsi="Calibri"/>
                <w:sz w:val="16"/>
                <w:szCs w:val="16"/>
                <w:color w:val="0000FF"/>
              </w:rPr>
              <w:t>Stockholders sharing the same last name and address</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26</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3440" w:type="dxa"/>
            <w:vAlign w:val="bottom"/>
            <w:tcBorders>
              <w:bottom w:val="single" w:sz="8" w:color="0000FF"/>
            </w:tcBorders>
            <w:gridSpan w:val="38"/>
            <w:shd w:val="clear" w:color="auto" w:fill="CFF0FC"/>
          </w:tcPr>
          <w:p>
            <w:pPr>
              <w:spacing w:after="0" w:line="149" w:lineRule="exact"/>
              <w:rPr>
                <w:sz w:val="20"/>
                <w:szCs w:val="20"/>
                <w:color w:val="auto"/>
              </w:rPr>
            </w:pPr>
            <w:r>
              <w:rPr>
                <w:rFonts w:ascii="Calibri" w:cs="Calibri" w:eastAsia="Calibri" w:hAnsi="Calibri"/>
                <w:sz w:val="16"/>
                <w:szCs w:val="16"/>
                <w:color w:val="0000FF"/>
              </w:rPr>
              <w:t>Proposal Two - Approval of Executve Compensaton</w:t>
            </w:r>
          </w:p>
        </w:tc>
        <w:tc>
          <w:tcPr>
            <w:tcW w:w="3100" w:type="dxa"/>
            <w:vAlign w:val="bottom"/>
            <w:tcBorders>
              <w:bottom w:val="single" w:sz="8" w:color="CFF0FC"/>
            </w:tcBorders>
            <w:gridSpan w:val="14"/>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28</w:t>
            </w:r>
          </w:p>
        </w:tc>
      </w:tr>
      <w:tr>
        <w:trPr>
          <w:trHeight w:val="148"/>
        </w:trPr>
        <w:tc>
          <w:tcPr>
            <w:tcW w:w="6560" w:type="dxa"/>
            <w:vAlign w:val="bottom"/>
            <w:gridSpan w:val="53"/>
          </w:tcPr>
          <w:p>
            <w:pPr>
              <w:ind w:left="20"/>
              <w:spacing w:after="0" w:line="149" w:lineRule="exact"/>
              <w:rPr>
                <w:sz w:val="20"/>
                <w:szCs w:val="20"/>
                <w:color w:val="auto"/>
              </w:rPr>
            </w:pPr>
            <w:r>
              <w:rPr>
                <w:rFonts w:ascii="Calibri" w:cs="Calibri" w:eastAsia="Calibri" w:hAnsi="Calibri"/>
                <w:sz w:val="16"/>
                <w:szCs w:val="16"/>
                <w:color w:val="0000FF"/>
              </w:rPr>
              <w:t>Compensaton Discussion and Analysis</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29</w:t>
            </w:r>
          </w:p>
        </w:tc>
      </w:tr>
      <w:tr>
        <w:trPr>
          <w:trHeight w:val="34"/>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0000FF"/>
            </w:tcBorders>
            <w:gridSpan w:val="3"/>
            <w:shd w:val="clear" w:color="auto" w:fill="CFF0FC"/>
          </w:tcPr>
          <w:p>
            <w:pPr>
              <w:spacing w:after="0" w:line="129" w:lineRule="exact"/>
              <w:rPr>
                <w:sz w:val="20"/>
                <w:szCs w:val="20"/>
                <w:color w:val="auto"/>
              </w:rPr>
            </w:pPr>
            <w:r>
              <w:rPr>
                <w:rFonts w:ascii="Calibri" w:cs="Calibri" w:eastAsia="Calibri" w:hAnsi="Calibri"/>
                <w:sz w:val="14"/>
                <w:szCs w:val="14"/>
                <w:color w:val="0000FF"/>
              </w:rPr>
              <w:t>Introducton</w:t>
            </w:r>
          </w:p>
        </w:tc>
        <w:tc>
          <w:tcPr>
            <w:tcW w:w="5060" w:type="dxa"/>
            <w:vAlign w:val="bottom"/>
            <w:tcBorders>
              <w:bottom w:val="single" w:sz="8" w:color="CFF0FC"/>
            </w:tcBorders>
            <w:gridSpan w:val="48"/>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29" w:lineRule="exact"/>
              <w:rPr>
                <w:sz w:val="20"/>
                <w:szCs w:val="20"/>
                <w:color w:val="auto"/>
              </w:rPr>
            </w:pPr>
            <w:r>
              <w:rPr>
                <w:rFonts w:ascii="Times New Roman" w:cs="Times New Roman" w:eastAsia="Times New Roman" w:hAnsi="Times New Roman"/>
                <w:sz w:val="14"/>
                <w:szCs w:val="14"/>
                <w:color w:val="auto"/>
              </w:rPr>
              <w:t>29</w:t>
            </w:r>
          </w:p>
        </w:tc>
      </w:tr>
      <w:tr>
        <w:trPr>
          <w:trHeight w:val="148"/>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Executve Summary</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29</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0000FF"/>
            </w:tcBorders>
            <w:gridSpan w:val="30"/>
            <w:shd w:val="clear" w:color="auto" w:fill="CFF0FC"/>
          </w:tcPr>
          <w:p>
            <w:pPr>
              <w:spacing w:after="0" w:line="149" w:lineRule="exact"/>
              <w:rPr>
                <w:sz w:val="20"/>
                <w:szCs w:val="20"/>
                <w:color w:val="auto"/>
              </w:rPr>
            </w:pPr>
            <w:r>
              <w:rPr>
                <w:rFonts w:ascii="Calibri" w:cs="Calibri" w:eastAsia="Calibri" w:hAnsi="Calibri"/>
                <w:sz w:val="16"/>
                <w:szCs w:val="16"/>
                <w:color w:val="0000FF"/>
              </w:rPr>
              <w:t>Overview of Compensaton Program</w:t>
            </w:r>
          </w:p>
        </w:tc>
        <w:tc>
          <w:tcPr>
            <w:tcW w:w="3500" w:type="dxa"/>
            <w:vAlign w:val="bottom"/>
            <w:tcBorders>
              <w:bottom w:val="single" w:sz="8" w:color="CFF0FC"/>
            </w:tcBorders>
            <w:gridSpan w:val="21"/>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31</w:t>
            </w:r>
          </w:p>
        </w:tc>
      </w:tr>
      <w:tr>
        <w:trPr>
          <w:trHeight w:val="148"/>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Pay for Performance</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33</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620" w:type="dxa"/>
            <w:vAlign w:val="bottom"/>
            <w:tcBorders>
              <w:bottom w:val="single" w:sz="8" w:color="0000FF"/>
            </w:tcBorders>
            <w:gridSpan w:val="35"/>
            <w:shd w:val="clear" w:color="auto" w:fill="CFF0FC"/>
          </w:tcPr>
          <w:p>
            <w:pPr>
              <w:spacing w:after="0" w:line="149" w:lineRule="exact"/>
              <w:rPr>
                <w:sz w:val="20"/>
                <w:szCs w:val="20"/>
                <w:color w:val="auto"/>
              </w:rPr>
            </w:pPr>
            <w:r>
              <w:rPr>
                <w:rFonts w:ascii="Calibri" w:cs="Calibri" w:eastAsia="Calibri" w:hAnsi="Calibri"/>
                <w:sz w:val="16"/>
                <w:szCs w:val="16"/>
                <w:color w:val="0000FF"/>
              </w:rPr>
              <w:t>Principal Components of Compensaton</w:t>
            </w:r>
          </w:p>
        </w:tc>
        <w:tc>
          <w:tcPr>
            <w:tcW w:w="3280" w:type="dxa"/>
            <w:vAlign w:val="bottom"/>
            <w:tcBorders>
              <w:bottom w:val="single" w:sz="8" w:color="CFF0FC"/>
            </w:tcBorders>
            <w:gridSpan w:val="16"/>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35</w:t>
            </w:r>
          </w:p>
        </w:tc>
      </w:tr>
      <w:tr>
        <w:trPr>
          <w:trHeight w:val="148"/>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Compensaton Review Process</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42</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900" w:type="dxa"/>
            <w:vAlign w:val="bottom"/>
            <w:gridSpan w:val="51"/>
            <w:shd w:val="clear" w:color="auto" w:fill="CFF0FC"/>
          </w:tcPr>
          <w:p>
            <w:pPr>
              <w:spacing w:after="0" w:line="149" w:lineRule="exact"/>
              <w:rPr>
                <w:sz w:val="20"/>
                <w:szCs w:val="20"/>
                <w:color w:val="auto"/>
              </w:rPr>
            </w:pPr>
            <w:r>
              <w:rPr>
                <w:rFonts w:ascii="Calibri" w:cs="Calibri" w:eastAsia="Calibri" w:hAnsi="Calibri"/>
                <w:sz w:val="16"/>
                <w:szCs w:val="16"/>
                <w:color w:val="0000FF"/>
              </w:rPr>
              <w:t>Additonal Benefts and Perquisites</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44</w:t>
            </w:r>
          </w:p>
        </w:tc>
      </w:tr>
      <w:tr>
        <w:trPr>
          <w:trHeight w:val="148"/>
        </w:trPr>
        <w:tc>
          <w:tcPr>
            <w:tcW w:w="2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2300" w:type="dxa"/>
            <w:vAlign w:val="bottom"/>
            <w:tcBorders>
              <w:top w:val="single" w:sz="8" w:color="0000FF"/>
            </w:tcBorders>
            <w:gridSpan w:val="28"/>
          </w:tcPr>
          <w:p>
            <w:pPr>
              <w:spacing w:after="0" w:line="149" w:lineRule="exact"/>
              <w:rPr>
                <w:sz w:val="20"/>
                <w:szCs w:val="20"/>
                <w:color w:val="auto"/>
              </w:rPr>
            </w:pPr>
            <w:r>
              <w:rPr>
                <w:rFonts w:ascii="Calibri" w:cs="Calibri" w:eastAsia="Calibri" w:hAnsi="Calibri"/>
                <w:sz w:val="16"/>
                <w:szCs w:val="16"/>
                <w:color w:val="0000FF"/>
              </w:rPr>
              <w:t>Best Practces</w:t>
            </w:r>
          </w:p>
        </w:tc>
        <w:tc>
          <w:tcPr>
            <w:tcW w:w="3600" w:type="dxa"/>
            <w:vAlign w:val="bottom"/>
            <w:tcBorders>
              <w:top w:val="single" w:sz="8" w:color="CFF0FC"/>
            </w:tcBorders>
            <w:gridSpan w:val="23"/>
          </w:tcPr>
          <w:p>
            <w:pPr>
              <w:spacing w:after="0"/>
              <w:rPr>
                <w:sz w:val="12"/>
                <w:szCs w:val="12"/>
                <w:color w:val="auto"/>
              </w:rPr>
            </w:pPr>
          </w:p>
        </w:tc>
        <w:tc>
          <w:tcPr>
            <w:tcW w:w="4680" w:type="dxa"/>
            <w:vAlign w:val="bottom"/>
            <w:tcBorders>
              <w:top w:val="single" w:sz="8" w:color="CFF0FC"/>
            </w:tcBorders>
          </w:tcPr>
          <w:p>
            <w:pPr>
              <w:jc w:val="center"/>
              <w:ind w:left="3639"/>
              <w:spacing w:after="0" w:line="149" w:lineRule="exact"/>
              <w:rPr>
                <w:sz w:val="20"/>
                <w:szCs w:val="20"/>
                <w:color w:val="auto"/>
              </w:rPr>
            </w:pPr>
            <w:r>
              <w:rPr>
                <w:rFonts w:ascii="Calibri" w:cs="Calibri" w:eastAsia="Calibri" w:hAnsi="Calibri"/>
                <w:sz w:val="16"/>
                <w:szCs w:val="16"/>
                <w:color w:val="auto"/>
                <w:w w:val="98"/>
              </w:rPr>
              <w:t>44</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080" w:type="dxa"/>
            <w:vAlign w:val="bottom"/>
            <w:tcBorders>
              <w:bottom w:val="single" w:sz="8" w:color="0000FF"/>
            </w:tcBorders>
            <w:gridSpan w:val="25"/>
            <w:shd w:val="clear" w:color="auto" w:fill="CFF0FC"/>
          </w:tcPr>
          <w:p>
            <w:pPr>
              <w:spacing w:after="0" w:line="149" w:lineRule="exact"/>
              <w:rPr>
                <w:sz w:val="20"/>
                <w:szCs w:val="20"/>
                <w:color w:val="auto"/>
              </w:rPr>
            </w:pPr>
            <w:r>
              <w:rPr>
                <w:rFonts w:ascii="Calibri" w:cs="Calibri" w:eastAsia="Calibri" w:hAnsi="Calibri"/>
                <w:sz w:val="16"/>
                <w:szCs w:val="16"/>
                <w:color w:val="0000FF"/>
              </w:rPr>
              <w:t>Compensaton Risk Assessment</w:t>
            </w:r>
          </w:p>
        </w:tc>
        <w:tc>
          <w:tcPr>
            <w:tcW w:w="3820" w:type="dxa"/>
            <w:vAlign w:val="bottom"/>
            <w:tcBorders>
              <w:bottom w:val="single" w:sz="8" w:color="CFF0FC"/>
            </w:tcBorders>
            <w:gridSpan w:val="26"/>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45</w:t>
            </w:r>
          </w:p>
        </w:tc>
      </w:tr>
      <w:tr>
        <w:trPr>
          <w:trHeight w:val="148"/>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Post-Terminaton and Change-In-Control Payments</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45</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320" w:type="dxa"/>
            <w:vAlign w:val="bottom"/>
            <w:tcBorders>
              <w:bottom w:val="single" w:sz="8" w:color="0000FF"/>
            </w:tcBorders>
            <w:gridSpan w:val="29"/>
            <w:shd w:val="clear" w:color="auto" w:fill="CFF0FC"/>
          </w:tcPr>
          <w:p>
            <w:pPr>
              <w:spacing w:after="0" w:line="149" w:lineRule="exact"/>
              <w:rPr>
                <w:sz w:val="20"/>
                <w:szCs w:val="20"/>
                <w:color w:val="auto"/>
              </w:rPr>
            </w:pPr>
            <w:r>
              <w:rPr>
                <w:rFonts w:ascii="Calibri" w:cs="Calibri" w:eastAsia="Calibri" w:hAnsi="Calibri"/>
                <w:sz w:val="16"/>
                <w:szCs w:val="16"/>
                <w:color w:val="0000FF"/>
              </w:rPr>
              <w:t>Tax and Accountng Consideratons</w:t>
            </w:r>
          </w:p>
        </w:tc>
        <w:tc>
          <w:tcPr>
            <w:tcW w:w="3580" w:type="dxa"/>
            <w:vAlign w:val="bottom"/>
            <w:tcBorders>
              <w:bottom w:val="single" w:sz="8" w:color="CFF0FC"/>
            </w:tcBorders>
            <w:gridSpan w:val="22"/>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46</w:t>
            </w:r>
          </w:p>
        </w:tc>
      </w:tr>
      <w:tr>
        <w:trPr>
          <w:trHeight w:val="148"/>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Report of the Compensaton Commitee on Executve Compensaton</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47</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2"/>
        </w:trPr>
        <w:tc>
          <w:tcPr>
            <w:tcW w:w="20" w:type="dxa"/>
            <w:vAlign w:val="bottom"/>
            <w:tcBorders>
              <w:bottom w:val="single" w:sz="8" w:color="CFF0FC"/>
            </w:tcBorders>
            <w:shd w:val="clear" w:color="auto" w:fill="CFF0FC"/>
          </w:tcPr>
          <w:p>
            <w:pPr>
              <w:spacing w:after="0"/>
              <w:rPr>
                <w:sz w:val="15"/>
                <w:szCs w:val="15"/>
                <w:color w:val="auto"/>
              </w:rPr>
            </w:pPr>
          </w:p>
        </w:tc>
        <w:tc>
          <w:tcPr>
            <w:tcW w:w="1620" w:type="dxa"/>
            <w:vAlign w:val="bottom"/>
            <w:tcBorders>
              <w:bottom w:val="single" w:sz="8" w:color="0000FF"/>
            </w:tcBorders>
            <w:gridSpan w:val="9"/>
            <w:shd w:val="clear" w:color="auto" w:fill="CFF0FC"/>
          </w:tcPr>
          <w:p>
            <w:pPr>
              <w:spacing w:after="0" w:line="149" w:lineRule="exact"/>
              <w:rPr>
                <w:sz w:val="20"/>
                <w:szCs w:val="20"/>
                <w:color w:val="auto"/>
              </w:rPr>
            </w:pPr>
            <w:r>
              <w:rPr>
                <w:rFonts w:ascii="Calibri" w:cs="Calibri" w:eastAsia="Calibri" w:hAnsi="Calibri"/>
                <w:sz w:val="16"/>
                <w:szCs w:val="16"/>
                <w:color w:val="0000FF"/>
              </w:rPr>
              <w:t>Executve Compensaton</w:t>
            </w:r>
          </w:p>
        </w:tc>
        <w:tc>
          <w:tcPr>
            <w:tcW w:w="4920" w:type="dxa"/>
            <w:vAlign w:val="bottom"/>
            <w:tcBorders>
              <w:bottom w:val="single" w:sz="8" w:color="CFF0FC"/>
            </w:tcBorders>
            <w:gridSpan w:val="43"/>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48</w:t>
            </w:r>
          </w:p>
        </w:tc>
      </w:tr>
      <w:tr>
        <w:trPr>
          <w:trHeight w:val="149"/>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Summary Compensaton Table</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48</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920" w:type="dxa"/>
            <w:vAlign w:val="bottom"/>
            <w:tcBorders>
              <w:bottom w:val="single" w:sz="8" w:color="0000FF"/>
            </w:tcBorders>
            <w:gridSpan w:val="22"/>
            <w:shd w:val="clear" w:color="auto" w:fill="CFF0FC"/>
          </w:tcPr>
          <w:p>
            <w:pPr>
              <w:spacing w:after="0" w:line="149" w:lineRule="exact"/>
              <w:rPr>
                <w:sz w:val="20"/>
                <w:szCs w:val="20"/>
                <w:color w:val="auto"/>
              </w:rPr>
            </w:pPr>
            <w:r>
              <w:rPr>
                <w:rFonts w:ascii="Calibri" w:cs="Calibri" w:eastAsia="Calibri" w:hAnsi="Calibri"/>
                <w:sz w:val="16"/>
                <w:szCs w:val="16"/>
                <w:color w:val="0000FF"/>
              </w:rPr>
              <w:t>Grants of Plan-Based Awards</w:t>
            </w:r>
          </w:p>
        </w:tc>
        <w:tc>
          <w:tcPr>
            <w:tcW w:w="3980" w:type="dxa"/>
            <w:vAlign w:val="bottom"/>
            <w:tcBorders>
              <w:bottom w:val="single" w:sz="8" w:color="CFF0FC"/>
            </w:tcBorders>
            <w:gridSpan w:val="29"/>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50</w:t>
            </w:r>
          </w:p>
        </w:tc>
      </w:tr>
      <w:tr>
        <w:trPr>
          <w:trHeight w:val="149"/>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CEO Pay Rato</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50</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5480" w:type="dxa"/>
            <w:vAlign w:val="bottom"/>
            <w:tcBorders>
              <w:bottom w:val="single" w:sz="8" w:color="0000FF"/>
            </w:tcBorders>
            <w:gridSpan w:val="50"/>
            <w:shd w:val="clear" w:color="auto" w:fill="CFF0FC"/>
          </w:tcPr>
          <w:p>
            <w:pPr>
              <w:spacing w:after="0" w:line="149" w:lineRule="exact"/>
              <w:rPr>
                <w:sz w:val="20"/>
                <w:szCs w:val="20"/>
                <w:color w:val="auto"/>
              </w:rPr>
            </w:pPr>
            <w:r>
              <w:rPr>
                <w:rFonts w:ascii="Calibri" w:cs="Calibri" w:eastAsia="Calibri" w:hAnsi="Calibri"/>
                <w:sz w:val="16"/>
                <w:szCs w:val="16"/>
                <w:color w:val="0000FF"/>
              </w:rPr>
              <w:t>Narratve to Summary Compensaton Table and Grants of Plan-Based Awards Table</w:t>
            </w:r>
          </w:p>
        </w:tc>
        <w:tc>
          <w:tcPr>
            <w:tcW w:w="420" w:type="dxa"/>
            <w:vAlign w:val="bottom"/>
            <w:tcBorders>
              <w:bottom w:val="single" w:sz="8" w:color="CFF0FC"/>
            </w:tcBorders>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51</w:t>
            </w:r>
          </w:p>
        </w:tc>
      </w:tr>
      <w:tr>
        <w:trPr>
          <w:trHeight w:val="149"/>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Outstanding Equity Awards at Fiscal Year-End</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54</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48"/>
        </w:trPr>
        <w:tc>
          <w:tcPr>
            <w:tcW w:w="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5900" w:type="dxa"/>
            <w:vAlign w:val="bottom"/>
            <w:gridSpan w:val="51"/>
            <w:shd w:val="clear" w:color="auto" w:fill="CFF0FC"/>
          </w:tcPr>
          <w:p>
            <w:pPr>
              <w:spacing w:after="0" w:line="149" w:lineRule="exact"/>
              <w:rPr>
                <w:sz w:val="20"/>
                <w:szCs w:val="20"/>
                <w:color w:val="auto"/>
              </w:rPr>
            </w:pPr>
            <w:r>
              <w:rPr>
                <w:rFonts w:ascii="Calibri" w:cs="Calibri" w:eastAsia="Calibri" w:hAnsi="Calibri"/>
                <w:sz w:val="16"/>
                <w:szCs w:val="16"/>
                <w:color w:val="0000FF"/>
              </w:rPr>
              <w:t>Opton Exercises and Stock Vested</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55</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00" w:type="dxa"/>
            <w:vAlign w:val="bottom"/>
            <w:gridSpan w:val="51"/>
          </w:tcPr>
          <w:p>
            <w:pPr>
              <w:spacing w:after="0" w:line="149" w:lineRule="exact"/>
              <w:rPr>
                <w:sz w:val="20"/>
                <w:szCs w:val="20"/>
                <w:color w:val="auto"/>
              </w:rPr>
            </w:pPr>
            <w:r>
              <w:rPr>
                <w:rFonts w:ascii="Calibri" w:cs="Calibri" w:eastAsia="Calibri" w:hAnsi="Calibri"/>
                <w:sz w:val="16"/>
                <w:szCs w:val="16"/>
                <w:color w:val="0000FF"/>
              </w:rPr>
              <w:t>Equity Compensaton Plan Informaton</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55</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480" w:type="dxa"/>
            <w:vAlign w:val="bottom"/>
            <w:tcBorders>
              <w:bottom w:val="single" w:sz="8" w:color="0000FF"/>
            </w:tcBorders>
            <w:gridSpan w:val="32"/>
            <w:shd w:val="clear" w:color="auto" w:fill="CFF0FC"/>
          </w:tcPr>
          <w:p>
            <w:pPr>
              <w:spacing w:after="0" w:line="149" w:lineRule="exact"/>
              <w:rPr>
                <w:sz w:val="20"/>
                <w:szCs w:val="20"/>
                <w:color w:val="auto"/>
              </w:rPr>
            </w:pPr>
            <w:r>
              <w:rPr>
                <w:rFonts w:ascii="Calibri" w:cs="Calibri" w:eastAsia="Calibri" w:hAnsi="Calibri"/>
                <w:sz w:val="16"/>
                <w:szCs w:val="16"/>
                <w:color w:val="0000FF"/>
              </w:rPr>
              <w:t>Nonqualifed Deferred Compensaton</w:t>
            </w:r>
          </w:p>
        </w:tc>
        <w:tc>
          <w:tcPr>
            <w:tcW w:w="3420" w:type="dxa"/>
            <w:vAlign w:val="bottom"/>
            <w:tcBorders>
              <w:bottom w:val="single" w:sz="8" w:color="CFF0FC"/>
            </w:tcBorders>
            <w:gridSpan w:val="19"/>
            <w:shd w:val="clear" w:color="auto" w:fill="CFF0FC"/>
          </w:tcPr>
          <w:p>
            <w:pPr>
              <w:spacing w:after="0"/>
              <w:rPr>
                <w:sz w:val="15"/>
                <w:szCs w:val="15"/>
                <w:color w:val="auto"/>
              </w:rPr>
            </w:pPr>
          </w:p>
        </w:tc>
        <w:tc>
          <w:tcPr>
            <w:tcW w:w="4680" w:type="dxa"/>
            <w:vAlign w:val="bottom"/>
            <w:tcBorders>
              <w:bottom w:val="single" w:sz="8" w:color="CFF0FC"/>
            </w:tcBorders>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56</w:t>
            </w:r>
          </w:p>
        </w:tc>
      </w:tr>
      <w:tr>
        <w:trPr>
          <w:trHeight w:val="149"/>
        </w:trPr>
        <w:tc>
          <w:tcPr>
            <w:tcW w:w="20" w:type="dxa"/>
            <w:vAlign w:val="bottom"/>
          </w:tcPr>
          <w:p>
            <w:pPr>
              <w:spacing w:after="0"/>
              <w:rPr>
                <w:sz w:val="12"/>
                <w:szCs w:val="12"/>
                <w:color w:val="auto"/>
              </w:rPr>
            </w:pPr>
          </w:p>
        </w:tc>
        <w:tc>
          <w:tcPr>
            <w:tcW w:w="6540" w:type="dxa"/>
            <w:vAlign w:val="bottom"/>
            <w:gridSpan w:val="52"/>
          </w:tcPr>
          <w:p>
            <w:pPr>
              <w:ind w:left="640"/>
              <w:spacing w:after="0" w:line="149" w:lineRule="exact"/>
              <w:rPr>
                <w:sz w:val="20"/>
                <w:szCs w:val="20"/>
                <w:color w:val="auto"/>
              </w:rPr>
            </w:pPr>
            <w:r>
              <w:rPr>
                <w:rFonts w:ascii="Calibri" w:cs="Calibri" w:eastAsia="Calibri" w:hAnsi="Calibri"/>
                <w:sz w:val="16"/>
                <w:szCs w:val="16"/>
                <w:color w:val="0000FF"/>
              </w:rPr>
              <w:t>Potental Payments Upon Terminaton or Change in Control</w:t>
            </w:r>
          </w:p>
        </w:tc>
        <w:tc>
          <w:tcPr>
            <w:tcW w:w="4680" w:type="dxa"/>
            <w:vAlign w:val="bottom"/>
          </w:tcPr>
          <w:p>
            <w:pPr>
              <w:jc w:val="center"/>
              <w:ind w:left="3639"/>
              <w:spacing w:after="0" w:line="149" w:lineRule="exact"/>
              <w:rPr>
                <w:sz w:val="20"/>
                <w:szCs w:val="20"/>
                <w:color w:val="auto"/>
              </w:rPr>
            </w:pPr>
            <w:r>
              <w:rPr>
                <w:rFonts w:ascii="Calibri" w:cs="Calibri" w:eastAsia="Calibri" w:hAnsi="Calibri"/>
                <w:sz w:val="16"/>
                <w:szCs w:val="16"/>
                <w:color w:val="auto"/>
                <w:w w:val="98"/>
              </w:rPr>
              <w:t>56</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6560" w:type="dxa"/>
            <w:vAlign w:val="bottom"/>
            <w:gridSpan w:val="53"/>
            <w:shd w:val="clear" w:color="auto" w:fill="CFF0FC"/>
          </w:tcPr>
          <w:p>
            <w:pPr>
              <w:ind w:left="20"/>
              <w:spacing w:after="0" w:line="149" w:lineRule="exact"/>
              <w:rPr>
                <w:sz w:val="20"/>
                <w:szCs w:val="20"/>
                <w:color w:val="auto"/>
              </w:rPr>
            </w:pPr>
            <w:r>
              <w:rPr>
                <w:rFonts w:ascii="Calibri" w:cs="Calibri" w:eastAsia="Calibri" w:hAnsi="Calibri"/>
                <w:sz w:val="16"/>
                <w:szCs w:val="16"/>
                <w:color w:val="0000FF"/>
              </w:rPr>
              <w:t>Proposal Three - Ratfcaton of the Appointment of Independent Registered Public Accountng Firm</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64</w:t>
            </w:r>
          </w:p>
        </w:tc>
      </w:tr>
      <w:tr>
        <w:trPr>
          <w:trHeight w:val="149"/>
        </w:trPr>
        <w:tc>
          <w:tcPr>
            <w:tcW w:w="20" w:type="dxa"/>
            <w:vAlign w:val="bottom"/>
            <w:tcBorders>
              <w:top w:val="single" w:sz="8" w:color="CFF0FC"/>
            </w:tcBorders>
          </w:tcPr>
          <w:p>
            <w:pPr>
              <w:spacing w:after="0"/>
              <w:rPr>
                <w:sz w:val="12"/>
                <w:szCs w:val="12"/>
                <w:color w:val="auto"/>
              </w:rPr>
            </w:pPr>
          </w:p>
        </w:tc>
        <w:tc>
          <w:tcPr>
            <w:tcW w:w="6540" w:type="dxa"/>
            <w:vAlign w:val="bottom"/>
            <w:tcBorders>
              <w:top w:val="single" w:sz="8" w:color="0000FF"/>
            </w:tcBorders>
            <w:gridSpan w:val="52"/>
          </w:tcPr>
          <w:p>
            <w:pPr>
              <w:ind w:left="640"/>
              <w:spacing w:after="0" w:line="149" w:lineRule="exact"/>
              <w:rPr>
                <w:sz w:val="20"/>
                <w:szCs w:val="20"/>
                <w:color w:val="auto"/>
              </w:rPr>
            </w:pPr>
            <w:r>
              <w:rPr>
                <w:rFonts w:ascii="Calibri" w:cs="Calibri" w:eastAsia="Calibri" w:hAnsi="Calibri"/>
                <w:sz w:val="16"/>
                <w:szCs w:val="16"/>
                <w:color w:val="0000FF"/>
              </w:rPr>
              <w:t>Audit Fees, Audit-Related Fees, Tax Fees, and All Other Fees</w:t>
            </w:r>
          </w:p>
        </w:tc>
        <w:tc>
          <w:tcPr>
            <w:tcW w:w="4680" w:type="dxa"/>
            <w:vAlign w:val="bottom"/>
            <w:tcBorders>
              <w:top w:val="single" w:sz="8" w:color="CFF0FC"/>
            </w:tcBorders>
          </w:tcPr>
          <w:p>
            <w:pPr>
              <w:jc w:val="center"/>
              <w:ind w:left="3639"/>
              <w:spacing w:after="0" w:line="149" w:lineRule="exact"/>
              <w:rPr>
                <w:sz w:val="20"/>
                <w:szCs w:val="20"/>
                <w:color w:val="auto"/>
              </w:rPr>
            </w:pPr>
            <w:r>
              <w:rPr>
                <w:rFonts w:ascii="Calibri" w:cs="Calibri" w:eastAsia="Calibri" w:hAnsi="Calibri"/>
                <w:sz w:val="16"/>
                <w:szCs w:val="16"/>
                <w:color w:val="auto"/>
                <w:w w:val="98"/>
              </w:rPr>
              <w:t>64</w:t>
            </w: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20" w:type="dxa"/>
            <w:vAlign w:val="bottom"/>
            <w:shd w:val="clear" w:color="auto" w:fill="CFF0FC"/>
          </w:tcPr>
          <w:p>
            <w:pPr>
              <w:spacing w:after="0"/>
              <w:rPr>
                <w:sz w:val="15"/>
                <w:szCs w:val="15"/>
                <w:color w:val="auto"/>
              </w:rPr>
            </w:pPr>
          </w:p>
        </w:tc>
        <w:tc>
          <w:tcPr>
            <w:tcW w:w="6540" w:type="dxa"/>
            <w:vAlign w:val="bottom"/>
            <w:gridSpan w:val="52"/>
            <w:shd w:val="clear" w:color="auto" w:fill="CFF0FC"/>
          </w:tcPr>
          <w:p>
            <w:pPr>
              <w:spacing w:after="0" w:line="149" w:lineRule="exact"/>
              <w:rPr>
                <w:sz w:val="20"/>
                <w:szCs w:val="20"/>
                <w:color w:val="auto"/>
              </w:rPr>
            </w:pPr>
            <w:r>
              <w:rPr>
                <w:rFonts w:ascii="Calibri" w:cs="Calibri" w:eastAsia="Calibri" w:hAnsi="Calibri"/>
                <w:sz w:val="16"/>
                <w:szCs w:val="16"/>
                <w:color w:val="0000FF"/>
              </w:rPr>
              <w:t>Proposals of Stockholders and Stockholder Nominatons for 2025 Annual Meetng</w:t>
            </w:r>
          </w:p>
        </w:tc>
        <w:tc>
          <w:tcPr>
            <w:tcW w:w="4680" w:type="dxa"/>
            <w:vAlign w:val="bottom"/>
            <w:shd w:val="clear" w:color="auto" w:fill="CFF0FC"/>
          </w:tcPr>
          <w:p>
            <w:pPr>
              <w:jc w:val="center"/>
              <w:ind w:left="3639"/>
              <w:spacing w:after="0" w:line="149" w:lineRule="exact"/>
              <w:rPr>
                <w:sz w:val="20"/>
                <w:szCs w:val="20"/>
                <w:color w:val="auto"/>
              </w:rPr>
            </w:pPr>
            <w:r>
              <w:rPr>
                <w:rFonts w:ascii="Calibri" w:cs="Calibri" w:eastAsia="Calibri" w:hAnsi="Calibri"/>
                <w:sz w:val="16"/>
                <w:szCs w:val="16"/>
                <w:color w:val="auto"/>
                <w:w w:val="98"/>
              </w:rPr>
              <w:t>66</w:t>
            </w:r>
          </w:p>
        </w:tc>
      </w:tr>
      <w:tr>
        <w:trPr>
          <w:trHeight w:val="149"/>
        </w:trPr>
        <w:tc>
          <w:tcPr>
            <w:tcW w:w="20" w:type="dxa"/>
            <w:vAlign w:val="bottom"/>
            <w:tcBorders>
              <w:top w:val="single" w:sz="8" w:color="CFF0FC"/>
            </w:tcBorders>
          </w:tcPr>
          <w:p>
            <w:pPr>
              <w:spacing w:after="0"/>
              <w:rPr>
                <w:sz w:val="12"/>
                <w:szCs w:val="12"/>
                <w:color w:val="auto"/>
              </w:rPr>
            </w:pPr>
          </w:p>
        </w:tc>
        <w:tc>
          <w:tcPr>
            <w:tcW w:w="5360" w:type="dxa"/>
            <w:vAlign w:val="bottom"/>
            <w:tcBorders>
              <w:top w:val="single" w:sz="8" w:color="0000FF"/>
            </w:tcBorders>
            <w:gridSpan w:val="50"/>
          </w:tcPr>
          <w:p>
            <w:pPr>
              <w:spacing w:after="0" w:line="149" w:lineRule="exact"/>
              <w:rPr>
                <w:sz w:val="20"/>
                <w:szCs w:val="20"/>
                <w:color w:val="auto"/>
              </w:rPr>
            </w:pPr>
            <w:r>
              <w:rPr>
                <w:rFonts w:ascii="Calibri" w:cs="Calibri" w:eastAsia="Calibri" w:hAnsi="Calibri"/>
                <w:sz w:val="16"/>
                <w:szCs w:val="16"/>
                <w:color w:val="0000FF"/>
              </w:rPr>
              <w:t>Annual Report and Form 10-K</w:t>
            </w:r>
          </w:p>
        </w:tc>
        <w:tc>
          <w:tcPr>
            <w:tcW w:w="1180" w:type="dxa"/>
            <w:vAlign w:val="bottom"/>
            <w:tcBorders>
              <w:top w:val="single" w:sz="8" w:color="CFF0FC"/>
            </w:tcBorders>
            <w:gridSpan w:val="2"/>
          </w:tcPr>
          <w:p>
            <w:pPr>
              <w:spacing w:after="0"/>
              <w:rPr>
                <w:sz w:val="12"/>
                <w:szCs w:val="12"/>
                <w:color w:val="auto"/>
              </w:rPr>
            </w:pPr>
          </w:p>
        </w:tc>
        <w:tc>
          <w:tcPr>
            <w:tcW w:w="4680" w:type="dxa"/>
            <w:vAlign w:val="bottom"/>
            <w:tcBorders>
              <w:top w:val="single" w:sz="8" w:color="CFF0FC"/>
            </w:tcBorders>
          </w:tcPr>
          <w:p>
            <w:pPr>
              <w:jc w:val="center"/>
              <w:ind w:left="3639"/>
              <w:spacing w:after="0" w:line="149" w:lineRule="exact"/>
              <w:rPr>
                <w:sz w:val="20"/>
                <w:szCs w:val="20"/>
                <w:color w:val="auto"/>
              </w:rPr>
            </w:pPr>
            <w:r>
              <w:rPr>
                <w:rFonts w:ascii="Calibri" w:cs="Calibri" w:eastAsia="Calibri" w:hAnsi="Calibri"/>
                <w:sz w:val="16"/>
                <w:szCs w:val="16"/>
                <w:color w:val="auto"/>
                <w:w w:val="98"/>
              </w:rPr>
              <w:t>67</w:t>
            </w:r>
          </w:p>
        </w:tc>
      </w:tr>
      <w:tr>
        <w:trPr>
          <w:trHeight w:val="34"/>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183"/>
        </w:trPr>
        <w:tc>
          <w:tcPr>
            <w:tcW w:w="6560" w:type="dxa"/>
            <w:vAlign w:val="bottom"/>
            <w:gridSpan w:val="53"/>
            <w:shd w:val="clear" w:color="auto" w:fill="CFF0FC"/>
          </w:tcPr>
          <w:p>
            <w:pPr>
              <w:ind w:left="20"/>
              <w:spacing w:after="0" w:line="149" w:lineRule="exact"/>
              <w:rPr>
                <w:sz w:val="20"/>
                <w:szCs w:val="20"/>
                <w:color w:val="auto"/>
              </w:rPr>
            </w:pPr>
            <w:r>
              <w:rPr>
                <w:rFonts w:ascii="Calibri" w:cs="Calibri" w:eastAsia="Calibri" w:hAnsi="Calibri"/>
                <w:sz w:val="16"/>
                <w:szCs w:val="16"/>
                <w:color w:val="0000FF"/>
              </w:rPr>
              <w:t>Meetng Locaton</w:t>
            </w:r>
          </w:p>
        </w:tc>
        <w:tc>
          <w:tcPr>
            <w:tcW w:w="4680" w:type="dxa"/>
            <w:vAlign w:val="bottom"/>
            <w:shd w:val="clear" w:color="auto" w:fill="CFF0FC"/>
          </w:tcPr>
          <w:p>
            <w:pPr>
              <w:ind w:left="3840"/>
              <w:spacing w:after="0" w:line="149" w:lineRule="exact"/>
              <w:rPr>
                <w:sz w:val="20"/>
                <w:szCs w:val="20"/>
                <w:color w:val="auto"/>
              </w:rPr>
            </w:pPr>
            <w:r>
              <w:rPr>
                <w:rFonts w:ascii="Calibri" w:cs="Calibri" w:eastAsia="Calibri" w:hAnsi="Calibri"/>
                <w:sz w:val="16"/>
                <w:szCs w:val="16"/>
                <w:color w:val="auto"/>
              </w:rPr>
              <w:t>Back Cover</w:t>
            </w:r>
          </w:p>
        </w:tc>
      </w:tr>
      <w:tr>
        <w:trPr>
          <w:trHeight w:val="1195"/>
        </w:trPr>
        <w:tc>
          <w:tcPr>
            <w:tcW w:w="20" w:type="dxa"/>
            <w:vAlign w:val="bottom"/>
            <w:tcBorders>
              <w:top w:val="single" w:sz="8" w:color="CFF0FC"/>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760" w:type="dxa"/>
            <w:vAlign w:val="bottom"/>
            <w:tcBorders>
              <w:top w:val="single" w:sz="8" w:color="CFF0FC"/>
              <w:bottom w:val="single" w:sz="8" w:color="9A9A9A"/>
            </w:tcBorders>
          </w:tcPr>
          <w:p>
            <w:pPr>
              <w:spacing w:after="0"/>
              <w:rPr>
                <w:sz w:val="24"/>
                <w:szCs w:val="24"/>
                <w:color w:val="auto"/>
              </w:rPr>
            </w:pPr>
          </w:p>
        </w:tc>
        <w:tc>
          <w:tcPr>
            <w:tcW w:w="420" w:type="dxa"/>
            <w:vAlign w:val="bottom"/>
            <w:tcBorders>
              <w:top w:val="single" w:sz="8" w:color="CFF0FC"/>
              <w:bottom w:val="single" w:sz="8" w:color="9A9A9A"/>
            </w:tcBorders>
          </w:tcPr>
          <w:p>
            <w:pPr>
              <w:spacing w:after="0"/>
              <w:rPr>
                <w:sz w:val="24"/>
                <w:szCs w:val="24"/>
                <w:color w:val="auto"/>
              </w:rPr>
            </w:pPr>
          </w:p>
        </w:tc>
        <w:tc>
          <w:tcPr>
            <w:tcW w:w="468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 w:name="page4"/>
    <w:bookmarkEnd w:id="3"/>
    <w:p>
      <w:pPr>
        <w:ind w:left="4280"/>
        <w:spacing w:after="0"/>
        <w:rPr>
          <w:sz w:val="20"/>
          <w:szCs w:val="20"/>
          <w:color w:val="auto"/>
        </w:rPr>
      </w:pPr>
      <w:r>
        <w:rPr>
          <w:rFonts w:ascii="Calibri" w:cs="Calibri" w:eastAsia="Calibri" w:hAnsi="Calibri"/>
          <w:sz w:val="29"/>
          <w:szCs w:val="29"/>
          <w:b w:val="1"/>
          <w:bCs w:val="1"/>
          <w:color w:val="auto"/>
        </w:rPr>
        <w:t>D</w:t>
      </w:r>
      <w:r>
        <w:rPr>
          <w:rFonts w:ascii="Calibri" w:cs="Calibri" w:eastAsia="Calibri" w:hAnsi="Calibri"/>
          <w:sz w:val="25"/>
          <w:szCs w:val="25"/>
          <w:b w:val="1"/>
          <w:bCs w:val="1"/>
          <w:color w:val="auto"/>
        </w:rPr>
        <w:t>IODES</w:t>
      </w:r>
      <w:r>
        <w:rPr>
          <w:rFonts w:ascii="Calibri" w:cs="Calibri" w:eastAsia="Calibri" w:hAnsi="Calibri"/>
          <w:sz w:val="29"/>
          <w:szCs w:val="29"/>
          <w:b w:val="1"/>
          <w:bCs w:val="1"/>
          <w:color w:val="auto"/>
        </w:rPr>
        <w:t xml:space="preserve"> I</w:t>
      </w:r>
      <w:r>
        <w:rPr>
          <w:rFonts w:ascii="Calibri" w:cs="Calibri" w:eastAsia="Calibri" w:hAnsi="Calibri"/>
          <w:sz w:val="25"/>
          <w:szCs w:val="25"/>
          <w:b w:val="1"/>
          <w:bCs w:val="1"/>
          <w:color w:val="auto"/>
        </w:rPr>
        <w:t>NCORPORATED</w:t>
      </w:r>
    </w:p>
    <w:p>
      <w:pPr>
        <w:spacing w:after="0" w:line="12" w:lineRule="exact"/>
        <w:rPr>
          <w:sz w:val="20"/>
          <w:szCs w:val="20"/>
          <w:color w:val="auto"/>
        </w:rPr>
      </w:pPr>
    </w:p>
    <w:p>
      <w:pPr>
        <w:ind w:left="4200"/>
        <w:spacing w:after="0"/>
        <w:rPr>
          <w:sz w:val="20"/>
          <w:szCs w:val="20"/>
          <w:color w:val="auto"/>
        </w:rPr>
      </w:pPr>
      <w:r>
        <w:rPr>
          <w:rFonts w:ascii="Calibri" w:cs="Calibri" w:eastAsia="Calibri" w:hAnsi="Calibri"/>
          <w:sz w:val="22"/>
          <w:szCs w:val="22"/>
          <w:b w:val="1"/>
          <w:bCs w:val="1"/>
          <w:color w:val="auto"/>
        </w:rPr>
        <w:t>4949 Hedgcoxe Road, Suite 200</w:t>
      </w:r>
    </w:p>
    <w:p>
      <w:pPr>
        <w:spacing w:after="0" w:line="1" w:lineRule="exact"/>
        <w:rPr>
          <w:sz w:val="20"/>
          <w:szCs w:val="20"/>
          <w:color w:val="auto"/>
        </w:rPr>
      </w:pPr>
    </w:p>
    <w:p>
      <w:pPr>
        <w:ind w:left="4760"/>
        <w:spacing w:after="0"/>
        <w:rPr>
          <w:sz w:val="20"/>
          <w:szCs w:val="20"/>
          <w:color w:val="auto"/>
        </w:rPr>
      </w:pPr>
      <w:r>
        <w:rPr>
          <w:rFonts w:ascii="Calibri" w:cs="Calibri" w:eastAsia="Calibri" w:hAnsi="Calibri"/>
          <w:sz w:val="22"/>
          <w:szCs w:val="22"/>
          <w:b w:val="1"/>
          <w:bCs w:val="1"/>
          <w:color w:val="auto"/>
        </w:rPr>
        <w:t>Plano, Texas 75024</w:t>
      </w:r>
    </w:p>
    <w:p>
      <w:pPr>
        <w:spacing w:after="0" w:line="1" w:lineRule="exact"/>
        <w:rPr>
          <w:sz w:val="20"/>
          <w:szCs w:val="20"/>
          <w:color w:val="auto"/>
        </w:rPr>
      </w:pPr>
    </w:p>
    <w:p>
      <w:pPr>
        <w:ind w:left="4920"/>
        <w:spacing w:after="0"/>
        <w:rPr>
          <w:sz w:val="20"/>
          <w:szCs w:val="20"/>
          <w:color w:val="auto"/>
        </w:rPr>
      </w:pPr>
      <w:r>
        <w:rPr>
          <w:rFonts w:ascii="Calibri" w:cs="Calibri" w:eastAsia="Calibri" w:hAnsi="Calibri"/>
          <w:sz w:val="22"/>
          <w:szCs w:val="22"/>
          <w:b w:val="1"/>
          <w:bCs w:val="1"/>
          <w:color w:val="auto"/>
        </w:rPr>
        <w:t>(972) 987-3900</w:t>
      </w:r>
    </w:p>
    <w:p>
      <w:pPr>
        <w:spacing w:after="0" w:line="148" w:lineRule="exact"/>
        <w:rPr>
          <w:sz w:val="20"/>
          <w:szCs w:val="20"/>
          <w:color w:val="auto"/>
        </w:rPr>
      </w:pPr>
    </w:p>
    <w:p>
      <w:pPr>
        <w:jc w:val="center"/>
        <w:ind w:right="60"/>
        <w:spacing w:after="0"/>
        <w:rPr>
          <w:sz w:val="20"/>
          <w:szCs w:val="20"/>
          <w:color w:val="auto"/>
        </w:rPr>
      </w:pPr>
      <w:r>
        <w:rPr>
          <w:rFonts w:ascii="Calibri" w:cs="Calibri" w:eastAsia="Calibri" w:hAnsi="Calibri"/>
          <w:sz w:val="25"/>
          <w:szCs w:val="25"/>
          <w:b w:val="1"/>
          <w:bCs w:val="1"/>
          <w:color w:val="auto"/>
        </w:rPr>
        <w:t>P</w:t>
      </w:r>
      <w:r>
        <w:rPr>
          <w:rFonts w:ascii="Calibri" w:cs="Calibri" w:eastAsia="Calibri" w:hAnsi="Calibri"/>
          <w:sz w:val="19"/>
          <w:szCs w:val="19"/>
          <w:b w:val="1"/>
          <w:bCs w:val="1"/>
          <w:color w:val="auto"/>
        </w:rPr>
        <w:t>ROXY</w:t>
      </w:r>
      <w:r>
        <w:rPr>
          <w:rFonts w:ascii="Calibri" w:cs="Calibri" w:eastAsia="Calibri" w:hAnsi="Calibri"/>
          <w:sz w:val="25"/>
          <w:szCs w:val="25"/>
          <w:b w:val="1"/>
          <w:bCs w:val="1"/>
          <w:color w:val="auto"/>
        </w:rPr>
        <w:t xml:space="preserve"> S</w:t>
      </w:r>
      <w:r>
        <w:rPr>
          <w:rFonts w:ascii="Calibri" w:cs="Calibri" w:eastAsia="Calibri" w:hAnsi="Calibri"/>
          <w:sz w:val="19"/>
          <w:szCs w:val="19"/>
          <w:b w:val="1"/>
          <w:bCs w:val="1"/>
          <w:color w:val="auto"/>
        </w:rPr>
        <w:t>TATEMENT</w:t>
      </w:r>
    </w:p>
    <w:p>
      <w:pPr>
        <w:spacing w:after="0" w:line="140" w:lineRule="exact"/>
        <w:rPr>
          <w:sz w:val="20"/>
          <w:szCs w:val="20"/>
          <w:color w:val="auto"/>
        </w:rPr>
      </w:pPr>
    </w:p>
    <w:p>
      <w:pPr>
        <w:jc w:val="center"/>
        <w:ind w:right="60"/>
        <w:spacing w:after="0"/>
        <w:rPr>
          <w:sz w:val="20"/>
          <w:szCs w:val="20"/>
          <w:color w:val="auto"/>
        </w:rPr>
      </w:pPr>
      <w:r>
        <w:rPr>
          <w:rFonts w:ascii="Calibri" w:cs="Calibri" w:eastAsia="Calibri" w:hAnsi="Calibri"/>
          <w:sz w:val="25"/>
          <w:szCs w:val="25"/>
          <w:b w:val="1"/>
          <w:bCs w:val="1"/>
          <w:color w:val="auto"/>
        </w:rPr>
        <w:t>A</w:t>
      </w:r>
      <w:r>
        <w:rPr>
          <w:rFonts w:ascii="Calibri" w:cs="Calibri" w:eastAsia="Calibri" w:hAnsi="Calibri"/>
          <w:sz w:val="19"/>
          <w:szCs w:val="19"/>
          <w:b w:val="1"/>
          <w:bCs w:val="1"/>
          <w:color w:val="auto"/>
        </w:rPr>
        <w:t>NNUAL</w:t>
      </w:r>
      <w:r>
        <w:rPr>
          <w:rFonts w:ascii="Calibri" w:cs="Calibri" w:eastAsia="Calibri" w:hAnsi="Calibri"/>
          <w:sz w:val="25"/>
          <w:szCs w:val="25"/>
          <w:b w:val="1"/>
          <w:bCs w:val="1"/>
          <w:color w:val="auto"/>
        </w:rPr>
        <w:t xml:space="preserve"> M</w:t>
      </w:r>
      <w:r>
        <w:rPr>
          <w:rFonts w:ascii="Calibri" w:cs="Calibri" w:eastAsia="Calibri" w:hAnsi="Calibri"/>
          <w:sz w:val="19"/>
          <w:szCs w:val="19"/>
          <w:b w:val="1"/>
          <w:bCs w:val="1"/>
          <w:color w:val="auto"/>
        </w:rPr>
        <w:t>EETING:</w:t>
      </w:r>
      <w:r>
        <w:rPr>
          <w:rFonts w:ascii="Calibri" w:cs="Calibri" w:eastAsia="Calibri" w:hAnsi="Calibri"/>
          <w:sz w:val="25"/>
          <w:szCs w:val="25"/>
          <w:b w:val="1"/>
          <w:bCs w:val="1"/>
          <w:color w:val="auto"/>
        </w:rPr>
        <w:t xml:space="preserve"> May 12, 2025</w:t>
      </w:r>
    </w:p>
    <w:p>
      <w:pPr>
        <w:spacing w:after="0" w:line="88" w:lineRule="exact"/>
        <w:rPr>
          <w:sz w:val="20"/>
          <w:szCs w:val="20"/>
          <w:color w:val="auto"/>
        </w:rPr>
      </w:pPr>
    </w:p>
    <w:p>
      <w:pPr>
        <w:jc w:val="center"/>
        <w:ind w:right="100"/>
        <w:spacing w:after="0"/>
        <w:rPr>
          <w:sz w:val="20"/>
          <w:szCs w:val="20"/>
          <w:color w:val="auto"/>
        </w:rPr>
      </w:pPr>
      <w:r>
        <w:rPr>
          <w:rFonts w:ascii="Calibri" w:cs="Calibri" w:eastAsia="Calibri" w:hAnsi="Calibri"/>
          <w:sz w:val="43"/>
          <w:szCs w:val="43"/>
          <w:color w:val="005CA9"/>
        </w:rPr>
        <w:t>GENERAL INFORMATION</w:t>
      </w:r>
    </w:p>
    <w:p>
      <w:pPr>
        <w:spacing w:after="0" w:line="13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This proxy statement (“Proxy Statement”) is furnished in connecton with the solicitaton of proxies by the Board of Directors (the “Board”) of Diodes Incorporated (the “Company”) for use at the annual meetng (the “Meetng”) of the stockholders of the Company to be held online via live audio webcast at www.proxydocs.com/DIOD on Monday, May 12, 2025, at 6:30 p.m. (Central Time), and at any adjournment or postponement thereof. Only stockholders of record at the close of business on March 20, 2025 (the “Record Date”) are enttled to notce of and to vote by proxy or at the Meetng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MATTERS TO BE CONSIDERED AT THE MEETING</w:t>
      </w:r>
    </w:p>
    <w:p>
      <w:pPr>
        <w:spacing w:after="0" w:line="25" w:lineRule="exact"/>
        <w:rPr>
          <w:sz w:val="20"/>
          <w:szCs w:val="20"/>
          <w:color w:val="auto"/>
        </w:rPr>
      </w:pPr>
    </w:p>
    <w:p>
      <w:pPr>
        <w:spacing w:after="0"/>
        <w:rPr>
          <w:sz w:val="20"/>
          <w:szCs w:val="20"/>
          <w:color w:val="auto"/>
        </w:rPr>
      </w:pPr>
      <w:r>
        <w:rPr>
          <w:rFonts w:ascii="Calibri" w:cs="Calibri" w:eastAsia="Calibri" w:hAnsi="Calibri"/>
          <w:sz w:val="20"/>
          <w:szCs w:val="20"/>
          <w:color w:val="auto"/>
        </w:rPr>
        <w:t>The maters to be considered and voted upon at the Meetng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jc w:val="both"/>
        <w:ind w:left="1020" w:hanging="503"/>
        <w:spacing w:after="0" w:line="236" w:lineRule="auto"/>
        <w:tabs>
          <w:tab w:leader="none" w:pos="10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Electon of Directors. </w:t>
      </w:r>
      <w:r>
        <w:rPr>
          <w:rFonts w:ascii="Calibri" w:cs="Calibri" w:eastAsia="Calibri" w:hAnsi="Calibri"/>
          <w:sz w:val="20"/>
          <w:szCs w:val="20"/>
          <w:color w:val="auto"/>
        </w:rPr>
        <w:t>To elect seven persons to the Board of Directors of the Company, each to serve untl the next annual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meetng of stockholders and untl their respectve successors have been elected and qualifed. The Board of Directors’ nominees are: Elizabeth Bull, Angie Chen Buton, Warren Chen, Robert E. Feiger, Keh-Shew Lu, Huey-Jen (Jenny) Su, and Gary Yu.</w:t>
      </w:r>
    </w:p>
    <w:p>
      <w:pPr>
        <w:spacing w:after="0" w:line="110" w:lineRule="exact"/>
        <w:rPr>
          <w:rFonts w:ascii="Calibri" w:cs="Calibri" w:eastAsia="Calibri" w:hAnsi="Calibri"/>
          <w:sz w:val="20"/>
          <w:szCs w:val="20"/>
          <w:b w:val="1"/>
          <w:bCs w:val="1"/>
          <w:color w:val="auto"/>
        </w:rPr>
      </w:pPr>
    </w:p>
    <w:p>
      <w:pPr>
        <w:ind w:left="1020" w:hanging="503"/>
        <w:spacing w:after="0"/>
        <w:tabs>
          <w:tab w:leader="none" w:pos="10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Approval of Executve Compensaton. </w:t>
      </w:r>
      <w:r>
        <w:rPr>
          <w:rFonts w:ascii="Calibri" w:cs="Calibri" w:eastAsia="Calibri" w:hAnsi="Calibri"/>
          <w:sz w:val="20"/>
          <w:szCs w:val="20"/>
          <w:color w:val="auto"/>
        </w:rPr>
        <w:t>To approve, on an advisory basis, the Company’s executve compensaton.</w:t>
      </w:r>
    </w:p>
    <w:p>
      <w:pPr>
        <w:spacing w:after="0" w:line="116" w:lineRule="exact"/>
        <w:rPr>
          <w:rFonts w:ascii="Calibri" w:cs="Calibri" w:eastAsia="Calibri" w:hAnsi="Calibri"/>
          <w:sz w:val="20"/>
          <w:szCs w:val="20"/>
          <w:b w:val="1"/>
          <w:bCs w:val="1"/>
          <w:color w:val="auto"/>
        </w:rPr>
      </w:pPr>
    </w:p>
    <w:p>
      <w:pPr>
        <w:ind w:left="1020" w:hanging="503"/>
        <w:spacing w:after="0" w:line="234" w:lineRule="auto"/>
        <w:tabs>
          <w:tab w:leader="none" w:pos="10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Ratfcaton of Appointment of Independent Registered Public Accountng Firm. </w:t>
      </w:r>
      <w:r>
        <w:rPr>
          <w:rFonts w:ascii="Calibri" w:cs="Calibri" w:eastAsia="Calibri" w:hAnsi="Calibri"/>
          <w:sz w:val="20"/>
          <w:szCs w:val="20"/>
          <w:color w:val="auto"/>
        </w:rPr>
        <w:t>To ratfy the appointment of Moss Adams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LLP as the Company’s independent registered public accountng frm for the fscal year ending December 31, 2025.</w:t>
      </w:r>
    </w:p>
    <w:p>
      <w:pPr>
        <w:spacing w:after="0" w:line="117" w:lineRule="exact"/>
        <w:rPr>
          <w:rFonts w:ascii="Calibri" w:cs="Calibri" w:eastAsia="Calibri" w:hAnsi="Calibri"/>
          <w:sz w:val="20"/>
          <w:szCs w:val="20"/>
          <w:b w:val="1"/>
          <w:bCs w:val="1"/>
          <w:color w:val="auto"/>
        </w:rPr>
      </w:pPr>
    </w:p>
    <w:p>
      <w:pPr>
        <w:ind w:left="1020" w:right="20" w:hanging="503"/>
        <w:spacing w:after="0" w:line="234" w:lineRule="auto"/>
        <w:tabs>
          <w:tab w:leader="none" w:pos="10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Other Business. </w:t>
      </w:r>
      <w:r>
        <w:rPr>
          <w:rFonts w:ascii="Calibri" w:cs="Calibri" w:eastAsia="Calibri" w:hAnsi="Calibri"/>
          <w:sz w:val="20"/>
          <w:szCs w:val="20"/>
          <w:color w:val="auto"/>
        </w:rPr>
        <w:t>To transact such other business as properly may come before the Meetng or any adjournment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VOTING RECOMMENDATIONS OF THE BOARD</w:t>
      </w:r>
    </w:p>
    <w:p>
      <w:pPr>
        <w:spacing w:after="0" w:line="49"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Our Board recommends that you vote your shares “FOR” each of the nominees to the Board, “FOR” the approval of executve compensaton, and “FOR” the ratfcaton of the appointment of Moss Adams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VOTING SHARES HELD IN “STREET NAME”</w:t>
      </w:r>
    </w:p>
    <w:p>
      <w:pPr>
        <w:spacing w:after="0" w:line="35"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Brokerage frms who are members of the New York Stock Exchange cannot vote your shares held in street name in the electon of directors or on executve compensaton, if you fail to instruct the organizaton how to vote such shares. Therefore, it is very important that you provide instructons on how to vote any shares benefcially owned by you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INTERNET ACCESS TO PROXY MATERIALS</w:t>
      </w:r>
    </w:p>
    <w:p>
      <w:pPr>
        <w:spacing w:after="0" w:line="3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Under rules adopted by the Securites and Exchange Commission (the “SEC”), the Company has elected to provide access to our proxy materials over the Internet at www.proxydocs.com/DIOD. Stockholders will not receive printed copies of the proxy materials unless they have requested us to provide proxy materials in printed form. On or about April 2, 2025, a Notce of Internet Availability of Proxy Materials (the “Notce”) will be frst sent to our stockholders of record and benefcial owners. All stockholders receiving the Notce can request a printed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-757555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color w:val="auto"/>
        </w:rPr>
        <w:t>The Notce provides you with instructons regarding how to:</w:t>
      </w:r>
    </w:p>
    <w:p>
      <w:pPr>
        <w:spacing w:after="0" w:line="120"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View our proxy materials for the Meetng on the Internet;</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Request a printed copy of the proxy materials; and</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Instruct us to send future proxy materials to you by mail or electronically by email on an ongoing basis.</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Choosing to receive future proxy materials by email will save us the cost of printng and mailing documents to you and will reduce the impact of our annual meetngs on the environment. If you choose to receive future proxy materials by email, you will receive an email next year with instructons containing a link to those materials and a link to the proxy votng site. Your electon to receive proxy materials by email will remain in efect untl you terminate it, and it is your responsibility to notfy us of any change to your email address given to us.</w:t>
      </w:r>
    </w:p>
    <w:p>
      <w:pPr>
        <w:spacing w:after="0" w:line="337" w:lineRule="exact"/>
        <w:rPr>
          <w:sz w:val="20"/>
          <w:szCs w:val="20"/>
          <w:color w:val="auto"/>
        </w:rPr>
      </w:pPr>
    </w:p>
    <w:p>
      <w:pPr>
        <w:spacing w:after="0"/>
        <w:rPr>
          <w:sz w:val="20"/>
          <w:szCs w:val="20"/>
          <w:color w:val="auto"/>
        </w:rPr>
      </w:pPr>
      <w:r>
        <w:rPr>
          <w:rFonts w:ascii="Calibri" w:cs="Calibri" w:eastAsia="Calibri" w:hAnsi="Calibri"/>
          <w:sz w:val="20"/>
          <w:szCs w:val="20"/>
          <w:color w:val="auto"/>
        </w:rPr>
        <w:t>The proxy materials include:</w:t>
      </w:r>
    </w:p>
    <w:p>
      <w:pPr>
        <w:spacing w:after="0" w:line="120"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Notce of Annual Meetng of Stockholders;</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This Proxy Statement; and</w:t>
      </w:r>
    </w:p>
    <w:p>
      <w:pPr>
        <w:spacing w:after="0" w:line="130" w:lineRule="exact"/>
        <w:rPr>
          <w:rFonts w:ascii="Times New Roman" w:cs="Times New Roman" w:eastAsia="Times New Roman" w:hAnsi="Times New Roman"/>
          <w:sz w:val="20"/>
          <w:szCs w:val="20"/>
          <w:color w:val="auto"/>
        </w:rPr>
      </w:pPr>
    </w:p>
    <w:p>
      <w:pPr>
        <w:ind w:right="1700" w:firstLine="517"/>
        <w:spacing w:after="0" w:line="335" w:lineRule="auto"/>
        <w:tabs>
          <w:tab w:leader="none" w:pos="1018" w:val="left"/>
        </w:tabs>
        <w:numPr>
          <w:ilvl w:val="0"/>
          <w:numId w:val="9"/>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2024 Annual Report to Stockholders, which includes our audited consolidated fnancial statements. If you request printed copies of the proxy materials by mail, these materials will also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HOW TO VOTE</w:t>
      </w:r>
    </w:p>
    <w:p>
      <w:pPr>
        <w:spacing w:after="0" w:line="3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 xml:space="preserve">Stockholder of Record. </w:t>
      </w:r>
      <w:r>
        <w:rPr>
          <w:rFonts w:ascii="Calibri" w:cs="Calibri" w:eastAsia="Calibri" w:hAnsi="Calibri"/>
          <w:sz w:val="20"/>
          <w:szCs w:val="20"/>
          <w:color w:val="auto"/>
        </w:rPr>
        <w:t>If your shares are registered directly in your name with our transfer agent, Contnental Stock Transfer &amp; Trust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you are considered the stockholder of record with respect to those shares, and the Notce was sent directly to you by the Company. If you are a stockholder of record, you may atend the Meetng and vote in person via the Internet at www.proxydocs.com/DIOD.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 xml:space="preserve">If you do not wish to atend the Meetng and vote online during the Meetng, you may vote by proxy. There are three ways to vote by proxy. You may submit a proxy by telephone by calling (855) 686-4804 and following the instructons provided. You may submit a proxy over the Internet at </w:t>
      </w:r>
      <w:r>
        <w:rPr>
          <w:rFonts w:ascii="Calibri" w:cs="Calibri" w:eastAsia="Calibri" w:hAnsi="Calibri"/>
          <w:sz w:val="20"/>
          <w:szCs w:val="20"/>
          <w:u w:val="single" w:color="auto"/>
          <w:color w:val="auto"/>
        </w:rPr>
        <w:t>www.proxypush.com/diod</w:t>
      </w:r>
      <w:r>
        <w:rPr>
          <w:rFonts w:ascii="Calibri" w:cs="Calibri" w:eastAsia="Calibri" w:hAnsi="Calibri"/>
          <w:sz w:val="20"/>
          <w:szCs w:val="20"/>
          <w:color w:val="auto"/>
        </w:rPr>
        <w:t xml:space="preserve"> by following the instructons provided. If you request and receive a printed copy of the proxy materials by mail, you can submit a proxy by signing and datng the enclosed proxy card and either mailing it in the postage-paid envelope provided to the address stated on the proxy card or transmitng it by facsimile to the Inspector of Electons at (972) 987-3900.</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Telephone and Internet votng facilites for stockholders will be available 24 hours a day and will close at 6:30 p.m. (Central Time) on May 12, 2025. If a proxy is properly submited and is not revoked, the proxy will be voted at the Meetng in accordance with the stockholder’s instructons indicated on the proxy. If no instructons are indicated on the proxy with respect to any mater, the proxy will be voted on such mater as follows: “FOR” the electon of the Board’s nominees, “FOR” the approval of executve compensaton, “FOR” ratfcaton of the appointment of Moss Adams LLP as our independent registered public accountng frm for the fscal year ending December 31, 2025, and in accordance with the recommendatons of the Board as to any other mater that may properly be brought before the Meetng or any adjournment or postponement thereof.</w:t>
      </w:r>
    </w:p>
    <w:p>
      <w:pPr>
        <w:spacing w:after="0" w:line="12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color w:val="auto"/>
        </w:rPr>
        <w:t xml:space="preserve">Benefcial Owner of Shares Held in Street Name. </w:t>
      </w:r>
      <w:r>
        <w:rPr>
          <w:rFonts w:ascii="Calibri" w:cs="Calibri" w:eastAsia="Calibri" w:hAnsi="Calibri"/>
          <w:sz w:val="20"/>
          <w:szCs w:val="20"/>
          <w:color w:val="auto"/>
        </w:rPr>
        <w:t>If your shares are held in an account at a brokerage frm, bank, broker-dealer, or other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similar organizaton, then you are the benefcial owner of shares held in “street name,” and the Notce was forwarded to you by that organizaton. The organizaton holding your shares is considered the stockholder of record for purposes of votng at the Meetng. As a benefcial owner, you have the right to direct that organizaton on how to vote the shares held in your account by following the instructons they provided. If you wish to atend the Meetng and vote during the Meetng in person via the Internet, you must obtain a proxy executed in your favor from the organizaton that holds your shares.</w:t>
      </w:r>
    </w:p>
    <w:p>
      <w:pPr>
        <w:spacing w:after="0" w:line="120"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Even if you plan to atend the Meetng, the Company recommends that you also submit your proxy or votng instructons so that your vote will be counted if you later decide not to atend the Meetng.</w:t>
      </w:r>
    </w:p>
    <w:p>
      <w:pPr>
        <w:spacing w:after="0" w:line="34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 w:name="page6"/>
    <w:bookmarkEnd w:id="5"/>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t>HOW TO CHANGE OR REVOKE YOUR VOTE</w:t>
      </w:r>
    </w:p>
    <w:p>
      <w:pPr>
        <w:spacing w:after="0" w:line="4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You may change your vote at any tme before the vote at the Meetng. If you are a stockholder of record, you may change your vote by submitng a proxy over the Internet or telephone on a later date (only your last Internet or telephone proxy will be counted), or by fling a writen revocaton, or a duly executed proxy card bearing a later date, with the Company’s Secretary at the Meetng or at our ofces located at 4949 Hedgcoxe Road, Suite 200, Plano, Texas 75024 provided that any such writen revocaton or duly executed proxy card bearing a later date must be received at such ofces no later than May 9, 2025. You may also change your vote by atending the Meetng and votng in person via the Internet. Atending the Meetng will not automatcally revoke a previously granted proxy unless you vote at the Meetng or fle a writen revocaton with the Company’s Secretary at or before the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-1064260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If you are a benefcial owner of shares held in street name, you may change your vote by submitng new votng instructons to the brokerage frm, bank, broker-dealer, or other organizaton holding your shares by following the instructons they provided or, if you obtained a proxy in your favor from that organizaton, by atending the Meetng and votng in person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MEETING ADMISSION</w:t>
      </w:r>
    </w:p>
    <w:p>
      <w:pPr>
        <w:spacing w:after="0" w:line="3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This year our Meetng will be a completely virtual meetng, which will be conducted via live audio webcast at www.proxydocs.com/DIOD. You are enttled to partcipate in the Meetng only if you were a holder of the Company's Common Stock at the close of business on March 20, 2025, which is the record date for the Meetng, or if you hold a valid proxy. If you plan to atend the Meetng online you must be registered no later than 5:00 p.m. (Central Time) on May 11, 2025. Upon completng your registraton, you will receive further instructons via email, including your unique links that will allow you access to the Meetng and will also permit you to submit questons prior to the Meetng. Please be sure to follow instructons found on your proxy card and subsequent instructons that will be delivered to you via email. You will be able to partcipate in, and hear others from, any remote locaton that has Internet connectvity. Technical assistance is available as part of the instructons.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-1217295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VOTING RIGHTS</w:t>
      </w:r>
    </w:p>
    <w:p>
      <w:pPr>
        <w:spacing w:after="0" w:line="49"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The authorized capital of the Company consists of (i) 70,000,000 shares of Common Stock, par value $0.66-2/3 per share (“Common Stock”), of which 46,461,002 shares were issued and outstanding on the Record Date, and (ii) 1,000,000 shares of Preferred Stock, par value $1.00 per share (“Preferred Stock”), none of which were issued and outstanding on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 majority of the shares of Common Stock issued and outstanding and enttled to vote at the Meetng, present either in person via the Internet or by proxy, consttutes a quorum for the conduct of business at the Meetng. Votes withheld, abstentons, and “broker non-votes” (as defned below) will be counted for the purpose of determining the presence of a quorum.</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Each stockholder is enttled to one vote, in person via the Internet or by proxy, for each share of Common Stock standing in his or her name on the books of the Company at the close of business on the Record Date on any mater submited to the stockholders, except that in connecton with the electon of directors, each stockholder has the right to cumulate votes. Cumulatve votng enttles a stockholder to give one candidate a number of votes equal to the number of directors to be elected multplied by the number of shares of Common Stock owned by such stockholder, or to distribute such stockholder’s votes on the same principle among as many candidates and in such manner as the stockholder shall desire.</w:t>
      </w:r>
    </w:p>
    <w:p>
      <w:pPr>
        <w:spacing w:after="0" w:line="120"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If you are a stockholder of record and wish to exercise cumulatve votng rights, you must submit a proxy by mail. Your proxy card or ballot must specify how you want to allocate your votes among the nominees. Telephone and Internet votng facilites do not accommodate cumulatve votng. If you hold your shares in street name, contact your brokerage frm, bank, broker-dealer, or other similar organizaton for directons on how to exercise cumulatve votng rights using their votng instructon card, or to request a legal proxy so that you can vote your shares directly. Discretonary authority to cumulate votes is hereby solicited by the Board. If you return a signed proxy card or submit votng instructons in writng without providing instructons about cumulatve votng, or if you submit a proxy by telephone or in person via the Internet, you will confer on the designated Proxyholders named below discretonary authority to exercise cumulatve votng. If they elect to do so, they will be authorized, in their discreton, to cast your votes for some or all of the nominees in the manner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 w:name="page7"/>
    <w:bookmarkEnd w:id="6"/>
    <w:p>
      <w:pPr>
        <w:jc w:val="both"/>
        <w:spacing w:after="0" w:line="305" w:lineRule="auto"/>
        <w:rPr>
          <w:sz w:val="20"/>
          <w:szCs w:val="20"/>
          <w:color w:val="auto"/>
        </w:rPr>
      </w:pPr>
      <w:r>
        <w:rPr>
          <w:rFonts w:ascii="MS PGothic" w:cs="MS PGothic" w:eastAsia="MS PGothic" w:hAnsi="MS PGothic"/>
          <w:sz w:val="20"/>
          <w:szCs w:val="20"/>
          <w:color w:val="auto"/>
        </w:rPr>
        <w:t>recommended by the Board or otherwise in the discreton of the Proxyholders. However, they will not cast any of your votes for a nominee as to whom you have instructed them on your proxy card, votng instructon card or otherwise to withhold a vote. If you do not wish to grant the Proxyholders authority to cumulate your votes in the electon of directors, you must explicitly state that objecton on your proxy card or votng instructon card, as applicable.</w:t>
      </w:r>
    </w:p>
    <w:p>
      <w:pPr>
        <w:spacing w:after="0" w:line="63" w:lineRule="exact"/>
        <w:rPr>
          <w:sz w:val="20"/>
          <w:szCs w:val="20"/>
          <w:color w:val="auto"/>
        </w:rPr>
      </w:pPr>
    </w:p>
    <w:p>
      <w:pPr>
        <w:jc w:val="both"/>
        <w:spacing w:after="0" w:line="296" w:lineRule="auto"/>
        <w:rPr>
          <w:sz w:val="20"/>
          <w:szCs w:val="20"/>
          <w:color w:val="auto"/>
        </w:rPr>
      </w:pPr>
      <w:r>
        <w:rPr>
          <w:rFonts w:ascii="MS PGothic" w:cs="MS PGothic" w:eastAsia="MS PGothic" w:hAnsi="MS PGothic"/>
          <w:sz w:val="20"/>
          <w:szCs w:val="20"/>
          <w:color w:val="auto"/>
        </w:rPr>
        <w:t>For Proposal 1, our Bylaws provide that, in the electon of directors, the candidates receiving the highest number of votes, up to the number of directors to be elected, shall be elected; provided, however, that the Board has adopted a policy requiring that, other than electons in which the number of director nominees exceeds the number of directors to be elected, each nominee will submit a resignaton for consideraton by the Board promptly following the electon if he or she receives a greater number of votes “WITHHELD” than votes “FOR.” Abstentons and broker non‑votes are not considered a vote cast and, therefore, will have no efect with respect to the electon of directors other than to reduce the number of afrmatve votes required to elect a director. “Broker non‑votes” are shares of stock held in record name by brokers or nominees for which instructons have not been received from the benefcial owners or persons enttled to vote and the broker or nominee does not have discretonary votng power under applicable rules or the instrument under which it serves in such capacity. See “Proposal One – Electon of Directors” and “Corporate Governance – Director Resignaton Policy.”</w:t>
      </w:r>
    </w:p>
    <w:p>
      <w:pPr>
        <w:spacing w:after="0" w:line="71" w:lineRule="exact"/>
        <w:rPr>
          <w:sz w:val="20"/>
          <w:szCs w:val="20"/>
          <w:color w:val="auto"/>
        </w:rPr>
      </w:pPr>
    </w:p>
    <w:p>
      <w:pPr>
        <w:jc w:val="both"/>
        <w:spacing w:after="0" w:line="294" w:lineRule="auto"/>
        <w:rPr>
          <w:sz w:val="20"/>
          <w:szCs w:val="20"/>
          <w:color w:val="auto"/>
        </w:rPr>
      </w:pPr>
      <w:r>
        <w:rPr>
          <w:rFonts w:ascii="MS PGothic" w:cs="MS PGothic" w:eastAsia="MS PGothic" w:hAnsi="MS PGothic"/>
          <w:sz w:val="20"/>
          <w:szCs w:val="20"/>
          <w:color w:val="auto"/>
        </w:rPr>
        <w:t>Proposals 2 and 3 require the afrmatve vote of the holders of a majority of the outstanding shares of Common Stock present, in person via the Internet or by proxy, and enttled to vote on the proposal at the Meetng. Abstentons will be included in the number of votes present and enttled to vote on these proposals and, accordingly, will have the efect of a vote “AGAINST” the proposal. Broker non-votes with respect to these proposals will not be counted as shares present and enttled to vote on these proposals and, accordingly, will not have any efect with respect to the approval of these proposals (other than to reduce the number of afrmatve votes required to approve the proposal). The vote with respect to executve compensaton is not binding on the Company, the Board or the Compensaton Commitee of the Board. However, the Board and the Compensaton Commitee will review the result of this vote and take it into consideraton when making future decisions regarding executve compensaton. Although the appointment of Moss Adams LLP as the Company’s independent registered public accountng frm for the fscal year ending December 31, 2025 is not required to be submited to a vote of stockholders, the Audit Commitee believes that it is appropriate as a mater of policy to request that the stockholders ratfy the appointment of the Company’s independent registered public accountng frm. If the stockholders do not ratfy the appointment, which requires the afrmatve vote of a majority of the outstanding shares of Common Stock present, in person via the Internet or by proxy, and enttled to vote on the proposal at the Meetng, the Board will consider the selecton of another independent registered public accountng frm.</w:t>
      </w:r>
    </w:p>
    <w:p>
      <w:pPr>
        <w:spacing w:after="0" w:line="80" w:lineRule="exact"/>
        <w:rPr>
          <w:sz w:val="20"/>
          <w:szCs w:val="20"/>
          <w:color w:val="auto"/>
        </w:rPr>
      </w:pPr>
    </w:p>
    <w:p>
      <w:pPr>
        <w:jc w:val="both"/>
        <w:spacing w:after="0" w:line="301" w:lineRule="auto"/>
        <w:rPr>
          <w:sz w:val="20"/>
          <w:szCs w:val="20"/>
          <w:color w:val="auto"/>
        </w:rPr>
      </w:pPr>
      <w:r>
        <w:rPr>
          <w:rFonts w:ascii="MS PGothic" w:cs="MS PGothic" w:eastAsia="MS PGothic" w:hAnsi="MS PGothic"/>
          <w:sz w:val="20"/>
          <w:szCs w:val="20"/>
          <w:color w:val="auto"/>
        </w:rPr>
        <w:t>Of the shares of Common Stock outstanding on the Record Date, 898,676 shares (or approximately 1.9%) were benefcially owned by directors and executve ofcers of the Company. Each of the directors and executve ofcers have informed the Company that they will vote “FOR” the electon of the Board’s nominees named herein, “FOR” the approval of executve compensaton and “FOR” ratfcaton of the appointment of Moss Adams LLP as the Company’s independent registered public accountng frm for the fscal year ending December 31, 2025.</w:t>
      </w:r>
    </w:p>
    <w:p>
      <w:pPr>
        <w:spacing w:after="0" w:line="69" w:lineRule="exact"/>
        <w:rPr>
          <w:sz w:val="20"/>
          <w:szCs w:val="20"/>
          <w:color w:val="auto"/>
        </w:rPr>
      </w:pPr>
    </w:p>
    <w:p>
      <w:pPr>
        <w:jc w:val="both"/>
        <w:spacing w:after="0" w:line="313" w:lineRule="auto"/>
        <w:rPr>
          <w:sz w:val="20"/>
          <w:szCs w:val="20"/>
          <w:color w:val="auto"/>
        </w:rPr>
      </w:pPr>
      <w:r>
        <w:rPr>
          <w:rFonts w:ascii="MS PGothic" w:cs="MS PGothic" w:eastAsia="MS PGothic" w:hAnsi="MS PGothic"/>
          <w:sz w:val="19"/>
          <w:szCs w:val="19"/>
          <w:color w:val="auto"/>
        </w:rPr>
        <w:t>Organizatons holding Common Stock in “street name” that are members of a stock exchange are required by the rules of the applicable stock exchange to transmit the proxy materials to the benefcial owner of the Common Stock and to solicit votng instructons with respect to the maters submited to the stockholders. If the organizaton has not received instructons from the benefcial owner by the date specifed in the statement accompanying such proxy materials, the organizaton may give or authorize the giving of a proxy to vote the Common Stock in its discreton as to “routne” maters, but not as to “non-routne” maters. When an organizaton is unable to vote a client’s shares on a proposal, the missing votes are referred to as “broker non-votes.” If you hold Common Stock in “street name” and you fail to instruct the organizaton that holds your shares as to how to vote such shares, that organizaton may, in its discreton, vote such Common Stock “FOR” ratfcaton of the appointment of Moss Adams LLP as the Company’s independent registered public accountng frm for the fscal year ending December 31, 2025, which is considered a routne mater, but not with respect to the electon of the nominees to the Board or the advisory vote on executve compensaton, each of which is considered a non-routne mater.</w:t>
      </w:r>
    </w:p>
    <w:p>
      <w:pPr>
        <w:spacing w:after="0" w:line="17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7" w:name="page8"/>
    <w:bookmarkEnd w:id="7"/>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PROCEDURES FOR STOCKHOLDER NOMINATIONS AND PROPOSALS</w:t>
      </w:r>
    </w:p>
    <w:p>
      <w:pPr>
        <w:spacing w:after="0" w:line="4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Under the Company’s Bylaws, any stockholder generally may submit proposals or nominate one or more persons for electon as directors by following the procedures described in this Proxy Statement under “Proposals of Stockholders and Stockholder Nominatons for 2026 Annual Meetng.” No notce of a stockholder proposal or nominaton was tmely received in connecton with the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COST OF PROXY SOLICITATION</w:t>
      </w:r>
    </w:p>
    <w:p>
      <w:pPr>
        <w:spacing w:after="0" w:line="3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This proxy solicitaton is made by the Board, and the Company will bear the costs of this solicitaton, including the expense of preparing, assembling, printng and mailing this Proxy Statement and any other material used in this proxy solicitaton. If it should appear desirable to do so to ensure adequate representaton at the Meetng, ofcers and regular employees may communicate with stockholders of record, benefcial owners, banks, brokerage houses, custodians, nominees, and others by telephone, facsimile transmissions, email, or in person via the Internet to request that the proxies be furnished. No additonal compensaton will be paid for these services to ofcers or employees of the Company. The Company will reimburse banks, brokerage houses, and other custodians, nominees, and fduciaries, for their reasonable expenses in forwarding proxy materials to their principals. The Company has not engaged a proxy solicitor at this tme, but the Board may determine it is necessary to employ an outside frm to assist in the solicitaton process. If so, the Company will pay the proxy solicitor its reasonable and customary fees, estmated not to exceed $25,000 plus reasonable out-of-pocket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-1370330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OTHER BUSINESS</w:t>
      </w:r>
    </w:p>
    <w:p>
      <w:pPr>
        <w:spacing w:after="0" w:line="3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As of the date of this Proxy Statement, the Board knows of no business to be presented for consideraton at the Meetng other than as stated in the Notce of Annual Meetng of Stockholders. However, if any other maters properly come before the Meetng, including a moton to adjourn the Meetng to another tme or place in order to solicit additonal proxies in favor of the recommendatons of the Board, the designated proxyholders, Dr. Keh-Shew Lu, the Company’s Chairman and Chief Executve Ofcer, and Bret Whitmire, the Company’s Chief Financial Ofcer (the “Proxyholders”), will vote the shares represented by the proxies on such maters in accordance with the recommendaton of the Board, and authority to do so is included in the proxy. Such authorizaton includes authority to appoint a substtute nominee or nominees to the Board’s nominees identfed herein where death, illness, or other circumstances arise which prevent any such nominee from serving in such positon and to vote such proxy for such substtute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-1217295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 w:name="page9"/>
    <w:bookmarkEnd w:id="8"/>
    <w:p>
      <w:pPr>
        <w:jc w:val="center"/>
        <w:ind w:right="80"/>
        <w:spacing w:after="0" w:line="238" w:lineRule="auto"/>
        <w:rPr>
          <w:sz w:val="20"/>
          <w:szCs w:val="20"/>
          <w:color w:val="auto"/>
        </w:rPr>
      </w:pPr>
      <w:r>
        <w:rPr>
          <w:rFonts w:ascii="Calibri" w:cs="Calibri" w:eastAsia="Calibri" w:hAnsi="Calibri"/>
          <w:sz w:val="43"/>
          <w:szCs w:val="43"/>
          <w:color w:val="005CA9"/>
        </w:rPr>
        <w:t>SECURITY OWNERSHIP OF CERTAIN BENEFICIAL OWNERS AND MANAGEMENT</w:t>
      </w:r>
    </w:p>
    <w:p>
      <w:pPr>
        <w:spacing w:after="0" w:line="14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following table shows informaton as of the Record Date, unless otherwise indicated, regarding the benefcial ownership of Diodes’ common stock by each person known to Diodes to benefcially own more than 5% of the outstanding shares of Diodes’ common stock based solely on Diodes’ review of flings with the SEC pursuant to Secton 13(d) or 13(g) of the Securites Exchange Act of 1934, as amended (the “Exchange Act”). Persons generally “benefcially own” shares if they have the right to vote or dispose of the shares. More than one person may benefcially own the same shares.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360" w:type="dxa"/>
            <w:vAlign w:val="bottom"/>
            <w:tcBorders>
              <w:top w:val="single" w:sz="8" w:color="005CA9"/>
            </w:tcBorders>
          </w:tcPr>
          <w:p>
            <w:pPr>
              <w:spacing w:after="0"/>
              <w:rPr>
                <w:sz w:val="17"/>
                <w:szCs w:val="17"/>
                <w:color w:val="auto"/>
              </w:rPr>
            </w:pPr>
          </w:p>
        </w:tc>
        <w:tc>
          <w:tcPr>
            <w:tcW w:w="2620" w:type="dxa"/>
            <w:vAlign w:val="bottom"/>
            <w:tcBorders>
              <w:top w:val="single" w:sz="8" w:color="005CA9"/>
            </w:tcBorders>
          </w:tcPr>
          <w:p>
            <w:pPr>
              <w:jc w:val="right"/>
              <w:ind w:right="301"/>
              <w:spacing w:after="0" w:line="199" w:lineRule="exact"/>
              <w:rPr>
                <w:sz w:val="20"/>
                <w:szCs w:val="20"/>
                <w:color w:val="auto"/>
              </w:rPr>
            </w:pPr>
            <w:r>
              <w:rPr>
                <w:rFonts w:ascii="Calibri" w:cs="Calibri" w:eastAsia="Calibri" w:hAnsi="Calibri"/>
                <w:sz w:val="20"/>
                <w:szCs w:val="20"/>
                <w:b w:val="1"/>
                <w:bCs w:val="1"/>
                <w:color w:val="auto"/>
              </w:rPr>
              <w:t>Amount and Nature of</w:t>
            </w:r>
          </w:p>
        </w:tc>
        <w:tc>
          <w:tcPr>
            <w:tcW w:w="2260" w:type="dxa"/>
            <w:vAlign w:val="bottom"/>
            <w:tcBorders>
              <w:top w:val="single" w:sz="8" w:color="005CA9"/>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360" w:type="dxa"/>
            <w:vAlign w:val="bottom"/>
          </w:tcPr>
          <w:p>
            <w:pPr>
              <w:ind w:left="20"/>
              <w:spacing w:after="0"/>
              <w:rPr>
                <w:sz w:val="20"/>
                <w:szCs w:val="20"/>
                <w:color w:val="auto"/>
              </w:rPr>
            </w:pPr>
            <w:r>
              <w:rPr>
                <w:rFonts w:ascii="Calibri" w:cs="Calibri" w:eastAsia="Calibri" w:hAnsi="Calibri"/>
                <w:sz w:val="20"/>
                <w:szCs w:val="20"/>
                <w:b w:val="1"/>
                <w:bCs w:val="1"/>
                <w:color w:val="auto"/>
              </w:rPr>
              <w:t>Name and Address of Benefcial Owner</w:t>
            </w:r>
          </w:p>
        </w:tc>
        <w:tc>
          <w:tcPr>
            <w:tcW w:w="2620" w:type="dxa"/>
            <w:vAlign w:val="bottom"/>
          </w:tcPr>
          <w:p>
            <w:pPr>
              <w:jc w:val="right"/>
              <w:ind w:right="241"/>
              <w:spacing w:after="0" w:line="301" w:lineRule="exact"/>
              <w:rPr>
                <w:sz w:val="20"/>
                <w:szCs w:val="20"/>
                <w:color w:val="auto"/>
              </w:rPr>
            </w:pPr>
            <w:r>
              <w:rPr>
                <w:rFonts w:ascii="Calibri" w:cs="Calibri" w:eastAsia="Calibri" w:hAnsi="Calibri"/>
                <w:sz w:val="20"/>
                <w:szCs w:val="20"/>
                <w:b w:val="1"/>
                <w:bCs w:val="1"/>
                <w:color w:val="auto"/>
              </w:rPr>
              <w:t xml:space="preserve">Benefcial Ownership </w:t>
            </w:r>
            <w:r>
              <w:rPr>
                <w:rFonts w:ascii="Calibri" w:cs="Calibri" w:eastAsia="Calibri" w:hAnsi="Calibri"/>
                <w:sz w:val="26"/>
                <w:szCs w:val="26"/>
                <w:b w:val="1"/>
                <w:bCs w:val="1"/>
                <w:color w:val="auto"/>
                <w:vertAlign w:val="superscript"/>
              </w:rPr>
              <w:t>(1)</w:t>
            </w:r>
          </w:p>
        </w:tc>
        <w:tc>
          <w:tcPr>
            <w:tcW w:w="2260" w:type="dxa"/>
            <w:vAlign w:val="bottom"/>
          </w:tcPr>
          <w:p>
            <w:pPr>
              <w:jc w:val="center"/>
              <w:ind w:left="261"/>
              <w:spacing w:after="0" w:line="301" w:lineRule="exact"/>
              <w:rPr>
                <w:sz w:val="20"/>
                <w:szCs w:val="20"/>
                <w:color w:val="auto"/>
              </w:rPr>
            </w:pPr>
            <w:r>
              <w:rPr>
                <w:rFonts w:ascii="Calibri" w:cs="Calibri" w:eastAsia="Calibri" w:hAnsi="Calibri"/>
                <w:sz w:val="20"/>
                <w:szCs w:val="20"/>
                <w:b w:val="1"/>
                <w:bCs w:val="1"/>
                <w:color w:val="auto"/>
                <w:w w:val="97"/>
              </w:rPr>
              <w:t xml:space="preserve">Percent of Class </w:t>
            </w:r>
            <w:r>
              <w:rPr>
                <w:rFonts w:ascii="Calibri" w:cs="Calibri" w:eastAsia="Calibri" w:hAnsi="Calibri"/>
                <w:sz w:val="26"/>
                <w:szCs w:val="26"/>
                <w:b w:val="1"/>
                <w:bCs w:val="1"/>
                <w:color w:val="auto"/>
                <w:w w:val="97"/>
                <w:vertAlign w:val="superscript"/>
              </w:rPr>
              <w:t>(2)</w:t>
            </w:r>
          </w:p>
        </w:tc>
        <w:tc>
          <w:tcPr>
            <w:tcW w:w="0" w:type="dxa"/>
            <w:vAlign w:val="bottom"/>
          </w:tcPr>
          <w:p>
            <w:pPr>
              <w:spacing w:after="0"/>
              <w:rPr>
                <w:sz w:val="1"/>
                <w:szCs w:val="1"/>
                <w:color w:val="auto"/>
              </w:rPr>
            </w:pPr>
          </w:p>
        </w:tc>
      </w:tr>
      <w:tr>
        <w:trPr>
          <w:trHeight w:val="68"/>
        </w:trPr>
        <w:tc>
          <w:tcPr>
            <w:tcW w:w="6360" w:type="dxa"/>
            <w:vAlign w:val="bottom"/>
            <w:shd w:val="clear" w:color="auto" w:fill="005CA9"/>
          </w:tcPr>
          <w:p>
            <w:pPr>
              <w:spacing w:after="0"/>
              <w:rPr>
                <w:sz w:val="5"/>
                <w:szCs w:val="5"/>
                <w:color w:val="auto"/>
              </w:rPr>
            </w:pPr>
          </w:p>
        </w:tc>
        <w:tc>
          <w:tcPr>
            <w:tcW w:w="2620" w:type="dxa"/>
            <w:vAlign w:val="bottom"/>
            <w:shd w:val="clear" w:color="auto" w:fill="005CA9"/>
          </w:tcPr>
          <w:p>
            <w:pPr>
              <w:spacing w:after="0"/>
              <w:rPr>
                <w:sz w:val="5"/>
                <w:szCs w:val="5"/>
                <w:color w:val="auto"/>
              </w:rPr>
            </w:pPr>
          </w:p>
        </w:tc>
        <w:tc>
          <w:tcPr>
            <w:tcW w:w="2260" w:type="dxa"/>
            <w:vAlign w:val="bottom"/>
            <w:shd w:val="clear" w:color="auto" w:fill="005CA9"/>
          </w:tcPr>
          <w:p>
            <w:pPr>
              <w:jc w:val="right"/>
              <w:ind w:right="1981"/>
              <w:spacing w:after="0" w:line="48" w:lineRule="exact"/>
              <w:rPr>
                <w:sz w:val="20"/>
                <w:szCs w:val="20"/>
                <w:color w:val="auto"/>
              </w:rPr>
            </w:pPr>
            <w:r>
              <w:rPr>
                <w:rFonts w:ascii="Calibri" w:cs="Calibri" w:eastAsia="Calibri" w:hAnsi="Calibri"/>
                <w:sz w:val="4"/>
                <w:szCs w:val="4"/>
                <w:color w:val="auto"/>
              </w:rPr>
              <w:t>(3)</w:t>
            </w:r>
          </w:p>
        </w:tc>
        <w:tc>
          <w:tcPr>
            <w:tcW w:w="0" w:type="dxa"/>
            <w:vAlign w:val="bottom"/>
          </w:tcPr>
          <w:p>
            <w:pPr>
              <w:spacing w:after="0"/>
              <w:rPr>
                <w:sz w:val="1"/>
                <w:szCs w:val="1"/>
                <w:color w:val="auto"/>
              </w:rPr>
            </w:pPr>
          </w:p>
        </w:tc>
      </w:tr>
      <w:tr>
        <w:trPr>
          <w:trHeight w:val="185"/>
        </w:trPr>
        <w:tc>
          <w:tcPr>
            <w:tcW w:w="6360" w:type="dxa"/>
            <w:vAlign w:val="bottom"/>
            <w:shd w:val="clear" w:color="auto" w:fill="CFF0FC"/>
          </w:tcPr>
          <w:p>
            <w:pPr>
              <w:ind w:left="120"/>
              <w:spacing w:after="0" w:line="185" w:lineRule="exact"/>
              <w:rPr>
                <w:sz w:val="20"/>
                <w:szCs w:val="20"/>
                <w:color w:val="auto"/>
              </w:rPr>
            </w:pPr>
            <w:r>
              <w:rPr>
                <w:rFonts w:ascii="Calibri" w:cs="Calibri" w:eastAsia="Calibri" w:hAnsi="Calibri"/>
                <w:sz w:val="20"/>
                <w:szCs w:val="20"/>
                <w:color w:val="auto"/>
              </w:rPr>
              <w:t>BlackRock, Inc. (“BlackRock”)</w:t>
            </w:r>
          </w:p>
        </w:tc>
        <w:tc>
          <w:tcPr>
            <w:tcW w:w="2620" w:type="dxa"/>
            <w:vAlign w:val="bottom"/>
            <w:shd w:val="clear" w:color="auto" w:fill="CFF0FC"/>
          </w:tcPr>
          <w:p>
            <w:pPr>
              <w:jc w:val="right"/>
              <w:spacing w:after="0" w:line="185" w:lineRule="exact"/>
              <w:rPr>
                <w:sz w:val="20"/>
                <w:szCs w:val="20"/>
                <w:color w:val="auto"/>
              </w:rPr>
            </w:pPr>
            <w:r>
              <w:rPr>
                <w:rFonts w:ascii="Calibri" w:cs="Calibri" w:eastAsia="Calibri" w:hAnsi="Calibri"/>
                <w:sz w:val="20"/>
                <w:szCs w:val="20"/>
                <w:color w:val="auto"/>
              </w:rPr>
              <w:t>7,245,208</w:t>
            </w:r>
          </w:p>
        </w:tc>
        <w:tc>
          <w:tcPr>
            <w:tcW w:w="2260" w:type="dxa"/>
            <w:vAlign w:val="bottom"/>
            <w:shd w:val="clear" w:color="auto" w:fill="CFF0FC"/>
          </w:tcPr>
          <w:p>
            <w:pPr>
              <w:jc w:val="center"/>
              <w:ind w:left="261"/>
              <w:spacing w:after="0" w:line="185" w:lineRule="exact"/>
              <w:rPr>
                <w:sz w:val="20"/>
                <w:szCs w:val="20"/>
                <w:color w:val="auto"/>
              </w:rPr>
            </w:pPr>
            <w:r>
              <w:rPr>
                <w:rFonts w:ascii="Calibri" w:cs="Calibri" w:eastAsia="Calibri" w:hAnsi="Calibri"/>
                <w:sz w:val="20"/>
                <w:szCs w:val="20"/>
                <w:color w:val="auto"/>
              </w:rPr>
              <w:t>15.6%</w:t>
            </w:r>
          </w:p>
        </w:tc>
        <w:tc>
          <w:tcPr>
            <w:tcW w:w="0" w:type="dxa"/>
            <w:vAlign w:val="bottom"/>
          </w:tcPr>
          <w:p>
            <w:pPr>
              <w:spacing w:after="0"/>
              <w:rPr>
                <w:sz w:val="1"/>
                <w:szCs w:val="1"/>
                <w:color w:val="auto"/>
              </w:rPr>
            </w:pPr>
          </w:p>
        </w:tc>
      </w:tr>
      <w:tr>
        <w:trPr>
          <w:trHeight w:val="276"/>
        </w:trPr>
        <w:tc>
          <w:tcPr>
            <w:tcW w:w="6360" w:type="dxa"/>
            <w:vAlign w:val="bottom"/>
            <w:shd w:val="clear" w:color="auto" w:fill="CFF0FC"/>
          </w:tcPr>
          <w:p>
            <w:pPr>
              <w:ind w:left="120"/>
              <w:spacing w:after="0" w:line="277" w:lineRule="exact"/>
              <w:rPr>
                <w:sz w:val="20"/>
                <w:szCs w:val="20"/>
                <w:color w:val="auto"/>
              </w:rPr>
            </w:pPr>
            <w:r>
              <w:rPr>
                <w:rFonts w:ascii="Calibri" w:cs="Calibri" w:eastAsia="Calibri" w:hAnsi="Calibri"/>
                <w:sz w:val="20"/>
                <w:szCs w:val="20"/>
                <w:color w:val="auto"/>
              </w:rPr>
              <w:t>55 East 52</w:t>
            </w:r>
            <w:r>
              <w:rPr>
                <w:rFonts w:ascii="Calibri" w:cs="Calibri" w:eastAsia="Calibri" w:hAnsi="Calibri"/>
                <w:sz w:val="26"/>
                <w:szCs w:val="26"/>
                <w:color w:val="auto"/>
                <w:vertAlign w:val="superscript"/>
              </w:rPr>
              <w:t>nd</w:t>
            </w:r>
            <w:r>
              <w:rPr>
                <w:rFonts w:ascii="Calibri" w:cs="Calibri" w:eastAsia="Calibri" w:hAnsi="Calibri"/>
                <w:sz w:val="20"/>
                <w:szCs w:val="20"/>
                <w:color w:val="auto"/>
              </w:rPr>
              <w:t xml:space="preserve"> Street</w:t>
            </w:r>
          </w:p>
        </w:tc>
        <w:tc>
          <w:tcPr>
            <w:tcW w:w="2620" w:type="dxa"/>
            <w:vAlign w:val="bottom"/>
            <w:shd w:val="clear" w:color="auto" w:fill="CFF0FC"/>
          </w:tcPr>
          <w:p>
            <w:pPr>
              <w:spacing w:after="0"/>
              <w:rPr>
                <w:sz w:val="24"/>
                <w:szCs w:val="24"/>
                <w:color w:val="auto"/>
              </w:rPr>
            </w:pPr>
          </w:p>
        </w:tc>
        <w:tc>
          <w:tcPr>
            <w:tcW w:w="22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36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New York, New York 10022</w:t>
            </w:r>
          </w:p>
        </w:tc>
        <w:tc>
          <w:tcPr>
            <w:tcW w:w="2620" w:type="dxa"/>
            <w:vAlign w:val="bottom"/>
            <w:tcBorders>
              <w:bottom w:val="single" w:sz="8" w:color="CFF0FC"/>
            </w:tcBorders>
            <w:shd w:val="clear" w:color="auto" w:fill="CFF0FC"/>
          </w:tcPr>
          <w:p>
            <w:pPr>
              <w:spacing w:after="0"/>
              <w:rPr>
                <w:sz w:val="22"/>
                <w:szCs w:val="22"/>
                <w:color w:val="auto"/>
              </w:rPr>
            </w:pPr>
          </w:p>
        </w:tc>
        <w:tc>
          <w:tcPr>
            <w:tcW w:w="2260" w:type="dxa"/>
            <w:vAlign w:val="bottom"/>
            <w:tcBorders>
              <w:bottom w:val="single" w:sz="8" w:color="CFF0FC"/>
            </w:tcBorders>
            <w:shd w:val="clear" w:color="auto" w:fill="CFF0FC"/>
          </w:tcPr>
          <w:p>
            <w:pPr>
              <w:jc w:val="right"/>
              <w:ind w:right="1981"/>
              <w:spacing w:after="0"/>
              <w:rPr>
                <w:sz w:val="20"/>
                <w:szCs w:val="20"/>
                <w:color w:val="auto"/>
              </w:rPr>
            </w:pPr>
            <w:r>
              <w:rPr>
                <w:rFonts w:ascii="Calibri" w:cs="Calibri" w:eastAsia="Calibri" w:hAnsi="Calibri"/>
                <w:sz w:val="13"/>
                <w:szCs w:val="13"/>
                <w:color w:val="auto"/>
              </w:rPr>
              <w:t>(4)</w:t>
            </w:r>
          </w:p>
        </w:tc>
        <w:tc>
          <w:tcPr>
            <w:tcW w:w="0" w:type="dxa"/>
            <w:vAlign w:val="bottom"/>
          </w:tcPr>
          <w:p>
            <w:pPr>
              <w:spacing w:after="0"/>
              <w:rPr>
                <w:sz w:val="1"/>
                <w:szCs w:val="1"/>
                <w:color w:val="auto"/>
              </w:rPr>
            </w:pPr>
          </w:p>
        </w:tc>
      </w:tr>
      <w:tr>
        <w:trPr>
          <w:trHeight w:val="219"/>
        </w:trPr>
        <w:tc>
          <w:tcPr>
            <w:tcW w:w="6360" w:type="dxa"/>
            <w:vAlign w:val="bottom"/>
          </w:tcPr>
          <w:p>
            <w:pPr>
              <w:ind w:left="120"/>
              <w:spacing w:after="0" w:line="218" w:lineRule="exact"/>
              <w:rPr>
                <w:sz w:val="20"/>
                <w:szCs w:val="20"/>
                <w:color w:val="auto"/>
              </w:rPr>
            </w:pPr>
            <w:r>
              <w:rPr>
                <w:rFonts w:ascii="Calibri" w:cs="Calibri" w:eastAsia="Calibri" w:hAnsi="Calibri"/>
                <w:sz w:val="20"/>
                <w:szCs w:val="20"/>
                <w:color w:val="auto"/>
              </w:rPr>
              <w:t>FMR LLC ("FMR")</w:t>
            </w:r>
          </w:p>
        </w:tc>
        <w:tc>
          <w:tcPr>
            <w:tcW w:w="2620" w:type="dxa"/>
            <w:vAlign w:val="bottom"/>
          </w:tcPr>
          <w:p>
            <w:pPr>
              <w:jc w:val="right"/>
              <w:spacing w:after="0" w:line="218" w:lineRule="exact"/>
              <w:rPr>
                <w:sz w:val="20"/>
                <w:szCs w:val="20"/>
                <w:color w:val="auto"/>
              </w:rPr>
            </w:pPr>
            <w:r>
              <w:rPr>
                <w:rFonts w:ascii="Calibri" w:cs="Calibri" w:eastAsia="Calibri" w:hAnsi="Calibri"/>
                <w:sz w:val="20"/>
                <w:szCs w:val="20"/>
                <w:color w:val="auto"/>
              </w:rPr>
              <w:t>5,785,133</w:t>
            </w:r>
          </w:p>
        </w:tc>
        <w:tc>
          <w:tcPr>
            <w:tcW w:w="2260" w:type="dxa"/>
            <w:vAlign w:val="bottom"/>
          </w:tcPr>
          <w:p>
            <w:pPr>
              <w:jc w:val="center"/>
              <w:ind w:left="261"/>
              <w:spacing w:after="0" w:line="218" w:lineRule="exact"/>
              <w:rPr>
                <w:sz w:val="20"/>
                <w:szCs w:val="20"/>
                <w:color w:val="auto"/>
              </w:rPr>
            </w:pPr>
            <w:r>
              <w:rPr>
                <w:rFonts w:ascii="Calibri" w:cs="Calibri" w:eastAsia="Calibri" w:hAnsi="Calibri"/>
                <w:sz w:val="20"/>
                <w:szCs w:val="20"/>
                <w:color w:val="auto"/>
              </w:rPr>
              <w:t>12.5%</w:t>
            </w:r>
          </w:p>
        </w:tc>
        <w:tc>
          <w:tcPr>
            <w:tcW w:w="0" w:type="dxa"/>
            <w:vAlign w:val="bottom"/>
          </w:tcPr>
          <w:p>
            <w:pPr>
              <w:spacing w:after="0"/>
              <w:rPr>
                <w:sz w:val="1"/>
                <w:szCs w:val="1"/>
                <w:color w:val="auto"/>
              </w:rPr>
            </w:pPr>
          </w:p>
        </w:tc>
      </w:tr>
      <w:tr>
        <w:trPr>
          <w:trHeight w:val="234"/>
        </w:trPr>
        <w:tc>
          <w:tcPr>
            <w:tcW w:w="6360" w:type="dxa"/>
            <w:vAlign w:val="bottom"/>
          </w:tcPr>
          <w:p>
            <w:pPr>
              <w:ind w:left="120"/>
              <w:spacing w:after="0" w:line="234" w:lineRule="exact"/>
              <w:rPr>
                <w:sz w:val="20"/>
                <w:szCs w:val="20"/>
                <w:color w:val="auto"/>
              </w:rPr>
            </w:pPr>
            <w:r>
              <w:rPr>
                <w:rFonts w:ascii="Calibri" w:cs="Calibri" w:eastAsia="Calibri" w:hAnsi="Calibri"/>
                <w:sz w:val="20"/>
                <w:szCs w:val="20"/>
                <w:color w:val="auto"/>
              </w:rPr>
              <w:t>245 Summer Street</w:t>
            </w:r>
          </w:p>
        </w:tc>
        <w:tc>
          <w:tcPr>
            <w:tcW w:w="2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20"/>
              <w:spacing w:after="0" w:line="243" w:lineRule="exact"/>
              <w:rPr>
                <w:sz w:val="20"/>
                <w:szCs w:val="20"/>
                <w:color w:val="auto"/>
              </w:rPr>
            </w:pPr>
            <w:r>
              <w:rPr>
                <w:rFonts w:ascii="Calibri" w:cs="Calibri" w:eastAsia="Calibri" w:hAnsi="Calibri"/>
                <w:sz w:val="20"/>
                <w:szCs w:val="20"/>
                <w:color w:val="auto"/>
              </w:rPr>
              <w:t>Boston, Massachusets 02210</w:t>
            </w:r>
          </w:p>
        </w:tc>
        <w:tc>
          <w:tcPr>
            <w:tcW w:w="2620" w:type="dxa"/>
            <w:vAlign w:val="bottom"/>
          </w:tcPr>
          <w:p>
            <w:pPr>
              <w:spacing w:after="0"/>
              <w:rPr>
                <w:sz w:val="21"/>
                <w:szCs w:val="21"/>
                <w:color w:val="auto"/>
              </w:rPr>
            </w:pPr>
          </w:p>
        </w:tc>
        <w:tc>
          <w:tcPr>
            <w:tcW w:w="2260" w:type="dxa"/>
            <w:vAlign w:val="bottom"/>
            <w:vMerge w:val="restart"/>
          </w:tcPr>
          <w:p>
            <w:pPr>
              <w:jc w:val="right"/>
              <w:ind w:right="1981"/>
              <w:spacing w:after="0"/>
              <w:rPr>
                <w:sz w:val="20"/>
                <w:szCs w:val="20"/>
                <w:color w:val="auto"/>
              </w:rPr>
            </w:pPr>
            <w:r>
              <w:rPr>
                <w:rFonts w:ascii="Calibri" w:cs="Calibri" w:eastAsia="Calibri" w:hAnsi="Calibri"/>
                <w:sz w:val="13"/>
                <w:szCs w:val="13"/>
                <w:color w:val="auto"/>
              </w:rPr>
              <w:t>(5)</w:t>
            </w:r>
          </w:p>
        </w:tc>
        <w:tc>
          <w:tcPr>
            <w:tcW w:w="0" w:type="dxa"/>
            <w:vAlign w:val="bottom"/>
          </w:tcPr>
          <w:p>
            <w:pPr>
              <w:spacing w:after="0"/>
              <w:rPr>
                <w:sz w:val="1"/>
                <w:szCs w:val="1"/>
                <w:color w:val="auto"/>
              </w:rPr>
            </w:pPr>
          </w:p>
        </w:tc>
      </w:tr>
      <w:tr>
        <w:trPr>
          <w:trHeight w:val="33"/>
        </w:trPr>
        <w:tc>
          <w:tcPr>
            <w:tcW w:w="6360" w:type="dxa"/>
            <w:vAlign w:val="bottom"/>
            <w:tcBorders>
              <w:bottom w:val="single" w:sz="8" w:color="005CA9"/>
            </w:tcBorders>
          </w:tcPr>
          <w:p>
            <w:pPr>
              <w:spacing w:after="0"/>
              <w:rPr>
                <w:sz w:val="2"/>
                <w:szCs w:val="2"/>
                <w:color w:val="auto"/>
              </w:rPr>
            </w:pPr>
          </w:p>
        </w:tc>
        <w:tc>
          <w:tcPr>
            <w:tcW w:w="2620" w:type="dxa"/>
            <w:vAlign w:val="bottom"/>
          </w:tcPr>
          <w:p>
            <w:pPr>
              <w:spacing w:after="0"/>
              <w:rPr>
                <w:sz w:val="2"/>
                <w:szCs w:val="2"/>
                <w:color w:val="auto"/>
              </w:rPr>
            </w:pPr>
          </w:p>
        </w:tc>
        <w:tc>
          <w:tcPr>
            <w:tcW w:w="2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360" w:type="dxa"/>
            <w:vAlign w:val="bottom"/>
          </w:tcPr>
          <w:p>
            <w:pPr>
              <w:ind w:left="120"/>
              <w:spacing w:after="0" w:line="228" w:lineRule="exact"/>
              <w:rPr>
                <w:sz w:val="20"/>
                <w:szCs w:val="20"/>
                <w:color w:val="auto"/>
              </w:rPr>
            </w:pPr>
            <w:r>
              <w:rPr>
                <w:rFonts w:ascii="Calibri" w:cs="Calibri" w:eastAsia="Calibri" w:hAnsi="Calibri"/>
                <w:sz w:val="20"/>
                <w:szCs w:val="20"/>
                <w:color w:val="auto"/>
              </w:rPr>
              <w:t>The Vanguard Group (“Vanguard”)</w:t>
            </w:r>
          </w:p>
        </w:tc>
        <w:tc>
          <w:tcPr>
            <w:tcW w:w="2620" w:type="dxa"/>
            <w:vAlign w:val="bottom"/>
          </w:tcPr>
          <w:p>
            <w:pPr>
              <w:jc w:val="right"/>
              <w:spacing w:after="0" w:line="228" w:lineRule="exact"/>
              <w:rPr>
                <w:sz w:val="20"/>
                <w:szCs w:val="20"/>
                <w:color w:val="auto"/>
              </w:rPr>
            </w:pPr>
            <w:r>
              <w:rPr>
                <w:rFonts w:ascii="Calibri" w:cs="Calibri" w:eastAsia="Calibri" w:hAnsi="Calibri"/>
                <w:sz w:val="20"/>
                <w:szCs w:val="20"/>
                <w:color w:val="auto"/>
              </w:rPr>
              <w:t>5,650,727</w:t>
            </w:r>
          </w:p>
        </w:tc>
        <w:tc>
          <w:tcPr>
            <w:tcW w:w="2260" w:type="dxa"/>
            <w:vAlign w:val="bottom"/>
          </w:tcPr>
          <w:p>
            <w:pPr>
              <w:jc w:val="center"/>
              <w:ind w:left="261"/>
              <w:spacing w:after="0" w:line="228" w:lineRule="exact"/>
              <w:rPr>
                <w:sz w:val="20"/>
                <w:szCs w:val="20"/>
                <w:color w:val="auto"/>
              </w:rPr>
            </w:pPr>
            <w:r>
              <w:rPr>
                <w:rFonts w:ascii="Calibri" w:cs="Calibri" w:eastAsia="Calibri" w:hAnsi="Calibri"/>
                <w:sz w:val="20"/>
                <w:szCs w:val="20"/>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-628015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80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ind w:left="120"/>
        <w:spacing w:after="0" w:line="214" w:lineRule="auto"/>
        <w:rPr>
          <w:sz w:val="20"/>
          <w:szCs w:val="20"/>
          <w:color w:val="auto"/>
        </w:rPr>
      </w:pPr>
      <w:r>
        <w:rPr>
          <w:rFonts w:ascii="Calibri" w:cs="Calibri" w:eastAsia="Calibri" w:hAnsi="Calibri"/>
          <w:sz w:val="20"/>
          <w:szCs w:val="20"/>
          <w:color w:val="auto"/>
        </w:rPr>
        <w:t>100 Vanguard Blvd.</w:t>
      </w:r>
    </w:p>
    <w:p>
      <w:pPr>
        <w:ind w:left="120"/>
        <w:spacing w:after="0"/>
        <w:rPr>
          <w:sz w:val="20"/>
          <w:szCs w:val="20"/>
          <w:color w:val="auto"/>
        </w:rPr>
      </w:pPr>
      <w:r>
        <w:rPr>
          <w:rFonts w:ascii="Calibri" w:cs="Calibri" w:eastAsia="Calibri" w:hAnsi="Calibri"/>
          <w:sz w:val="20"/>
          <w:szCs w:val="20"/>
          <w:color w:val="auto"/>
        </w:rPr>
        <w:t>Malvern, Pennsylvania 19355</w:t>
      </w:r>
    </w:p>
    <w:p>
      <w:pPr>
        <w:spacing w:after="0" w:line="139" w:lineRule="exact"/>
        <w:rPr>
          <w:sz w:val="20"/>
          <w:szCs w:val="20"/>
          <w:color w:val="auto"/>
        </w:rPr>
      </w:pPr>
    </w:p>
    <w:p>
      <w:pPr>
        <w:ind w:left="360" w:hanging="202"/>
        <w:spacing w:after="0"/>
        <w:tabs>
          <w:tab w:leader="none" w:pos="36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The named stockholder has sole votng power and investment power with respect to the shares of common stock listed, except as indicated below.</w:t>
      </w:r>
    </w:p>
    <w:p>
      <w:pPr>
        <w:spacing w:after="0" w:line="4" w:lineRule="exact"/>
        <w:rPr>
          <w:rFonts w:ascii="Calibri" w:cs="Calibri" w:eastAsia="Calibri" w:hAnsi="Calibri"/>
          <w:sz w:val="14"/>
          <w:szCs w:val="14"/>
          <w:color w:val="auto"/>
        </w:rPr>
      </w:pPr>
    </w:p>
    <w:p>
      <w:pPr>
        <w:ind w:left="340" w:hanging="190"/>
        <w:spacing w:after="0"/>
        <w:tabs>
          <w:tab w:leader="none" w:pos="34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Based on 46,461,002 shares of common stock outstanding as of the Record Date.</w:t>
      </w:r>
    </w:p>
    <w:p>
      <w:pPr>
        <w:spacing w:after="0" w:line="5" w:lineRule="exact"/>
        <w:rPr>
          <w:rFonts w:ascii="Calibri" w:cs="Calibri" w:eastAsia="Calibri" w:hAnsi="Calibri"/>
          <w:sz w:val="14"/>
          <w:szCs w:val="14"/>
          <w:color w:val="auto"/>
        </w:rPr>
      </w:pPr>
    </w:p>
    <w:p>
      <w:pPr>
        <w:ind w:left="160" w:hanging="10"/>
        <w:spacing w:after="0" w:line="245" w:lineRule="auto"/>
        <w:tabs>
          <w:tab w:leader="none" w:pos="355"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Based solely on informaton provided by BlackRock in Schedule 13G/A fled with the SEC on January 22, 2024, reportng benefcial ownership of the Company’s Common Stock. According to the Schedule 13G/A, BlackRock has sole votng power with respect to 7,152,592 shares and has sole dispositve power with respect to 7,245,208 shares.</w:t>
      </w:r>
    </w:p>
    <w:p>
      <w:pPr>
        <w:spacing w:after="0" w:line="2" w:lineRule="exact"/>
        <w:rPr>
          <w:rFonts w:ascii="Calibri" w:cs="Calibri" w:eastAsia="Calibri" w:hAnsi="Calibri"/>
          <w:sz w:val="14"/>
          <w:szCs w:val="14"/>
          <w:color w:val="auto"/>
        </w:rPr>
      </w:pPr>
    </w:p>
    <w:p>
      <w:pPr>
        <w:ind w:left="160" w:hanging="10"/>
        <w:spacing w:after="0" w:line="245" w:lineRule="auto"/>
        <w:tabs>
          <w:tab w:leader="none" w:pos="355"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Based solely on informaton provided by FMR in Schedule 13G/A fled with the SEC on November 12, 2024, reportng benefcial ownership of the Company’s Common Stock. According to the Schedule 13G/A, FMR has sole votng power with respect to 5,782,454 shares and has sole dispositve power with respect to 5,785,133 shares.</w:t>
      </w:r>
    </w:p>
    <w:p>
      <w:pPr>
        <w:spacing w:after="0" w:line="2" w:lineRule="exact"/>
        <w:rPr>
          <w:rFonts w:ascii="Calibri" w:cs="Calibri" w:eastAsia="Calibri" w:hAnsi="Calibri"/>
          <w:sz w:val="14"/>
          <w:szCs w:val="14"/>
          <w:color w:val="auto"/>
        </w:rPr>
      </w:pPr>
    </w:p>
    <w:p>
      <w:pPr>
        <w:jc w:val="both"/>
        <w:ind w:left="160" w:right="20" w:hanging="10"/>
        <w:spacing w:after="0" w:line="245" w:lineRule="auto"/>
        <w:tabs>
          <w:tab w:leader="none" w:pos="353"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Based solely on informaton provided by Vanguard in Schedule 13G/A fled with the SEC on February 13, 2024, reportng benefcial ownership of the Company’s Common Stock. According to the Schedule 13G/A, Vanguard has shared votng power with respect to 72,143 shares, has sole dispositve power with respect to 5,529,481 shares and has shared dispositve power with respect to 121,246 shares.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9" w:name="page10"/>
    <w:bookmarkEnd w:id="9"/>
    <w:p>
      <w:pPr>
        <w:jc w:val="both"/>
        <w:spacing w:after="0" w:line="236" w:lineRule="auto"/>
        <w:rPr>
          <w:sz w:val="20"/>
          <w:szCs w:val="20"/>
          <w:color w:val="auto"/>
        </w:rPr>
      </w:pPr>
      <w:r>
        <w:rPr>
          <w:rFonts w:ascii="Calibri" w:cs="Calibri" w:eastAsia="Calibri" w:hAnsi="Calibri"/>
          <w:sz w:val="20"/>
          <w:szCs w:val="20"/>
          <w:color w:val="auto"/>
        </w:rPr>
        <w:t>The following table shows informaton as of the Record Date regarding the benefcial ownership of Diodes’ common stock by (i) each director and nominee of the Company, (ii) each named executve ofcer, or NEO of the Company (as defned below), and (iii) all directors, nominees and executve ofcers of the Company as a group.</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40" w:type="dxa"/>
            <w:vAlign w:val="bottom"/>
            <w:tcBorders>
              <w:top w:val="single" w:sz="8" w:color="005CA9"/>
            </w:tcBorders>
          </w:tcPr>
          <w:p>
            <w:pPr>
              <w:spacing w:after="0"/>
              <w:rPr>
                <w:sz w:val="17"/>
                <w:szCs w:val="17"/>
                <w:color w:val="auto"/>
              </w:rPr>
            </w:pPr>
          </w:p>
        </w:tc>
        <w:tc>
          <w:tcPr>
            <w:tcW w:w="1780" w:type="dxa"/>
            <w:vAlign w:val="bottom"/>
            <w:tcBorders>
              <w:top w:val="single" w:sz="8" w:color="005CA9"/>
            </w:tcBorders>
          </w:tcPr>
          <w:p>
            <w:pPr>
              <w:jc w:val="center"/>
              <w:ind w:right="119"/>
              <w:spacing w:after="0"/>
              <w:rPr>
                <w:sz w:val="20"/>
                <w:szCs w:val="20"/>
                <w:color w:val="auto"/>
              </w:rPr>
            </w:pPr>
            <w:r>
              <w:rPr>
                <w:rFonts w:ascii="Calibri" w:cs="Calibri" w:eastAsia="Calibri" w:hAnsi="Calibri"/>
                <w:sz w:val="16"/>
                <w:szCs w:val="16"/>
                <w:b w:val="1"/>
                <w:bCs w:val="1"/>
                <w:color w:val="auto"/>
              </w:rPr>
              <w:t>Common Stock</w:t>
            </w:r>
          </w:p>
        </w:tc>
        <w:tc>
          <w:tcPr>
            <w:tcW w:w="1460" w:type="dxa"/>
            <w:vAlign w:val="bottom"/>
            <w:tcBorders>
              <w:top w:val="single" w:sz="8" w:color="005CA9"/>
            </w:tcBorders>
          </w:tcPr>
          <w:p>
            <w:pPr>
              <w:spacing w:after="0"/>
              <w:rPr>
                <w:sz w:val="17"/>
                <w:szCs w:val="17"/>
                <w:color w:val="auto"/>
              </w:rPr>
            </w:pPr>
          </w:p>
        </w:tc>
        <w:tc>
          <w:tcPr>
            <w:tcW w:w="1800" w:type="dxa"/>
            <w:vAlign w:val="bottom"/>
            <w:tcBorders>
              <w:top w:val="single" w:sz="8" w:color="005CA9"/>
            </w:tcBorders>
          </w:tcPr>
          <w:p>
            <w:pPr>
              <w:spacing w:after="0"/>
              <w:rPr>
                <w:sz w:val="17"/>
                <w:szCs w:val="17"/>
                <w:color w:val="auto"/>
              </w:rPr>
            </w:pPr>
          </w:p>
        </w:tc>
        <w:tc>
          <w:tcPr>
            <w:tcW w:w="640" w:type="dxa"/>
            <w:vAlign w:val="bottom"/>
            <w:tcBorders>
              <w:top w:val="single" w:sz="8" w:color="005CA9"/>
            </w:tcBorders>
          </w:tcPr>
          <w:p>
            <w:pPr>
              <w:spacing w:after="0"/>
              <w:rPr>
                <w:sz w:val="17"/>
                <w:szCs w:val="17"/>
                <w:color w:val="auto"/>
              </w:rPr>
            </w:pPr>
          </w:p>
        </w:tc>
        <w:tc>
          <w:tcPr>
            <w:tcW w:w="1820" w:type="dxa"/>
            <w:vAlign w:val="bottom"/>
            <w:tcBorders>
              <w:top w:val="single" w:sz="8" w:color="005CA9"/>
            </w:tcBorders>
          </w:tcPr>
          <w:p>
            <w:pPr>
              <w:spacing w:after="0"/>
              <w:rPr>
                <w:sz w:val="17"/>
                <w:szCs w:val="17"/>
                <w:color w:val="auto"/>
              </w:rPr>
            </w:pPr>
          </w:p>
        </w:tc>
      </w:tr>
      <w:tr>
        <w:trPr>
          <w:trHeight w:val="193"/>
        </w:trPr>
        <w:tc>
          <w:tcPr>
            <w:tcW w:w="3740" w:type="dxa"/>
            <w:vAlign w:val="bottom"/>
          </w:tcPr>
          <w:p>
            <w:pPr>
              <w:spacing w:after="0"/>
              <w:rPr>
                <w:sz w:val="16"/>
                <w:szCs w:val="16"/>
                <w:color w:val="auto"/>
              </w:rPr>
            </w:pPr>
          </w:p>
        </w:tc>
        <w:tc>
          <w:tcPr>
            <w:tcW w:w="1780" w:type="dxa"/>
            <w:vAlign w:val="bottom"/>
          </w:tcPr>
          <w:p>
            <w:pPr>
              <w:jc w:val="center"/>
              <w:ind w:right="119"/>
              <w:spacing w:after="0" w:line="193" w:lineRule="exact"/>
              <w:rPr>
                <w:sz w:val="20"/>
                <w:szCs w:val="20"/>
                <w:color w:val="auto"/>
              </w:rPr>
            </w:pPr>
            <w:r>
              <w:rPr>
                <w:rFonts w:ascii="Calibri" w:cs="Calibri" w:eastAsia="Calibri" w:hAnsi="Calibri"/>
                <w:sz w:val="16"/>
                <w:szCs w:val="16"/>
                <w:b w:val="1"/>
                <w:bCs w:val="1"/>
                <w:color w:val="auto"/>
              </w:rPr>
              <w:t>Underlying Optons</w:t>
            </w:r>
          </w:p>
        </w:tc>
        <w:tc>
          <w:tcPr>
            <w:tcW w:w="1460" w:type="dxa"/>
            <w:vAlign w:val="bottom"/>
          </w:tcPr>
          <w:p>
            <w:pPr>
              <w:spacing w:after="0"/>
              <w:rPr>
                <w:sz w:val="16"/>
                <w:szCs w:val="16"/>
                <w:color w:val="auto"/>
              </w:rPr>
            </w:pPr>
          </w:p>
        </w:tc>
        <w:tc>
          <w:tcPr>
            <w:tcW w:w="1800" w:type="dxa"/>
            <w:vAlign w:val="bottom"/>
          </w:tcPr>
          <w:p>
            <w:pPr>
              <w:jc w:val="center"/>
              <w:ind w:right="19"/>
              <w:spacing w:after="0" w:line="193" w:lineRule="exact"/>
              <w:rPr>
                <w:sz w:val="20"/>
                <w:szCs w:val="20"/>
                <w:color w:val="auto"/>
              </w:rPr>
            </w:pPr>
            <w:r>
              <w:rPr>
                <w:rFonts w:ascii="Calibri" w:cs="Calibri" w:eastAsia="Calibri" w:hAnsi="Calibri"/>
                <w:sz w:val="16"/>
                <w:szCs w:val="16"/>
                <w:b w:val="1"/>
                <w:bCs w:val="1"/>
                <w:color w:val="auto"/>
              </w:rPr>
              <w:t>Amount and Nature</w:t>
            </w:r>
          </w:p>
        </w:tc>
        <w:tc>
          <w:tcPr>
            <w:tcW w:w="6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3"/>
        </w:trPr>
        <w:tc>
          <w:tcPr>
            <w:tcW w:w="3740" w:type="dxa"/>
            <w:vAlign w:val="bottom"/>
          </w:tcPr>
          <w:p>
            <w:pPr>
              <w:spacing w:after="0"/>
              <w:rPr>
                <w:sz w:val="15"/>
                <w:szCs w:val="15"/>
                <w:color w:val="auto"/>
              </w:rPr>
            </w:pPr>
          </w:p>
        </w:tc>
        <w:tc>
          <w:tcPr>
            <w:tcW w:w="1780" w:type="dxa"/>
            <w:vAlign w:val="bottom"/>
          </w:tcPr>
          <w:p>
            <w:pPr>
              <w:jc w:val="center"/>
              <w:ind w:right="119"/>
              <w:spacing w:after="0" w:line="183" w:lineRule="exact"/>
              <w:rPr>
                <w:sz w:val="20"/>
                <w:szCs w:val="20"/>
                <w:color w:val="auto"/>
              </w:rPr>
            </w:pPr>
            <w:r>
              <w:rPr>
                <w:rFonts w:ascii="Calibri" w:cs="Calibri" w:eastAsia="Calibri" w:hAnsi="Calibri"/>
                <w:sz w:val="16"/>
                <w:szCs w:val="16"/>
                <w:b w:val="1"/>
                <w:bCs w:val="1"/>
                <w:color w:val="auto"/>
              </w:rPr>
              <w:t>or Restricted Stock</w:t>
            </w:r>
          </w:p>
        </w:tc>
        <w:tc>
          <w:tcPr>
            <w:tcW w:w="1460" w:type="dxa"/>
            <w:vAlign w:val="bottom"/>
          </w:tcPr>
          <w:p>
            <w:pPr>
              <w:jc w:val="right"/>
              <w:ind w:right="499"/>
              <w:spacing w:after="0" w:line="183" w:lineRule="exact"/>
              <w:rPr>
                <w:sz w:val="20"/>
                <w:szCs w:val="20"/>
                <w:color w:val="auto"/>
              </w:rPr>
            </w:pPr>
            <w:r>
              <w:rPr>
                <w:rFonts w:ascii="Calibri" w:cs="Calibri" w:eastAsia="Calibri" w:hAnsi="Calibri"/>
                <w:sz w:val="16"/>
                <w:szCs w:val="16"/>
                <w:b w:val="1"/>
                <w:bCs w:val="1"/>
                <w:color w:val="auto"/>
              </w:rPr>
              <w:t>Common</w:t>
            </w:r>
          </w:p>
        </w:tc>
        <w:tc>
          <w:tcPr>
            <w:tcW w:w="1800" w:type="dxa"/>
            <w:vAlign w:val="bottom"/>
          </w:tcPr>
          <w:p>
            <w:pPr>
              <w:jc w:val="center"/>
              <w:ind w:right="39"/>
              <w:spacing w:after="0" w:line="183" w:lineRule="exact"/>
              <w:rPr>
                <w:sz w:val="20"/>
                <w:szCs w:val="20"/>
                <w:color w:val="auto"/>
              </w:rPr>
            </w:pPr>
            <w:r>
              <w:rPr>
                <w:rFonts w:ascii="Calibri" w:cs="Calibri" w:eastAsia="Calibri" w:hAnsi="Calibri"/>
                <w:sz w:val="16"/>
                <w:szCs w:val="16"/>
                <w:b w:val="1"/>
                <w:bCs w:val="1"/>
                <w:color w:val="auto"/>
              </w:rPr>
              <w:t>of Benefcial</w:t>
            </w:r>
          </w:p>
        </w:tc>
        <w:tc>
          <w:tcPr>
            <w:tcW w:w="6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70"/>
        </w:trPr>
        <w:tc>
          <w:tcPr>
            <w:tcW w:w="3740" w:type="dxa"/>
            <w:vAlign w:val="bottom"/>
            <w:tcBorders>
              <w:bottom w:val="single" w:sz="8" w:color="005CA9"/>
            </w:tcBorders>
          </w:tcPr>
          <w:p>
            <w:pPr>
              <w:ind w:left="20"/>
              <w:spacing w:after="0"/>
              <w:rPr>
                <w:sz w:val="20"/>
                <w:szCs w:val="20"/>
                <w:color w:val="auto"/>
              </w:rPr>
            </w:pPr>
            <w:r>
              <w:rPr>
                <w:rFonts w:ascii="Calibri" w:cs="Calibri" w:eastAsia="Calibri" w:hAnsi="Calibri"/>
                <w:sz w:val="16"/>
                <w:szCs w:val="16"/>
                <w:b w:val="1"/>
                <w:bCs w:val="1"/>
                <w:color w:val="auto"/>
              </w:rPr>
              <w:t>Name of Benefcial Owner</w:t>
            </w:r>
          </w:p>
        </w:tc>
        <w:tc>
          <w:tcPr>
            <w:tcW w:w="1780" w:type="dxa"/>
            <w:vAlign w:val="bottom"/>
            <w:tcBorders>
              <w:bottom w:val="single" w:sz="8" w:color="005CA9"/>
            </w:tcBorders>
          </w:tcPr>
          <w:p>
            <w:pPr>
              <w:jc w:val="center"/>
              <w:ind w:right="79"/>
              <w:spacing w:after="0" w:line="249" w:lineRule="exact"/>
              <w:rPr>
                <w:sz w:val="20"/>
                <w:szCs w:val="20"/>
                <w:color w:val="auto"/>
              </w:rPr>
            </w:pPr>
            <w:r>
              <w:rPr>
                <w:rFonts w:ascii="Calibri" w:cs="Calibri" w:eastAsia="Calibri" w:hAnsi="Calibri"/>
                <w:sz w:val="16"/>
                <w:szCs w:val="16"/>
                <w:b w:val="1"/>
                <w:bCs w:val="1"/>
                <w:color w:val="auto"/>
                <w:w w:val="91"/>
              </w:rPr>
              <w:t xml:space="preserve">Units </w:t>
            </w:r>
            <w:r>
              <w:rPr>
                <w:rFonts w:ascii="Calibri" w:cs="Calibri" w:eastAsia="Calibri" w:hAnsi="Calibri"/>
                <w:sz w:val="21"/>
                <w:szCs w:val="21"/>
                <w:b w:val="1"/>
                <w:bCs w:val="1"/>
                <w:color w:val="auto"/>
                <w:w w:val="91"/>
                <w:vertAlign w:val="superscript"/>
              </w:rPr>
              <w:t>(1)</w:t>
            </w:r>
          </w:p>
        </w:tc>
        <w:tc>
          <w:tcPr>
            <w:tcW w:w="1460" w:type="dxa"/>
            <w:vAlign w:val="bottom"/>
            <w:tcBorders>
              <w:bottom w:val="single" w:sz="8" w:color="005CA9"/>
            </w:tcBorders>
          </w:tcPr>
          <w:p>
            <w:pPr>
              <w:jc w:val="right"/>
              <w:ind w:right="599"/>
              <w:spacing w:after="0"/>
              <w:rPr>
                <w:sz w:val="20"/>
                <w:szCs w:val="20"/>
                <w:color w:val="auto"/>
              </w:rPr>
            </w:pPr>
            <w:r>
              <w:rPr>
                <w:rFonts w:ascii="Calibri" w:cs="Calibri" w:eastAsia="Calibri" w:hAnsi="Calibri"/>
                <w:sz w:val="16"/>
                <w:szCs w:val="16"/>
                <w:b w:val="1"/>
                <w:bCs w:val="1"/>
                <w:color w:val="auto"/>
              </w:rPr>
              <w:t>Stock</w:t>
            </w:r>
          </w:p>
        </w:tc>
        <w:tc>
          <w:tcPr>
            <w:tcW w:w="1800" w:type="dxa"/>
            <w:vAlign w:val="bottom"/>
            <w:tcBorders>
              <w:bottom w:val="single" w:sz="8" w:color="005CA9"/>
            </w:tcBorders>
          </w:tcPr>
          <w:p>
            <w:pPr>
              <w:jc w:val="center"/>
              <w:ind w:right="19"/>
              <w:spacing w:after="0" w:line="249" w:lineRule="exact"/>
              <w:rPr>
                <w:sz w:val="20"/>
                <w:szCs w:val="20"/>
                <w:color w:val="auto"/>
              </w:rPr>
            </w:pPr>
            <w:r>
              <w:rPr>
                <w:rFonts w:ascii="Calibri" w:cs="Calibri" w:eastAsia="Calibri" w:hAnsi="Calibri"/>
                <w:sz w:val="16"/>
                <w:szCs w:val="16"/>
                <w:b w:val="1"/>
                <w:bCs w:val="1"/>
                <w:color w:val="auto"/>
                <w:w w:val="97"/>
              </w:rPr>
              <w:t xml:space="preserve">Ownership </w:t>
            </w:r>
            <w:r>
              <w:rPr>
                <w:rFonts w:ascii="Calibri" w:cs="Calibri" w:eastAsia="Calibri" w:hAnsi="Calibri"/>
                <w:sz w:val="21"/>
                <w:szCs w:val="21"/>
                <w:b w:val="1"/>
                <w:bCs w:val="1"/>
                <w:color w:val="auto"/>
                <w:w w:val="97"/>
                <w:vertAlign w:val="superscript"/>
              </w:rPr>
              <w:t>(2)</w:t>
            </w:r>
          </w:p>
        </w:tc>
        <w:tc>
          <w:tcPr>
            <w:tcW w:w="640" w:type="dxa"/>
            <w:vAlign w:val="bottom"/>
            <w:tcBorders>
              <w:bottom w:val="single" w:sz="8" w:color="005CA9"/>
            </w:tcBorders>
          </w:tcPr>
          <w:p>
            <w:pPr>
              <w:spacing w:after="0"/>
              <w:rPr>
                <w:sz w:val="23"/>
                <w:szCs w:val="23"/>
                <w:color w:val="auto"/>
              </w:rPr>
            </w:pPr>
          </w:p>
        </w:tc>
        <w:tc>
          <w:tcPr>
            <w:tcW w:w="1820" w:type="dxa"/>
            <w:vAlign w:val="bottom"/>
            <w:tcBorders>
              <w:bottom w:val="single" w:sz="8" w:color="005CA9"/>
            </w:tcBorders>
          </w:tcPr>
          <w:p>
            <w:pPr>
              <w:jc w:val="right"/>
              <w:ind w:right="219"/>
              <w:spacing w:after="0" w:line="249" w:lineRule="exact"/>
              <w:rPr>
                <w:sz w:val="20"/>
                <w:szCs w:val="20"/>
                <w:color w:val="auto"/>
              </w:rPr>
            </w:pPr>
            <w:r>
              <w:rPr>
                <w:rFonts w:ascii="Calibri" w:cs="Calibri" w:eastAsia="Calibri" w:hAnsi="Calibri"/>
                <w:sz w:val="16"/>
                <w:szCs w:val="16"/>
                <w:b w:val="1"/>
                <w:bCs w:val="1"/>
                <w:color w:val="auto"/>
              </w:rPr>
              <w:t xml:space="preserve">Percent of Class </w:t>
            </w:r>
            <w:r>
              <w:rPr>
                <w:rFonts w:ascii="Calibri" w:cs="Calibri" w:eastAsia="Calibri" w:hAnsi="Calibri"/>
                <w:sz w:val="21"/>
                <w:szCs w:val="21"/>
                <w:b w:val="1"/>
                <w:bCs w:val="1"/>
                <w:color w:val="auto"/>
                <w:vertAlign w:val="superscript"/>
              </w:rPr>
              <w:t>(3) (4)</w:t>
            </w:r>
          </w:p>
        </w:tc>
      </w:tr>
      <w:tr>
        <w:trPr>
          <w:trHeight w:val="203"/>
        </w:trPr>
        <w:tc>
          <w:tcPr>
            <w:tcW w:w="374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Directors and Nominees</w:t>
            </w:r>
          </w:p>
        </w:tc>
        <w:tc>
          <w:tcPr>
            <w:tcW w:w="17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r>
      <w:tr>
        <w:trPr>
          <w:trHeight w:val="182"/>
        </w:trPr>
        <w:tc>
          <w:tcPr>
            <w:tcW w:w="3740" w:type="dxa"/>
            <w:vAlign w:val="bottom"/>
          </w:tcPr>
          <w:p>
            <w:pPr>
              <w:ind w:left="200"/>
              <w:spacing w:after="0" w:line="182" w:lineRule="exact"/>
              <w:rPr>
                <w:sz w:val="20"/>
                <w:szCs w:val="20"/>
                <w:color w:val="auto"/>
              </w:rPr>
            </w:pPr>
            <w:r>
              <w:rPr>
                <w:rFonts w:ascii="Calibri" w:cs="Calibri" w:eastAsia="Calibri" w:hAnsi="Calibri"/>
                <w:sz w:val="16"/>
                <w:szCs w:val="16"/>
                <w:color w:val="auto"/>
              </w:rPr>
              <w:t>Elizabeth Bull</w:t>
            </w:r>
          </w:p>
        </w:tc>
        <w:tc>
          <w:tcPr>
            <w:tcW w:w="1780" w:type="dxa"/>
            <w:vAlign w:val="bottom"/>
          </w:tcPr>
          <w:p>
            <w:pPr>
              <w:jc w:val="right"/>
              <w:ind w:right="179"/>
              <w:spacing w:after="0" w:line="182" w:lineRule="exact"/>
              <w:rPr>
                <w:sz w:val="20"/>
                <w:szCs w:val="20"/>
                <w:color w:val="auto"/>
              </w:rPr>
            </w:pPr>
            <w:r>
              <w:rPr>
                <w:rFonts w:ascii="Calibri" w:cs="Calibri" w:eastAsia="Calibri" w:hAnsi="Calibri"/>
                <w:sz w:val="16"/>
                <w:szCs w:val="16"/>
                <w:color w:val="auto"/>
              </w:rPr>
              <w:t>—</w:t>
            </w:r>
          </w:p>
        </w:tc>
        <w:tc>
          <w:tcPr>
            <w:tcW w:w="1460" w:type="dxa"/>
            <w:vAlign w:val="bottom"/>
          </w:tcPr>
          <w:p>
            <w:pPr>
              <w:jc w:val="right"/>
              <w:ind w:right="79"/>
              <w:spacing w:after="0" w:line="182" w:lineRule="exact"/>
              <w:rPr>
                <w:sz w:val="20"/>
                <w:szCs w:val="20"/>
                <w:color w:val="auto"/>
              </w:rPr>
            </w:pPr>
            <w:r>
              <w:rPr>
                <w:rFonts w:ascii="Calibri" w:cs="Calibri" w:eastAsia="Calibri" w:hAnsi="Calibri"/>
                <w:sz w:val="16"/>
                <w:szCs w:val="16"/>
                <w:color w:val="auto"/>
              </w:rPr>
              <w:t>750</w:t>
            </w:r>
          </w:p>
        </w:tc>
        <w:tc>
          <w:tcPr>
            <w:tcW w:w="1800" w:type="dxa"/>
            <w:vAlign w:val="bottom"/>
          </w:tcPr>
          <w:p>
            <w:pPr>
              <w:jc w:val="right"/>
              <w:spacing w:after="0" w:line="182" w:lineRule="exact"/>
              <w:rPr>
                <w:sz w:val="20"/>
                <w:szCs w:val="20"/>
                <w:color w:val="auto"/>
              </w:rPr>
            </w:pPr>
            <w:r>
              <w:rPr>
                <w:rFonts w:ascii="Calibri" w:cs="Calibri" w:eastAsia="Calibri" w:hAnsi="Calibri"/>
                <w:sz w:val="16"/>
                <w:szCs w:val="16"/>
                <w:color w:val="auto"/>
              </w:rPr>
              <w:t>750</w:t>
            </w:r>
          </w:p>
        </w:tc>
        <w:tc>
          <w:tcPr>
            <w:tcW w:w="640" w:type="dxa"/>
            <w:vAlign w:val="bottom"/>
          </w:tcPr>
          <w:p>
            <w:pPr>
              <w:ind w:left="60"/>
              <w:spacing w:after="0" w:line="128" w:lineRule="exact"/>
              <w:rPr>
                <w:sz w:val="20"/>
                <w:szCs w:val="20"/>
                <w:color w:val="auto"/>
              </w:rPr>
            </w:pPr>
            <w:r>
              <w:rPr>
                <w:rFonts w:ascii="Calibri" w:cs="Calibri" w:eastAsia="Calibri" w:hAnsi="Calibri"/>
                <w:sz w:val="11"/>
                <w:szCs w:val="11"/>
                <w:color w:val="auto"/>
              </w:rPr>
              <w:t>(1)</w:t>
            </w:r>
          </w:p>
        </w:tc>
        <w:tc>
          <w:tcPr>
            <w:tcW w:w="1820" w:type="dxa"/>
            <w:vAlign w:val="bottom"/>
          </w:tcPr>
          <w:p>
            <w:pPr>
              <w:jc w:val="right"/>
              <w:ind w:right="79"/>
              <w:spacing w:after="0" w:line="182" w:lineRule="exact"/>
              <w:rPr>
                <w:sz w:val="20"/>
                <w:szCs w:val="20"/>
                <w:color w:val="auto"/>
              </w:rPr>
            </w:pPr>
            <w:r>
              <w:rPr>
                <w:rFonts w:ascii="Calibri" w:cs="Calibri" w:eastAsia="Calibri" w:hAnsi="Calibri"/>
                <w:sz w:val="16"/>
                <w:szCs w:val="16"/>
                <w:color w:val="auto"/>
              </w:rPr>
              <w:t>*</w:t>
            </w:r>
          </w:p>
        </w:tc>
      </w:tr>
      <w:tr>
        <w:trPr>
          <w:trHeight w:val="175"/>
        </w:trPr>
        <w:tc>
          <w:tcPr>
            <w:tcW w:w="3740" w:type="dxa"/>
            <w:vAlign w:val="bottom"/>
          </w:tcPr>
          <w:p>
            <w:pPr>
              <w:ind w:left="200"/>
              <w:spacing w:after="0" w:line="175" w:lineRule="exact"/>
              <w:rPr>
                <w:sz w:val="20"/>
                <w:szCs w:val="20"/>
                <w:color w:val="auto"/>
              </w:rPr>
            </w:pPr>
            <w:r>
              <w:rPr>
                <w:rFonts w:ascii="Calibri" w:cs="Calibri" w:eastAsia="Calibri" w:hAnsi="Calibri"/>
                <w:sz w:val="16"/>
                <w:szCs w:val="16"/>
                <w:color w:val="auto"/>
              </w:rPr>
              <w:t>Angie Chen Buton</w:t>
            </w:r>
          </w:p>
        </w:tc>
        <w:tc>
          <w:tcPr>
            <w:tcW w:w="1780" w:type="dxa"/>
            <w:vAlign w:val="bottom"/>
          </w:tcPr>
          <w:p>
            <w:pPr>
              <w:jc w:val="right"/>
              <w:ind w:right="179"/>
              <w:spacing w:after="0" w:line="175" w:lineRule="exact"/>
              <w:rPr>
                <w:sz w:val="20"/>
                <w:szCs w:val="20"/>
                <w:color w:val="auto"/>
              </w:rPr>
            </w:pPr>
            <w:r>
              <w:rPr>
                <w:rFonts w:ascii="Calibri" w:cs="Calibri" w:eastAsia="Calibri" w:hAnsi="Calibri"/>
                <w:sz w:val="16"/>
                <w:szCs w:val="16"/>
                <w:color w:val="auto"/>
              </w:rPr>
              <w:t>—</w:t>
            </w:r>
          </w:p>
        </w:tc>
        <w:tc>
          <w:tcPr>
            <w:tcW w:w="1460" w:type="dxa"/>
            <w:vAlign w:val="bottom"/>
          </w:tcPr>
          <w:p>
            <w:pPr>
              <w:jc w:val="right"/>
              <w:ind w:right="79"/>
              <w:spacing w:after="0" w:line="175" w:lineRule="exact"/>
              <w:rPr>
                <w:sz w:val="20"/>
                <w:szCs w:val="20"/>
                <w:color w:val="auto"/>
              </w:rPr>
            </w:pPr>
            <w:r>
              <w:rPr>
                <w:rFonts w:ascii="Calibri" w:cs="Calibri" w:eastAsia="Calibri" w:hAnsi="Calibri"/>
                <w:sz w:val="16"/>
                <w:szCs w:val="16"/>
                <w:color w:val="auto"/>
              </w:rPr>
              <w:t>3,900</w:t>
            </w:r>
          </w:p>
        </w:tc>
        <w:tc>
          <w:tcPr>
            <w:tcW w:w="1800" w:type="dxa"/>
            <w:vAlign w:val="bottom"/>
          </w:tcPr>
          <w:p>
            <w:pPr>
              <w:jc w:val="right"/>
              <w:spacing w:after="0" w:line="175" w:lineRule="exact"/>
              <w:rPr>
                <w:sz w:val="20"/>
                <w:szCs w:val="20"/>
                <w:color w:val="auto"/>
              </w:rPr>
            </w:pPr>
            <w:r>
              <w:rPr>
                <w:rFonts w:ascii="Calibri" w:cs="Calibri" w:eastAsia="Calibri" w:hAnsi="Calibri"/>
                <w:sz w:val="16"/>
                <w:szCs w:val="16"/>
                <w:color w:val="auto"/>
              </w:rPr>
              <w:t>3,900</w:t>
            </w:r>
          </w:p>
        </w:tc>
        <w:tc>
          <w:tcPr>
            <w:tcW w:w="640" w:type="dxa"/>
            <w:vAlign w:val="bottom"/>
          </w:tcPr>
          <w:p>
            <w:pPr>
              <w:ind w:left="60"/>
              <w:spacing w:after="0" w:line="128" w:lineRule="exact"/>
              <w:rPr>
                <w:sz w:val="20"/>
                <w:szCs w:val="20"/>
                <w:color w:val="auto"/>
              </w:rPr>
            </w:pPr>
            <w:r>
              <w:rPr>
                <w:rFonts w:ascii="Calibri" w:cs="Calibri" w:eastAsia="Calibri" w:hAnsi="Calibri"/>
                <w:sz w:val="11"/>
                <w:szCs w:val="11"/>
                <w:color w:val="auto"/>
              </w:rPr>
              <w:t>(1)</w:t>
            </w:r>
          </w:p>
        </w:tc>
        <w:tc>
          <w:tcPr>
            <w:tcW w:w="1820" w:type="dxa"/>
            <w:vAlign w:val="bottom"/>
          </w:tcPr>
          <w:p>
            <w:pPr>
              <w:jc w:val="right"/>
              <w:ind w:right="79"/>
              <w:spacing w:after="0" w:line="175" w:lineRule="exact"/>
              <w:rPr>
                <w:sz w:val="20"/>
                <w:szCs w:val="20"/>
                <w:color w:val="auto"/>
              </w:rPr>
            </w:pPr>
            <w:r>
              <w:rPr>
                <w:rFonts w:ascii="Calibri" w:cs="Calibri" w:eastAsia="Calibri" w:hAnsi="Calibri"/>
                <w:sz w:val="16"/>
                <w:szCs w:val="16"/>
                <w:color w:val="auto"/>
              </w:rPr>
              <w:t>*</w:t>
            </w:r>
          </w:p>
        </w:tc>
      </w:tr>
      <w:tr>
        <w:trPr>
          <w:trHeight w:val="229"/>
        </w:trPr>
        <w:tc>
          <w:tcPr>
            <w:tcW w:w="3740" w:type="dxa"/>
            <w:vAlign w:val="bottom"/>
          </w:tcPr>
          <w:p>
            <w:pPr>
              <w:ind w:left="200"/>
              <w:spacing w:after="0" w:line="229" w:lineRule="exact"/>
              <w:rPr>
                <w:sz w:val="20"/>
                <w:szCs w:val="20"/>
                <w:color w:val="auto"/>
              </w:rPr>
            </w:pPr>
            <w:r>
              <w:rPr>
                <w:rFonts w:ascii="Calibri" w:cs="Calibri" w:eastAsia="Calibri" w:hAnsi="Calibri"/>
                <w:sz w:val="16"/>
                <w:szCs w:val="16"/>
                <w:color w:val="auto"/>
              </w:rPr>
              <w:t xml:space="preserve">Warren Chen </w:t>
            </w:r>
            <w:r>
              <w:rPr>
                <w:rFonts w:ascii="Calibri" w:cs="Calibri" w:eastAsia="Calibri" w:hAnsi="Calibri"/>
                <w:sz w:val="21"/>
                <w:szCs w:val="21"/>
                <w:color w:val="auto"/>
                <w:vertAlign w:val="superscript"/>
              </w:rPr>
              <w:t>(5)</w:t>
            </w:r>
          </w:p>
        </w:tc>
        <w:tc>
          <w:tcPr>
            <w:tcW w:w="178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8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640" w:type="dxa"/>
            <w:vAlign w:val="bottom"/>
          </w:tcPr>
          <w:p>
            <w:pPr>
              <w:ind w:left="60"/>
              <w:spacing w:after="0"/>
              <w:rPr>
                <w:sz w:val="20"/>
                <w:szCs w:val="20"/>
                <w:color w:val="auto"/>
              </w:rPr>
            </w:pPr>
            <w:r>
              <w:rPr>
                <w:rFonts w:ascii="Calibri" w:cs="Calibri" w:eastAsia="Calibri" w:hAnsi="Calibri"/>
                <w:sz w:val="11"/>
                <w:szCs w:val="11"/>
                <w:color w:val="auto"/>
              </w:rPr>
              <w:t>(1)</w:t>
            </w:r>
          </w:p>
        </w:tc>
        <w:tc>
          <w:tcPr>
            <w:tcW w:w="1820" w:type="dxa"/>
            <w:vAlign w:val="bottom"/>
          </w:tcPr>
          <w:p>
            <w:pPr>
              <w:jc w:val="right"/>
              <w:ind w:right="79"/>
              <w:spacing w:after="0"/>
              <w:rPr>
                <w:sz w:val="20"/>
                <w:szCs w:val="20"/>
                <w:color w:val="auto"/>
              </w:rPr>
            </w:pPr>
            <w:r>
              <w:rPr>
                <w:rFonts w:ascii="Calibri" w:cs="Calibri" w:eastAsia="Calibri" w:hAnsi="Calibri"/>
                <w:sz w:val="16"/>
                <w:szCs w:val="16"/>
                <w:color w:val="auto"/>
              </w:rPr>
              <w:t>*</w:t>
            </w:r>
          </w:p>
        </w:tc>
      </w:tr>
      <w:tr>
        <w:trPr>
          <w:trHeight w:val="176"/>
        </w:trPr>
        <w:tc>
          <w:tcPr>
            <w:tcW w:w="3740" w:type="dxa"/>
            <w:vAlign w:val="bottom"/>
          </w:tcPr>
          <w:p>
            <w:pPr>
              <w:ind w:left="200"/>
              <w:spacing w:after="0" w:line="175" w:lineRule="exact"/>
              <w:rPr>
                <w:sz w:val="20"/>
                <w:szCs w:val="20"/>
                <w:color w:val="auto"/>
              </w:rPr>
            </w:pPr>
            <w:r>
              <w:rPr>
                <w:rFonts w:ascii="Calibri" w:cs="Calibri" w:eastAsia="Calibri" w:hAnsi="Calibri"/>
                <w:sz w:val="16"/>
                <w:szCs w:val="16"/>
                <w:color w:val="auto"/>
              </w:rPr>
              <w:t>Robert E. Feiger</w:t>
            </w:r>
          </w:p>
        </w:tc>
        <w:tc>
          <w:tcPr>
            <w:tcW w:w="1780" w:type="dxa"/>
            <w:vAlign w:val="bottom"/>
          </w:tcPr>
          <w:p>
            <w:pPr>
              <w:jc w:val="right"/>
              <w:ind w:right="179"/>
              <w:spacing w:after="0" w:line="175" w:lineRule="exact"/>
              <w:rPr>
                <w:sz w:val="20"/>
                <w:szCs w:val="20"/>
                <w:color w:val="auto"/>
              </w:rPr>
            </w:pPr>
            <w:r>
              <w:rPr>
                <w:rFonts w:ascii="Calibri" w:cs="Calibri" w:eastAsia="Calibri" w:hAnsi="Calibri"/>
                <w:sz w:val="16"/>
                <w:szCs w:val="16"/>
                <w:color w:val="auto"/>
              </w:rPr>
              <w:t>—</w:t>
            </w:r>
          </w:p>
        </w:tc>
        <w:tc>
          <w:tcPr>
            <w:tcW w:w="1460" w:type="dxa"/>
            <w:vAlign w:val="bottom"/>
          </w:tcPr>
          <w:p>
            <w:pPr>
              <w:jc w:val="right"/>
              <w:ind w:right="79"/>
              <w:spacing w:after="0" w:line="175" w:lineRule="exact"/>
              <w:rPr>
                <w:sz w:val="20"/>
                <w:szCs w:val="20"/>
                <w:color w:val="auto"/>
              </w:rPr>
            </w:pPr>
            <w:r>
              <w:rPr>
                <w:rFonts w:ascii="Calibri" w:cs="Calibri" w:eastAsia="Calibri" w:hAnsi="Calibri"/>
                <w:sz w:val="16"/>
                <w:szCs w:val="16"/>
                <w:color w:val="auto"/>
              </w:rPr>
              <w:t>200</w:t>
            </w:r>
          </w:p>
        </w:tc>
        <w:tc>
          <w:tcPr>
            <w:tcW w:w="1800" w:type="dxa"/>
            <w:vAlign w:val="bottom"/>
          </w:tcPr>
          <w:p>
            <w:pPr>
              <w:jc w:val="right"/>
              <w:spacing w:after="0" w:line="175" w:lineRule="exact"/>
              <w:rPr>
                <w:sz w:val="20"/>
                <w:szCs w:val="20"/>
                <w:color w:val="auto"/>
              </w:rPr>
            </w:pPr>
            <w:r>
              <w:rPr>
                <w:rFonts w:ascii="Calibri" w:cs="Calibri" w:eastAsia="Calibri" w:hAnsi="Calibri"/>
                <w:sz w:val="16"/>
                <w:szCs w:val="16"/>
                <w:color w:val="auto"/>
              </w:rPr>
              <w:t>200</w:t>
            </w:r>
          </w:p>
        </w:tc>
        <w:tc>
          <w:tcPr>
            <w:tcW w:w="640" w:type="dxa"/>
            <w:vAlign w:val="bottom"/>
          </w:tcPr>
          <w:p>
            <w:pPr>
              <w:ind w:left="60"/>
              <w:spacing w:after="0" w:line="128" w:lineRule="exact"/>
              <w:rPr>
                <w:sz w:val="20"/>
                <w:szCs w:val="20"/>
                <w:color w:val="auto"/>
              </w:rPr>
            </w:pPr>
            <w:r>
              <w:rPr>
                <w:rFonts w:ascii="Calibri" w:cs="Calibri" w:eastAsia="Calibri" w:hAnsi="Calibri"/>
                <w:sz w:val="11"/>
                <w:szCs w:val="11"/>
                <w:color w:val="auto"/>
              </w:rPr>
              <w:t>(1)</w:t>
            </w:r>
          </w:p>
        </w:tc>
        <w:tc>
          <w:tcPr>
            <w:tcW w:w="1820" w:type="dxa"/>
            <w:vAlign w:val="bottom"/>
          </w:tcPr>
          <w:p>
            <w:pPr>
              <w:jc w:val="right"/>
              <w:ind w:right="79"/>
              <w:spacing w:after="0" w:line="175" w:lineRule="exact"/>
              <w:rPr>
                <w:sz w:val="20"/>
                <w:szCs w:val="20"/>
                <w:color w:val="auto"/>
              </w:rPr>
            </w:pPr>
            <w:r>
              <w:rPr>
                <w:rFonts w:ascii="Calibri" w:cs="Calibri" w:eastAsia="Calibri" w:hAnsi="Calibri"/>
                <w:sz w:val="16"/>
                <w:szCs w:val="16"/>
                <w:color w:val="auto"/>
              </w:rPr>
              <w:t>*</w:t>
            </w:r>
          </w:p>
        </w:tc>
      </w:tr>
      <w:tr>
        <w:trPr>
          <w:trHeight w:val="229"/>
        </w:trPr>
        <w:tc>
          <w:tcPr>
            <w:tcW w:w="3740" w:type="dxa"/>
            <w:vAlign w:val="bottom"/>
          </w:tcPr>
          <w:p>
            <w:pPr>
              <w:ind w:left="200"/>
              <w:spacing w:after="0" w:line="229" w:lineRule="exact"/>
              <w:rPr>
                <w:sz w:val="20"/>
                <w:szCs w:val="20"/>
                <w:color w:val="auto"/>
              </w:rPr>
            </w:pPr>
            <w:r>
              <w:rPr>
                <w:rFonts w:ascii="Calibri" w:cs="Calibri" w:eastAsia="Calibri" w:hAnsi="Calibri"/>
                <w:sz w:val="16"/>
                <w:szCs w:val="16"/>
                <w:color w:val="auto"/>
              </w:rPr>
              <w:t xml:space="preserve">Keh-Shew Lu </w:t>
            </w:r>
            <w:r>
              <w:rPr>
                <w:rFonts w:ascii="Calibri" w:cs="Calibri" w:eastAsia="Calibri" w:hAnsi="Calibri"/>
                <w:sz w:val="21"/>
                <w:szCs w:val="21"/>
                <w:color w:val="auto"/>
                <w:vertAlign w:val="superscript"/>
              </w:rPr>
              <w:t>(6)</w:t>
            </w:r>
          </w:p>
        </w:tc>
        <w:tc>
          <w:tcPr>
            <w:tcW w:w="178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tcPr>
          <w:p>
            <w:pPr>
              <w:jc w:val="right"/>
              <w:ind w:right="79"/>
              <w:spacing w:after="0"/>
              <w:rPr>
                <w:sz w:val="20"/>
                <w:szCs w:val="20"/>
                <w:color w:val="auto"/>
              </w:rPr>
            </w:pPr>
            <w:r>
              <w:rPr>
                <w:rFonts w:ascii="Calibri" w:cs="Calibri" w:eastAsia="Calibri" w:hAnsi="Calibri"/>
                <w:sz w:val="16"/>
                <w:szCs w:val="16"/>
                <w:color w:val="auto"/>
              </w:rPr>
              <w:t>581,774</w:t>
            </w:r>
          </w:p>
        </w:tc>
        <w:tc>
          <w:tcPr>
            <w:tcW w:w="1800" w:type="dxa"/>
            <w:vAlign w:val="bottom"/>
          </w:tcPr>
          <w:p>
            <w:pPr>
              <w:jc w:val="right"/>
              <w:spacing w:after="0"/>
              <w:rPr>
                <w:sz w:val="20"/>
                <w:szCs w:val="20"/>
                <w:color w:val="auto"/>
              </w:rPr>
            </w:pPr>
            <w:r>
              <w:rPr>
                <w:rFonts w:ascii="Calibri" w:cs="Calibri" w:eastAsia="Calibri" w:hAnsi="Calibri"/>
                <w:sz w:val="16"/>
                <w:szCs w:val="16"/>
                <w:color w:val="auto"/>
              </w:rPr>
              <w:t>581,774</w:t>
            </w:r>
          </w:p>
        </w:tc>
        <w:tc>
          <w:tcPr>
            <w:tcW w:w="640" w:type="dxa"/>
            <w:vAlign w:val="bottom"/>
          </w:tcPr>
          <w:p>
            <w:pPr>
              <w:ind w:left="60"/>
              <w:spacing w:after="0"/>
              <w:rPr>
                <w:sz w:val="20"/>
                <w:szCs w:val="20"/>
                <w:color w:val="auto"/>
              </w:rPr>
            </w:pPr>
            <w:r>
              <w:rPr>
                <w:rFonts w:ascii="Calibri" w:cs="Calibri" w:eastAsia="Calibri" w:hAnsi="Calibri"/>
                <w:sz w:val="11"/>
                <w:szCs w:val="11"/>
                <w:color w:val="auto"/>
              </w:rPr>
              <w:t>(1)(9)(10)</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1.3 %</w:t>
            </w:r>
          </w:p>
        </w:tc>
      </w:tr>
      <w:tr>
        <w:trPr>
          <w:trHeight w:val="176"/>
        </w:trPr>
        <w:tc>
          <w:tcPr>
            <w:tcW w:w="3740" w:type="dxa"/>
            <w:vAlign w:val="bottom"/>
          </w:tcPr>
          <w:p>
            <w:pPr>
              <w:ind w:left="200"/>
              <w:spacing w:after="0" w:line="175" w:lineRule="exact"/>
              <w:rPr>
                <w:sz w:val="20"/>
                <w:szCs w:val="20"/>
                <w:color w:val="auto"/>
              </w:rPr>
            </w:pPr>
            <w:r>
              <w:rPr>
                <w:rFonts w:ascii="Calibri" w:cs="Calibri" w:eastAsia="Calibri" w:hAnsi="Calibri"/>
                <w:sz w:val="16"/>
                <w:szCs w:val="16"/>
                <w:color w:val="auto"/>
              </w:rPr>
              <w:t>Huey-Jen (Jenny) Su</w:t>
            </w:r>
          </w:p>
        </w:tc>
        <w:tc>
          <w:tcPr>
            <w:tcW w:w="1780" w:type="dxa"/>
            <w:vAlign w:val="bottom"/>
          </w:tcPr>
          <w:p>
            <w:pPr>
              <w:jc w:val="right"/>
              <w:ind w:right="179"/>
              <w:spacing w:after="0" w:line="175" w:lineRule="exact"/>
              <w:rPr>
                <w:sz w:val="20"/>
                <w:szCs w:val="20"/>
                <w:color w:val="auto"/>
              </w:rPr>
            </w:pPr>
            <w:r>
              <w:rPr>
                <w:rFonts w:ascii="Calibri" w:cs="Calibri" w:eastAsia="Calibri" w:hAnsi="Calibri"/>
                <w:sz w:val="16"/>
                <w:szCs w:val="16"/>
                <w:color w:val="auto"/>
              </w:rPr>
              <w:t>—</w:t>
            </w:r>
          </w:p>
        </w:tc>
        <w:tc>
          <w:tcPr>
            <w:tcW w:w="1460" w:type="dxa"/>
            <w:vAlign w:val="bottom"/>
          </w:tcPr>
          <w:p>
            <w:pPr>
              <w:jc w:val="right"/>
              <w:ind w:right="79"/>
              <w:spacing w:after="0" w:line="175" w:lineRule="exact"/>
              <w:rPr>
                <w:sz w:val="20"/>
                <w:szCs w:val="20"/>
                <w:color w:val="auto"/>
              </w:rPr>
            </w:pPr>
            <w:r>
              <w:rPr>
                <w:rFonts w:ascii="Calibri" w:cs="Calibri" w:eastAsia="Calibri" w:hAnsi="Calibri"/>
                <w:sz w:val="16"/>
                <w:szCs w:val="16"/>
                <w:color w:val="auto"/>
              </w:rPr>
              <w:t>—</w:t>
            </w:r>
          </w:p>
        </w:tc>
        <w:tc>
          <w:tcPr>
            <w:tcW w:w="1800" w:type="dxa"/>
            <w:vAlign w:val="bottom"/>
          </w:tcPr>
          <w:p>
            <w:pPr>
              <w:jc w:val="right"/>
              <w:spacing w:after="0" w:line="175" w:lineRule="exact"/>
              <w:rPr>
                <w:sz w:val="20"/>
                <w:szCs w:val="20"/>
                <w:color w:val="auto"/>
              </w:rPr>
            </w:pPr>
            <w:r>
              <w:rPr>
                <w:rFonts w:ascii="Calibri" w:cs="Calibri" w:eastAsia="Calibri" w:hAnsi="Calibri"/>
                <w:sz w:val="16"/>
                <w:szCs w:val="16"/>
                <w:color w:val="auto"/>
              </w:rPr>
              <w:t>—</w:t>
            </w:r>
          </w:p>
        </w:tc>
        <w:tc>
          <w:tcPr>
            <w:tcW w:w="640" w:type="dxa"/>
            <w:vAlign w:val="bottom"/>
          </w:tcPr>
          <w:p>
            <w:pPr>
              <w:ind w:left="60"/>
              <w:spacing w:after="0" w:line="128" w:lineRule="exact"/>
              <w:rPr>
                <w:sz w:val="20"/>
                <w:szCs w:val="20"/>
                <w:color w:val="auto"/>
              </w:rPr>
            </w:pPr>
            <w:r>
              <w:rPr>
                <w:rFonts w:ascii="Calibri" w:cs="Calibri" w:eastAsia="Calibri" w:hAnsi="Calibri"/>
                <w:sz w:val="11"/>
                <w:szCs w:val="11"/>
                <w:color w:val="auto"/>
              </w:rPr>
              <w:t>(1)</w:t>
            </w:r>
          </w:p>
        </w:tc>
        <w:tc>
          <w:tcPr>
            <w:tcW w:w="1820" w:type="dxa"/>
            <w:vAlign w:val="bottom"/>
          </w:tcPr>
          <w:p>
            <w:pPr>
              <w:jc w:val="right"/>
              <w:ind w:right="79"/>
              <w:spacing w:after="0" w:line="175" w:lineRule="exact"/>
              <w:rPr>
                <w:sz w:val="20"/>
                <w:szCs w:val="20"/>
                <w:color w:val="auto"/>
              </w:rPr>
            </w:pPr>
            <w:r>
              <w:rPr>
                <w:rFonts w:ascii="Calibri" w:cs="Calibri" w:eastAsia="Calibri" w:hAnsi="Calibri"/>
                <w:sz w:val="16"/>
                <w:szCs w:val="16"/>
                <w:color w:val="auto"/>
              </w:rPr>
              <w:t>*</w:t>
            </w:r>
          </w:p>
        </w:tc>
      </w:tr>
      <w:tr>
        <w:trPr>
          <w:trHeight w:val="203"/>
        </w:trPr>
        <w:tc>
          <w:tcPr>
            <w:tcW w:w="3740" w:type="dxa"/>
            <w:vAlign w:val="bottom"/>
          </w:tcPr>
          <w:p>
            <w:pPr>
              <w:ind w:left="200"/>
              <w:spacing w:after="0" w:line="202" w:lineRule="exact"/>
              <w:rPr>
                <w:sz w:val="20"/>
                <w:szCs w:val="20"/>
                <w:color w:val="auto"/>
              </w:rPr>
            </w:pPr>
            <w:r>
              <w:rPr>
                <w:rFonts w:ascii="Calibri" w:cs="Calibri" w:eastAsia="Calibri" w:hAnsi="Calibri"/>
                <w:sz w:val="16"/>
                <w:szCs w:val="16"/>
                <w:color w:val="auto"/>
              </w:rPr>
              <w:t xml:space="preserve">Christna Wen-Chi Sung </w:t>
            </w:r>
            <w:r>
              <w:rPr>
                <w:rFonts w:ascii="Calibri" w:cs="Calibri" w:eastAsia="Calibri" w:hAnsi="Calibri"/>
                <w:sz w:val="21"/>
                <w:szCs w:val="21"/>
                <w:color w:val="auto"/>
                <w:vertAlign w:val="superscript"/>
              </w:rPr>
              <w:t>(7)</w:t>
            </w:r>
          </w:p>
        </w:tc>
        <w:tc>
          <w:tcPr>
            <w:tcW w:w="178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tcPr>
          <w:p>
            <w:pPr>
              <w:jc w:val="right"/>
              <w:ind w:right="79"/>
              <w:spacing w:after="0"/>
              <w:rPr>
                <w:sz w:val="20"/>
                <w:szCs w:val="20"/>
                <w:color w:val="auto"/>
              </w:rPr>
            </w:pPr>
            <w:r>
              <w:rPr>
                <w:rFonts w:ascii="Calibri" w:cs="Calibri" w:eastAsia="Calibri" w:hAnsi="Calibri"/>
                <w:sz w:val="16"/>
                <w:szCs w:val="16"/>
                <w:color w:val="auto"/>
              </w:rPr>
              <w:t>20,100</w:t>
            </w:r>
          </w:p>
        </w:tc>
        <w:tc>
          <w:tcPr>
            <w:tcW w:w="1800" w:type="dxa"/>
            <w:vAlign w:val="bottom"/>
          </w:tcPr>
          <w:p>
            <w:pPr>
              <w:jc w:val="right"/>
              <w:spacing w:after="0"/>
              <w:rPr>
                <w:sz w:val="20"/>
                <w:szCs w:val="20"/>
                <w:color w:val="auto"/>
              </w:rPr>
            </w:pPr>
            <w:r>
              <w:rPr>
                <w:rFonts w:ascii="Calibri" w:cs="Calibri" w:eastAsia="Calibri" w:hAnsi="Calibri"/>
                <w:sz w:val="16"/>
                <w:szCs w:val="16"/>
                <w:color w:val="auto"/>
              </w:rPr>
              <w:t>20,100</w:t>
            </w:r>
          </w:p>
        </w:tc>
        <w:tc>
          <w:tcPr>
            <w:tcW w:w="640" w:type="dxa"/>
            <w:vAlign w:val="bottom"/>
          </w:tcPr>
          <w:p>
            <w:pPr>
              <w:ind w:left="60"/>
              <w:spacing w:after="0"/>
              <w:rPr>
                <w:sz w:val="20"/>
                <w:szCs w:val="20"/>
                <w:color w:val="auto"/>
              </w:rPr>
            </w:pPr>
            <w:r>
              <w:rPr>
                <w:rFonts w:ascii="Calibri" w:cs="Calibri" w:eastAsia="Calibri" w:hAnsi="Calibri"/>
                <w:sz w:val="11"/>
                <w:szCs w:val="11"/>
                <w:color w:val="auto"/>
              </w:rPr>
              <w:t>(1)</w:t>
            </w:r>
          </w:p>
        </w:tc>
        <w:tc>
          <w:tcPr>
            <w:tcW w:w="1820" w:type="dxa"/>
            <w:vAlign w:val="bottom"/>
          </w:tcPr>
          <w:p>
            <w:pPr>
              <w:jc w:val="right"/>
              <w:ind w:right="79"/>
              <w:spacing w:after="0"/>
              <w:rPr>
                <w:sz w:val="20"/>
                <w:szCs w:val="20"/>
                <w:color w:val="auto"/>
              </w:rPr>
            </w:pPr>
            <w:r>
              <w:rPr>
                <w:rFonts w:ascii="Calibri" w:cs="Calibri" w:eastAsia="Calibri" w:hAnsi="Calibri"/>
                <w:sz w:val="16"/>
                <w:szCs w:val="16"/>
                <w:color w:val="auto"/>
              </w:rPr>
              <w:t>*</w:t>
            </w:r>
          </w:p>
        </w:tc>
      </w:tr>
      <w:tr>
        <w:trPr>
          <w:trHeight w:val="250"/>
        </w:trPr>
        <w:tc>
          <w:tcPr>
            <w:tcW w:w="3740" w:type="dxa"/>
            <w:vAlign w:val="bottom"/>
          </w:tcPr>
          <w:p>
            <w:pPr>
              <w:ind w:left="200"/>
              <w:spacing w:after="0" w:line="249" w:lineRule="exact"/>
              <w:rPr>
                <w:sz w:val="20"/>
                <w:szCs w:val="20"/>
                <w:color w:val="auto"/>
              </w:rPr>
            </w:pPr>
            <w:r>
              <w:rPr>
                <w:rFonts w:ascii="Calibri" w:cs="Calibri" w:eastAsia="Calibri" w:hAnsi="Calibri"/>
                <w:sz w:val="16"/>
                <w:szCs w:val="16"/>
                <w:color w:val="auto"/>
              </w:rPr>
              <w:t xml:space="preserve">Gary Yu </w:t>
            </w:r>
            <w:r>
              <w:rPr>
                <w:rFonts w:ascii="Calibri" w:cs="Calibri" w:eastAsia="Calibri" w:hAnsi="Calibri"/>
                <w:sz w:val="21"/>
                <w:szCs w:val="21"/>
                <w:color w:val="auto"/>
                <w:vertAlign w:val="superscript"/>
              </w:rPr>
              <w:t>(8)</w:t>
            </w:r>
          </w:p>
        </w:tc>
        <w:tc>
          <w:tcPr>
            <w:tcW w:w="178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tcPr>
          <w:p>
            <w:pPr>
              <w:jc w:val="right"/>
              <w:ind w:right="79"/>
              <w:spacing w:after="0"/>
              <w:rPr>
                <w:sz w:val="20"/>
                <w:szCs w:val="20"/>
                <w:color w:val="auto"/>
              </w:rPr>
            </w:pPr>
            <w:r>
              <w:rPr>
                <w:rFonts w:ascii="Calibri" w:cs="Calibri" w:eastAsia="Calibri" w:hAnsi="Calibri"/>
                <w:sz w:val="16"/>
                <w:szCs w:val="16"/>
                <w:color w:val="auto"/>
              </w:rPr>
              <w:t>35,947</w:t>
            </w:r>
          </w:p>
        </w:tc>
        <w:tc>
          <w:tcPr>
            <w:tcW w:w="1800" w:type="dxa"/>
            <w:vAlign w:val="bottom"/>
          </w:tcPr>
          <w:p>
            <w:pPr>
              <w:jc w:val="right"/>
              <w:spacing w:after="0"/>
              <w:rPr>
                <w:sz w:val="20"/>
                <w:szCs w:val="20"/>
                <w:color w:val="auto"/>
              </w:rPr>
            </w:pPr>
            <w:r>
              <w:rPr>
                <w:rFonts w:ascii="Calibri" w:cs="Calibri" w:eastAsia="Calibri" w:hAnsi="Calibri"/>
                <w:sz w:val="16"/>
                <w:szCs w:val="16"/>
                <w:color w:val="auto"/>
              </w:rPr>
              <w:t>35,947</w:t>
            </w:r>
          </w:p>
        </w:tc>
        <w:tc>
          <w:tcPr>
            <w:tcW w:w="640" w:type="dxa"/>
            <w:vAlign w:val="bottom"/>
          </w:tcPr>
          <w:p>
            <w:pPr>
              <w:ind w:left="60"/>
              <w:spacing w:after="0"/>
              <w:rPr>
                <w:sz w:val="20"/>
                <w:szCs w:val="20"/>
                <w:color w:val="auto"/>
              </w:rPr>
            </w:pPr>
            <w:r>
              <w:rPr>
                <w:rFonts w:ascii="Calibri" w:cs="Calibri" w:eastAsia="Calibri" w:hAnsi="Calibri"/>
                <w:sz w:val="11"/>
                <w:szCs w:val="11"/>
                <w:color w:val="auto"/>
              </w:rPr>
              <w:t>(1)(10)</w:t>
            </w:r>
          </w:p>
        </w:tc>
        <w:tc>
          <w:tcPr>
            <w:tcW w:w="1820" w:type="dxa"/>
            <w:vAlign w:val="bottom"/>
          </w:tcPr>
          <w:p>
            <w:pPr>
              <w:jc w:val="right"/>
              <w:ind w:right="79"/>
              <w:spacing w:after="0"/>
              <w:rPr>
                <w:sz w:val="20"/>
                <w:szCs w:val="20"/>
                <w:color w:val="auto"/>
              </w:rPr>
            </w:pPr>
            <w:r>
              <w:rPr>
                <w:rFonts w:ascii="Calibri" w:cs="Calibri" w:eastAsia="Calibri" w:hAnsi="Calibri"/>
                <w:sz w:val="16"/>
                <w:szCs w:val="16"/>
                <w:color w:val="auto"/>
              </w:rPr>
              <w:t>*</w:t>
            </w:r>
          </w:p>
        </w:tc>
      </w:tr>
      <w:tr>
        <w:trPr>
          <w:trHeight w:val="198"/>
        </w:trPr>
        <w:tc>
          <w:tcPr>
            <w:tcW w:w="374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Named Executve Ofcers</w:t>
            </w: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7"/>
        </w:trPr>
        <w:tc>
          <w:tcPr>
            <w:tcW w:w="37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Bret R. Whitmire</w:t>
            </w:r>
          </w:p>
        </w:tc>
        <w:tc>
          <w:tcPr>
            <w:tcW w:w="1780" w:type="dxa"/>
            <w:vAlign w:val="bottom"/>
            <w:shd w:val="clear" w:color="auto" w:fill="CFF0FC"/>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shd w:val="clear" w:color="auto" w:fill="CFF0FC"/>
          </w:tcPr>
          <w:p>
            <w:pPr>
              <w:jc w:val="right"/>
              <w:ind w:right="79"/>
              <w:spacing w:after="0"/>
              <w:rPr>
                <w:sz w:val="20"/>
                <w:szCs w:val="20"/>
                <w:color w:val="auto"/>
              </w:rPr>
            </w:pPr>
            <w:r>
              <w:rPr>
                <w:rFonts w:ascii="Calibri" w:cs="Calibri" w:eastAsia="Calibri" w:hAnsi="Calibri"/>
                <w:sz w:val="16"/>
                <w:szCs w:val="16"/>
                <w:color w:val="auto"/>
              </w:rPr>
              <w:t>53,052</w:t>
            </w:r>
          </w:p>
        </w:tc>
        <w:tc>
          <w:tcPr>
            <w:tcW w:w="18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53,052</w:t>
            </w:r>
          </w:p>
        </w:tc>
        <w:tc>
          <w:tcPr>
            <w:tcW w:w="640" w:type="dxa"/>
            <w:vAlign w:val="bottom"/>
            <w:shd w:val="clear" w:color="auto" w:fill="CFF0FC"/>
          </w:tcPr>
          <w:p>
            <w:pPr>
              <w:ind w:left="60"/>
              <w:spacing w:after="0" w:line="133" w:lineRule="exact"/>
              <w:rPr>
                <w:sz w:val="20"/>
                <w:szCs w:val="20"/>
                <w:color w:val="auto"/>
              </w:rPr>
            </w:pPr>
            <w:r>
              <w:rPr>
                <w:rFonts w:ascii="Calibri" w:cs="Calibri" w:eastAsia="Calibri" w:hAnsi="Calibri"/>
                <w:sz w:val="11"/>
                <w:szCs w:val="11"/>
                <w:color w:val="auto"/>
              </w:rPr>
              <w:t>(1)(10)</w:t>
            </w:r>
          </w:p>
        </w:tc>
        <w:tc>
          <w:tcPr>
            <w:tcW w:w="1820" w:type="dxa"/>
            <w:vAlign w:val="bottom"/>
            <w:shd w:val="clear" w:color="auto" w:fill="CFF0FC"/>
          </w:tcPr>
          <w:p>
            <w:pPr>
              <w:jc w:val="right"/>
              <w:ind w:right="79"/>
              <w:spacing w:after="0"/>
              <w:rPr>
                <w:sz w:val="20"/>
                <w:szCs w:val="20"/>
                <w:color w:val="auto"/>
              </w:rPr>
            </w:pPr>
            <w:r>
              <w:rPr>
                <w:rFonts w:ascii="Calibri" w:cs="Calibri" w:eastAsia="Calibri" w:hAnsi="Calibri"/>
                <w:sz w:val="16"/>
                <w:szCs w:val="16"/>
                <w:color w:val="auto"/>
              </w:rPr>
              <w:t>*</w:t>
            </w:r>
          </w:p>
        </w:tc>
      </w:tr>
      <w:tr>
        <w:trPr>
          <w:trHeight w:val="198"/>
        </w:trPr>
        <w:tc>
          <w:tcPr>
            <w:tcW w:w="3740" w:type="dxa"/>
            <w:vAlign w:val="bottom"/>
          </w:tcPr>
          <w:p>
            <w:pPr>
              <w:ind w:left="200"/>
              <w:spacing w:after="0" w:line="193" w:lineRule="exact"/>
              <w:rPr>
                <w:sz w:val="20"/>
                <w:szCs w:val="20"/>
                <w:color w:val="auto"/>
              </w:rPr>
            </w:pPr>
            <w:r>
              <w:rPr>
                <w:rFonts w:ascii="Calibri" w:cs="Calibri" w:eastAsia="Calibri" w:hAnsi="Calibri"/>
                <w:sz w:val="16"/>
                <w:szCs w:val="16"/>
                <w:color w:val="auto"/>
              </w:rPr>
              <w:t>Francis Tang</w:t>
            </w:r>
          </w:p>
        </w:tc>
        <w:tc>
          <w:tcPr>
            <w:tcW w:w="1780" w:type="dxa"/>
            <w:vAlign w:val="bottom"/>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146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76,415</w:t>
            </w:r>
          </w:p>
        </w:tc>
        <w:tc>
          <w:tcPr>
            <w:tcW w:w="1800" w:type="dxa"/>
            <w:vAlign w:val="bottom"/>
          </w:tcPr>
          <w:p>
            <w:pPr>
              <w:jc w:val="right"/>
              <w:spacing w:after="0" w:line="193" w:lineRule="exact"/>
              <w:rPr>
                <w:sz w:val="20"/>
                <w:szCs w:val="20"/>
                <w:color w:val="auto"/>
              </w:rPr>
            </w:pPr>
            <w:r>
              <w:rPr>
                <w:rFonts w:ascii="Calibri" w:cs="Calibri" w:eastAsia="Calibri" w:hAnsi="Calibri"/>
                <w:sz w:val="16"/>
                <w:szCs w:val="16"/>
                <w:color w:val="auto"/>
              </w:rPr>
              <w:t>76,415</w:t>
            </w:r>
          </w:p>
        </w:tc>
        <w:tc>
          <w:tcPr>
            <w:tcW w:w="640" w:type="dxa"/>
            <w:vAlign w:val="bottom"/>
          </w:tcPr>
          <w:p>
            <w:pPr>
              <w:ind w:left="60"/>
              <w:spacing w:after="0" w:line="128" w:lineRule="exact"/>
              <w:rPr>
                <w:sz w:val="20"/>
                <w:szCs w:val="20"/>
                <w:color w:val="auto"/>
              </w:rPr>
            </w:pPr>
            <w:r>
              <w:rPr>
                <w:rFonts w:ascii="Calibri" w:cs="Calibri" w:eastAsia="Calibri" w:hAnsi="Calibri"/>
                <w:sz w:val="11"/>
                <w:szCs w:val="11"/>
                <w:color w:val="auto"/>
              </w:rPr>
              <w:t>(1)(10)</w:t>
            </w:r>
          </w:p>
        </w:tc>
        <w:tc>
          <w:tcPr>
            <w:tcW w:w="182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w:t>
            </w:r>
          </w:p>
        </w:tc>
      </w:tr>
      <w:tr>
        <w:trPr>
          <w:trHeight w:val="207"/>
        </w:trPr>
        <w:tc>
          <w:tcPr>
            <w:tcW w:w="37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Emily Yang</w:t>
            </w:r>
          </w:p>
        </w:tc>
        <w:tc>
          <w:tcPr>
            <w:tcW w:w="1780" w:type="dxa"/>
            <w:vAlign w:val="bottom"/>
            <w:shd w:val="clear" w:color="auto" w:fill="CFF0FC"/>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shd w:val="clear" w:color="auto" w:fill="CFF0FC"/>
          </w:tcPr>
          <w:p>
            <w:pPr>
              <w:jc w:val="right"/>
              <w:ind w:right="79"/>
              <w:spacing w:after="0"/>
              <w:rPr>
                <w:sz w:val="20"/>
                <w:szCs w:val="20"/>
                <w:color w:val="auto"/>
              </w:rPr>
            </w:pPr>
            <w:r>
              <w:rPr>
                <w:rFonts w:ascii="Calibri" w:cs="Calibri" w:eastAsia="Calibri" w:hAnsi="Calibri"/>
                <w:sz w:val="16"/>
                <w:szCs w:val="16"/>
                <w:color w:val="auto"/>
              </w:rPr>
              <w:t>53,052</w:t>
            </w:r>
          </w:p>
        </w:tc>
        <w:tc>
          <w:tcPr>
            <w:tcW w:w="18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53,052</w:t>
            </w:r>
          </w:p>
        </w:tc>
        <w:tc>
          <w:tcPr>
            <w:tcW w:w="640" w:type="dxa"/>
            <w:vAlign w:val="bottom"/>
            <w:shd w:val="clear" w:color="auto" w:fill="CFF0FC"/>
          </w:tcPr>
          <w:p>
            <w:pPr>
              <w:ind w:left="60"/>
              <w:spacing w:after="0" w:line="132" w:lineRule="exact"/>
              <w:rPr>
                <w:sz w:val="20"/>
                <w:szCs w:val="20"/>
                <w:color w:val="auto"/>
              </w:rPr>
            </w:pPr>
            <w:r>
              <w:rPr>
                <w:rFonts w:ascii="Calibri" w:cs="Calibri" w:eastAsia="Calibri" w:hAnsi="Calibri"/>
                <w:sz w:val="11"/>
                <w:szCs w:val="11"/>
                <w:color w:val="auto"/>
              </w:rPr>
              <w:t>(1)(10)</w:t>
            </w:r>
          </w:p>
        </w:tc>
        <w:tc>
          <w:tcPr>
            <w:tcW w:w="1820" w:type="dxa"/>
            <w:vAlign w:val="bottom"/>
            <w:shd w:val="clear" w:color="auto" w:fill="CFF0FC"/>
          </w:tcPr>
          <w:p>
            <w:pPr>
              <w:jc w:val="right"/>
              <w:ind w:right="79"/>
              <w:spacing w:after="0"/>
              <w:rPr>
                <w:sz w:val="20"/>
                <w:szCs w:val="20"/>
                <w:color w:val="auto"/>
              </w:rPr>
            </w:pPr>
            <w:r>
              <w:rPr>
                <w:rFonts w:ascii="Calibri" w:cs="Calibri" w:eastAsia="Calibri" w:hAnsi="Calibri"/>
                <w:sz w:val="16"/>
                <w:szCs w:val="16"/>
                <w:color w:val="auto"/>
              </w:rPr>
              <w:t>*</w:t>
            </w:r>
          </w:p>
        </w:tc>
      </w:tr>
      <w:tr>
        <w:trPr>
          <w:trHeight w:val="184"/>
        </w:trPr>
        <w:tc>
          <w:tcPr>
            <w:tcW w:w="3740" w:type="dxa"/>
            <w:vAlign w:val="bottom"/>
          </w:tcPr>
          <w:p>
            <w:pPr>
              <w:ind w:left="200"/>
              <w:spacing w:after="0" w:line="184" w:lineRule="exact"/>
              <w:rPr>
                <w:sz w:val="20"/>
                <w:szCs w:val="20"/>
                <w:color w:val="auto"/>
              </w:rPr>
            </w:pPr>
            <w:r>
              <w:rPr>
                <w:rFonts w:ascii="Calibri" w:cs="Calibri" w:eastAsia="Calibri" w:hAnsi="Calibri"/>
                <w:sz w:val="16"/>
                <w:szCs w:val="16"/>
                <w:color w:val="auto"/>
              </w:rPr>
              <w:t>All directors, nominees and executve ofcers of the</w:t>
            </w:r>
          </w:p>
        </w:tc>
        <w:tc>
          <w:tcPr>
            <w:tcW w:w="1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93"/>
        </w:trPr>
        <w:tc>
          <w:tcPr>
            <w:tcW w:w="3740" w:type="dxa"/>
            <w:vAlign w:val="bottom"/>
          </w:tcPr>
          <w:p>
            <w:pPr>
              <w:ind w:left="200"/>
              <w:spacing w:after="0" w:line="193" w:lineRule="exact"/>
              <w:rPr>
                <w:sz w:val="20"/>
                <w:szCs w:val="20"/>
                <w:color w:val="auto"/>
              </w:rPr>
            </w:pPr>
            <w:r>
              <w:rPr>
                <w:rFonts w:ascii="Calibri" w:cs="Calibri" w:eastAsia="Calibri" w:hAnsi="Calibri"/>
                <w:sz w:val="16"/>
                <w:szCs w:val="16"/>
                <w:color w:val="auto"/>
              </w:rPr>
              <w:t>Company as a group (14 individuals including those</w:t>
            </w:r>
          </w:p>
        </w:tc>
        <w:tc>
          <w:tcPr>
            <w:tcW w:w="1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3"/>
        </w:trPr>
        <w:tc>
          <w:tcPr>
            <w:tcW w:w="3740" w:type="dxa"/>
            <w:vAlign w:val="bottom"/>
          </w:tcPr>
          <w:p>
            <w:pPr>
              <w:ind w:left="200"/>
              <w:spacing w:after="0"/>
              <w:rPr>
                <w:sz w:val="20"/>
                <w:szCs w:val="20"/>
                <w:color w:val="auto"/>
              </w:rPr>
            </w:pPr>
            <w:r>
              <w:rPr>
                <w:rFonts w:ascii="Calibri" w:cs="Calibri" w:eastAsia="Calibri" w:hAnsi="Calibri"/>
                <w:sz w:val="16"/>
                <w:szCs w:val="16"/>
                <w:color w:val="auto"/>
              </w:rPr>
              <w:t>named above)</w:t>
            </w:r>
          </w:p>
        </w:tc>
        <w:tc>
          <w:tcPr>
            <w:tcW w:w="1780" w:type="dxa"/>
            <w:vAlign w:val="bottom"/>
          </w:tcPr>
          <w:p>
            <w:pPr>
              <w:jc w:val="right"/>
              <w:ind w:right="179"/>
              <w:spacing w:after="0"/>
              <w:rPr>
                <w:sz w:val="20"/>
                <w:szCs w:val="20"/>
                <w:color w:val="auto"/>
              </w:rPr>
            </w:pPr>
            <w:r>
              <w:rPr>
                <w:rFonts w:ascii="Calibri" w:cs="Calibri" w:eastAsia="Calibri" w:hAnsi="Calibri"/>
                <w:sz w:val="16"/>
                <w:szCs w:val="16"/>
                <w:color w:val="auto"/>
              </w:rPr>
              <w:t>1,313</w:t>
            </w:r>
          </w:p>
        </w:tc>
        <w:tc>
          <w:tcPr>
            <w:tcW w:w="1460" w:type="dxa"/>
            <w:vAlign w:val="bottom"/>
          </w:tcPr>
          <w:p>
            <w:pPr>
              <w:jc w:val="right"/>
              <w:ind w:right="79"/>
              <w:spacing w:after="0"/>
              <w:rPr>
                <w:sz w:val="20"/>
                <w:szCs w:val="20"/>
                <w:color w:val="auto"/>
              </w:rPr>
            </w:pPr>
            <w:r>
              <w:rPr>
                <w:rFonts w:ascii="Calibri" w:cs="Calibri" w:eastAsia="Calibri" w:hAnsi="Calibri"/>
                <w:sz w:val="16"/>
                <w:szCs w:val="16"/>
                <w:color w:val="auto"/>
              </w:rPr>
              <w:t>897,363</w:t>
            </w:r>
          </w:p>
        </w:tc>
        <w:tc>
          <w:tcPr>
            <w:tcW w:w="1800" w:type="dxa"/>
            <w:vAlign w:val="bottom"/>
          </w:tcPr>
          <w:p>
            <w:pPr>
              <w:jc w:val="right"/>
              <w:spacing w:after="0"/>
              <w:rPr>
                <w:sz w:val="20"/>
                <w:szCs w:val="20"/>
                <w:color w:val="auto"/>
              </w:rPr>
            </w:pPr>
            <w:r>
              <w:rPr>
                <w:rFonts w:ascii="Calibri" w:cs="Calibri" w:eastAsia="Calibri" w:hAnsi="Calibri"/>
                <w:sz w:val="16"/>
                <w:szCs w:val="16"/>
                <w:color w:val="auto"/>
              </w:rPr>
              <w:t>898,676</w:t>
            </w:r>
          </w:p>
        </w:tc>
        <w:tc>
          <w:tcPr>
            <w:tcW w:w="640" w:type="dxa"/>
            <w:vAlign w:val="bottom"/>
          </w:tcPr>
          <w:p>
            <w:pPr>
              <w:ind w:left="60"/>
              <w:spacing w:after="0"/>
              <w:rPr>
                <w:sz w:val="20"/>
                <w:szCs w:val="20"/>
                <w:color w:val="auto"/>
              </w:rPr>
            </w:pPr>
            <w:r>
              <w:rPr>
                <w:rFonts w:ascii="Calibri" w:cs="Calibri" w:eastAsia="Calibri" w:hAnsi="Calibri"/>
                <w:sz w:val="11"/>
                <w:szCs w:val="11"/>
                <w:color w:val="auto"/>
              </w:rPr>
              <w:t>(11)</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1.9 %</w:t>
            </w:r>
          </w:p>
        </w:tc>
      </w:tr>
      <w:tr>
        <w:trPr>
          <w:trHeight w:val="28"/>
        </w:trPr>
        <w:tc>
          <w:tcPr>
            <w:tcW w:w="3740" w:type="dxa"/>
            <w:vAlign w:val="bottom"/>
            <w:tcBorders>
              <w:bottom w:val="single" w:sz="8" w:color="005CA9"/>
            </w:tcBorders>
          </w:tcPr>
          <w:p>
            <w:pPr>
              <w:spacing w:after="0"/>
              <w:rPr>
                <w:sz w:val="2"/>
                <w:szCs w:val="2"/>
                <w:color w:val="auto"/>
              </w:rPr>
            </w:pPr>
          </w:p>
        </w:tc>
        <w:tc>
          <w:tcPr>
            <w:tcW w:w="1780" w:type="dxa"/>
            <w:vAlign w:val="bottom"/>
            <w:tcBorders>
              <w:bottom w:val="single" w:sz="8" w:color="005CA9"/>
            </w:tcBorders>
          </w:tcPr>
          <w:p>
            <w:pPr>
              <w:spacing w:after="0"/>
              <w:rPr>
                <w:sz w:val="2"/>
                <w:szCs w:val="2"/>
                <w:color w:val="auto"/>
              </w:rPr>
            </w:pPr>
          </w:p>
        </w:tc>
        <w:tc>
          <w:tcPr>
            <w:tcW w:w="1460" w:type="dxa"/>
            <w:vAlign w:val="bottom"/>
            <w:tcBorders>
              <w:bottom w:val="single" w:sz="8" w:color="005CA9"/>
            </w:tcBorders>
          </w:tcPr>
          <w:p>
            <w:pPr>
              <w:spacing w:after="0"/>
              <w:rPr>
                <w:sz w:val="2"/>
                <w:szCs w:val="2"/>
                <w:color w:val="auto"/>
              </w:rPr>
            </w:pPr>
          </w:p>
        </w:tc>
        <w:tc>
          <w:tcPr>
            <w:tcW w:w="1800" w:type="dxa"/>
            <w:vAlign w:val="bottom"/>
            <w:tcBorders>
              <w:bottom w:val="single" w:sz="8" w:color="005CA9"/>
            </w:tcBorders>
          </w:tcPr>
          <w:p>
            <w:pPr>
              <w:spacing w:after="0"/>
              <w:rPr>
                <w:sz w:val="2"/>
                <w:szCs w:val="2"/>
                <w:color w:val="auto"/>
              </w:rPr>
            </w:pPr>
          </w:p>
        </w:tc>
        <w:tc>
          <w:tcPr>
            <w:tcW w:w="640" w:type="dxa"/>
            <w:vAlign w:val="bottom"/>
            <w:tcBorders>
              <w:bottom w:val="single" w:sz="8" w:color="005CA9"/>
            </w:tcBorders>
          </w:tcPr>
          <w:p>
            <w:pPr>
              <w:spacing w:after="0"/>
              <w:rPr>
                <w:sz w:val="2"/>
                <w:szCs w:val="2"/>
                <w:color w:val="auto"/>
              </w:rPr>
            </w:pPr>
          </w:p>
        </w:tc>
        <w:tc>
          <w:tcPr>
            <w:tcW w:w="1820" w:type="dxa"/>
            <w:vAlign w:val="bottom"/>
            <w:tcBorders>
              <w:bottom w:val="single" w:sz="8" w:color="005CA9"/>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-1550670</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 Indicates less than 1%.</w:t>
      </w:r>
    </w:p>
    <w:p>
      <w:pPr>
        <w:spacing w:after="0" w:line="33" w:lineRule="exact"/>
        <w:rPr>
          <w:sz w:val="20"/>
          <w:szCs w:val="20"/>
          <w:color w:val="auto"/>
        </w:rPr>
      </w:pPr>
    </w:p>
    <w:p>
      <w:pPr>
        <w:jc w:val="both"/>
        <w:ind w:left="160" w:hanging="10"/>
        <w:spacing w:after="0" w:line="245" w:lineRule="auto"/>
        <w:tabs>
          <w:tab w:leader="none" w:pos="356"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Includes of shares of Common Stock that the named individual has the right to acquire within sixty (60) days afer the Record Date by exercising stock optons or the vestng of restricted stock units (“RSUs”) or performance stock units (“PSUs”). For further discussion on the Company’s use of equity awards, see “Compensaton Discussion and Analysis – Principal Components of Compensaton - Long-Term Incentve (LTI) Plan.”</w:t>
      </w:r>
    </w:p>
    <w:p>
      <w:pPr>
        <w:spacing w:after="0" w:line="2" w:lineRule="exact"/>
        <w:rPr>
          <w:rFonts w:ascii="Calibri" w:cs="Calibri" w:eastAsia="Calibri" w:hAnsi="Calibri"/>
          <w:sz w:val="14"/>
          <w:szCs w:val="14"/>
          <w:color w:val="auto"/>
        </w:rPr>
      </w:pPr>
    </w:p>
    <w:p>
      <w:pPr>
        <w:ind w:left="340" w:hanging="190"/>
        <w:spacing w:after="0"/>
        <w:tabs>
          <w:tab w:leader="none" w:pos="34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The named stockholder has sole votng power and investment power with respect to the shares listed, except as indicated and subject to community property laws where applicable.</w:t>
      </w:r>
    </w:p>
    <w:p>
      <w:pPr>
        <w:spacing w:after="0" w:line="5" w:lineRule="exact"/>
        <w:rPr>
          <w:rFonts w:ascii="Calibri" w:cs="Calibri" w:eastAsia="Calibri" w:hAnsi="Calibri"/>
          <w:sz w:val="14"/>
          <w:szCs w:val="14"/>
          <w:color w:val="auto"/>
        </w:rPr>
      </w:pPr>
    </w:p>
    <w:p>
      <w:pPr>
        <w:jc w:val="both"/>
        <w:ind w:left="160" w:hanging="10"/>
        <w:spacing w:after="0" w:line="246" w:lineRule="auto"/>
        <w:tabs>
          <w:tab w:leader="none" w:pos="355"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Under Rule 13d-3 of the Exchange Act, certain shares may be deemed to be benefcially owned by more than one person (for example, if a person shares the power to vote or the power to dispose of the shares). In additon, under Rule 13d-3(d)(1) of the Exchange Act, shares which the person (or group) has the right to acquire within sixty (60) days afer the Record Date are deemed to be outstanding in calculatng the benefcial ownership and the percentage ownership of the person (or group) but are not deemed to be outstanding as to any other person or group. As a result, the percentage of outstanding shares of any person as shown in this table does not necessarily refect the person’s actual ownership of votng power with respect to the number of shares of Common Stock actually outstanding at the Record Date.</w:t>
      </w:r>
    </w:p>
    <w:p>
      <w:pPr>
        <w:ind w:left="340" w:hanging="190"/>
        <w:spacing w:after="0"/>
        <w:tabs>
          <w:tab w:leader="none" w:pos="34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Percent of class is based on 46,461,002 shares of the Common Stock of the Company outstanding as of the Record Date.</w:t>
      </w:r>
    </w:p>
    <w:p>
      <w:pPr>
        <w:spacing w:after="0" w:line="4" w:lineRule="exact"/>
        <w:rPr>
          <w:rFonts w:ascii="Calibri" w:cs="Calibri" w:eastAsia="Calibri" w:hAnsi="Calibri"/>
          <w:sz w:val="14"/>
          <w:szCs w:val="14"/>
          <w:color w:val="auto"/>
        </w:rPr>
      </w:pPr>
    </w:p>
    <w:p>
      <w:pPr>
        <w:ind w:left="340" w:hanging="190"/>
        <w:spacing w:after="0"/>
        <w:tabs>
          <w:tab w:leader="none" w:pos="34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In 2024, Mr. Chen transferred ownership of shares to a family member.</w:t>
      </w:r>
    </w:p>
    <w:p>
      <w:pPr>
        <w:spacing w:after="0" w:line="4" w:lineRule="exact"/>
        <w:rPr>
          <w:rFonts w:ascii="Calibri" w:cs="Calibri" w:eastAsia="Calibri" w:hAnsi="Calibri"/>
          <w:sz w:val="14"/>
          <w:szCs w:val="14"/>
          <w:color w:val="auto"/>
        </w:rPr>
      </w:pPr>
    </w:p>
    <w:p>
      <w:pPr>
        <w:ind w:left="340" w:hanging="190"/>
        <w:spacing w:after="0"/>
        <w:tabs>
          <w:tab w:leader="none" w:pos="34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Dr. Lu is Chairman of the Board and the Chief Executve Ofcer of the Company, and an NEO.</w:t>
      </w:r>
    </w:p>
    <w:p>
      <w:pPr>
        <w:spacing w:after="0" w:line="4" w:lineRule="exact"/>
        <w:rPr>
          <w:rFonts w:ascii="Calibri" w:cs="Calibri" w:eastAsia="Calibri" w:hAnsi="Calibri"/>
          <w:sz w:val="14"/>
          <w:szCs w:val="14"/>
          <w:color w:val="auto"/>
        </w:rPr>
      </w:pPr>
    </w:p>
    <w:p>
      <w:pPr>
        <w:ind w:left="340" w:hanging="190"/>
        <w:spacing w:after="0"/>
        <w:tabs>
          <w:tab w:leader="none" w:pos="34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Ms. Sung is not standing for reelecton at the Meetng.</w:t>
      </w:r>
    </w:p>
    <w:p>
      <w:pPr>
        <w:spacing w:after="0" w:line="4" w:lineRule="exact"/>
        <w:rPr>
          <w:rFonts w:ascii="Calibri" w:cs="Calibri" w:eastAsia="Calibri" w:hAnsi="Calibri"/>
          <w:sz w:val="14"/>
          <w:szCs w:val="14"/>
          <w:color w:val="auto"/>
        </w:rPr>
      </w:pPr>
    </w:p>
    <w:p>
      <w:pPr>
        <w:ind w:left="340" w:hanging="190"/>
        <w:spacing w:after="0"/>
        <w:tabs>
          <w:tab w:leader="none" w:pos="34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Mr. Yu is President of the Company and an NEO.</w:t>
      </w:r>
    </w:p>
    <w:p>
      <w:pPr>
        <w:spacing w:after="0" w:line="5" w:lineRule="exact"/>
        <w:rPr>
          <w:rFonts w:ascii="Calibri" w:cs="Calibri" w:eastAsia="Calibri" w:hAnsi="Calibri"/>
          <w:sz w:val="14"/>
          <w:szCs w:val="14"/>
          <w:color w:val="auto"/>
        </w:rPr>
      </w:pPr>
    </w:p>
    <w:p>
      <w:pPr>
        <w:ind w:left="160" w:hanging="10"/>
        <w:spacing w:after="0" w:line="245" w:lineRule="auto"/>
        <w:tabs>
          <w:tab w:leader="none" w:pos="353"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Includes 46,150 shares of Common Stock held in the name of an UTMA (Custodial) Trust, and 275,791 shares held in the name of the Lu Grandchildren’s Trust. Dr. Lu is a co-trustee of the Lu Family Revocable Trust, the UTMA (Custodial) Trust and the Lu Grandchildren’s Trust. Dr. Lu has votng and investment authority over these shares.</w:t>
      </w:r>
    </w:p>
    <w:p>
      <w:pPr>
        <w:spacing w:after="0" w:line="2" w:lineRule="exact"/>
        <w:rPr>
          <w:rFonts w:ascii="Calibri" w:cs="Calibri" w:eastAsia="Calibri" w:hAnsi="Calibri"/>
          <w:sz w:val="14"/>
          <w:szCs w:val="14"/>
          <w:color w:val="auto"/>
        </w:rPr>
      </w:pPr>
    </w:p>
    <w:p>
      <w:pPr>
        <w:ind w:left="160" w:hanging="10"/>
        <w:spacing w:after="0" w:line="246" w:lineRule="auto"/>
        <w:tabs>
          <w:tab w:leader="none" w:pos="449"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Does not include 25,000, 8,000, 22,000, 8,000, and 8,000 shares of Common Stock subject to PSUs granted February 3, 2025 to Messrs. Lu, Whitmire, Yu, Tang, and Ms. Yang, respectvely, that vest only if (i) the Company achieves a targeted Non-GAAP operatng income for 2025 through 2027 and (ii) the executve contnues to provide services to the Company. Does not include 25,000, 6,100, 22,000, 7,200, and 6,100 shares of Common Stock subject to PSUs granted February 1, 2024 to Messrs. Lu, Whitmire, Yu, Tang, and Ms. Yang, respectvely, that vest only if (i) the Company achieves a targeted Non-GAAP operatng income for 2024 through 2026 and (ii) the executve contnues to provide services to the Company.</w:t>
      </w:r>
    </w:p>
    <w:p>
      <w:pPr>
        <w:spacing w:after="0" w:line="1" w:lineRule="exact"/>
        <w:rPr>
          <w:rFonts w:ascii="Calibri" w:cs="Calibri" w:eastAsia="Calibri" w:hAnsi="Calibri"/>
          <w:sz w:val="14"/>
          <w:szCs w:val="14"/>
          <w:color w:val="auto"/>
        </w:rPr>
      </w:pPr>
    </w:p>
    <w:p>
      <w:pPr>
        <w:ind w:left="160"/>
        <w:spacing w:after="0" w:line="245" w:lineRule="auto"/>
        <w:rPr>
          <w:rFonts w:ascii="Calibri" w:cs="Calibri" w:eastAsia="Calibri" w:hAnsi="Calibri"/>
          <w:sz w:val="14"/>
          <w:szCs w:val="14"/>
          <w:color w:val="auto"/>
        </w:rPr>
      </w:pPr>
      <w:r>
        <w:rPr>
          <w:rFonts w:ascii="Calibri" w:cs="Calibri" w:eastAsia="Calibri" w:hAnsi="Calibri"/>
          <w:sz w:val="14"/>
          <w:szCs w:val="14"/>
          <w:color w:val="auto"/>
        </w:rPr>
        <w:t>Does not include 42,000, 9,000, 13,000, 9,000, and 9.000 shares of Common Stock subject to PSUs granted February 1, 2023 to Messrs. Lu, Whitmire, Yu, Tang, and Ms. Yang, respectvely, that vest only if (i) the Company achieves a targeted Non-GAAP operatng income for 2023 through 2025 and (ii) the executve contnues to provide services to the Company.</w:t>
      </w:r>
    </w:p>
    <w:p>
      <w:pPr>
        <w:spacing w:after="0" w:line="2" w:lineRule="exact"/>
        <w:rPr>
          <w:rFonts w:ascii="Calibri" w:cs="Calibri" w:eastAsia="Calibri" w:hAnsi="Calibri"/>
          <w:sz w:val="14"/>
          <w:szCs w:val="14"/>
          <w:color w:val="auto"/>
        </w:rPr>
      </w:pPr>
    </w:p>
    <w:p>
      <w:pPr>
        <w:ind w:left="160"/>
        <w:spacing w:after="0" w:line="245" w:lineRule="auto"/>
        <w:rPr>
          <w:rFonts w:ascii="Calibri" w:cs="Calibri" w:eastAsia="Calibri" w:hAnsi="Calibri"/>
          <w:sz w:val="14"/>
          <w:szCs w:val="14"/>
          <w:color w:val="auto"/>
        </w:rPr>
      </w:pPr>
      <w:r>
        <w:rPr>
          <w:rFonts w:ascii="Calibri" w:cs="Calibri" w:eastAsia="Calibri" w:hAnsi="Calibri"/>
          <w:sz w:val="14"/>
          <w:szCs w:val="14"/>
          <w:color w:val="auto"/>
        </w:rPr>
        <w:t>Does not include 6,000 and 3,000 shares of Common Stock subject to RSUs granted on May 30, 2024 to Dr. Lu and Mr. Yu, that vest in four equal installments on May 25, 2025, 2026, 2027, and 2028, if the executve contnues to provide services to the Company.</w:t>
      </w:r>
    </w:p>
    <w:p>
      <w:pPr>
        <w:spacing w:after="0" w:line="2" w:lineRule="exact"/>
        <w:rPr>
          <w:rFonts w:ascii="Calibri" w:cs="Calibri" w:eastAsia="Calibri" w:hAnsi="Calibri"/>
          <w:sz w:val="14"/>
          <w:szCs w:val="14"/>
          <w:color w:val="auto"/>
        </w:rPr>
      </w:pPr>
    </w:p>
    <w:p>
      <w:pPr>
        <w:ind w:left="160"/>
        <w:spacing w:after="0" w:line="245" w:lineRule="auto"/>
        <w:rPr>
          <w:rFonts w:ascii="Calibri" w:cs="Calibri" w:eastAsia="Calibri" w:hAnsi="Calibri"/>
          <w:sz w:val="14"/>
          <w:szCs w:val="14"/>
          <w:color w:val="auto"/>
        </w:rPr>
      </w:pPr>
      <w:r>
        <w:rPr>
          <w:rFonts w:ascii="Calibri" w:cs="Calibri" w:eastAsia="Calibri" w:hAnsi="Calibri"/>
          <w:sz w:val="14"/>
          <w:szCs w:val="14"/>
          <w:color w:val="auto"/>
        </w:rPr>
        <w:t>Does not include 4,500 shares of Common Stock subject to RSUs granted on May 24, 2023 to Dr. Lu that vest in three equal installments on May 24, 2025, 2026, and 2027, if the executve contnues to provide services to the Company.</w:t>
      </w:r>
    </w:p>
    <w:p>
      <w:pPr>
        <w:spacing w:after="0" w:line="2" w:lineRule="exact"/>
        <w:rPr>
          <w:rFonts w:ascii="Calibri" w:cs="Calibri" w:eastAsia="Calibri" w:hAnsi="Calibri"/>
          <w:sz w:val="14"/>
          <w:szCs w:val="14"/>
          <w:color w:val="auto"/>
        </w:rPr>
      </w:pPr>
    </w:p>
    <w:p>
      <w:pPr>
        <w:ind w:left="160"/>
        <w:spacing w:after="0" w:line="245" w:lineRule="auto"/>
        <w:rPr>
          <w:rFonts w:ascii="Calibri" w:cs="Calibri" w:eastAsia="Calibri" w:hAnsi="Calibri"/>
          <w:sz w:val="14"/>
          <w:szCs w:val="14"/>
          <w:color w:val="auto"/>
        </w:rPr>
      </w:pPr>
      <w:r>
        <w:rPr>
          <w:rFonts w:ascii="Calibri" w:cs="Calibri" w:eastAsia="Calibri" w:hAnsi="Calibri"/>
          <w:sz w:val="14"/>
          <w:szCs w:val="14"/>
          <w:color w:val="auto"/>
        </w:rPr>
        <w:t>Does not include 25,000, 8,000, 22,000, 8,000 and 8,000 shares of Common Stock subject to RSUs granted February 3, 2025 to Messrs. Lu, Whitmire, Yu, Tang, and Ms. Yang respectvely, that vest in three equal installments on February 1, 2026, 2027, 2028, and 2029, if the executve contnues to provide services to the Company.</w:t>
      </w:r>
    </w:p>
    <w:p>
      <w:pPr>
        <w:spacing w:after="0" w:line="2" w:lineRule="exact"/>
        <w:rPr>
          <w:rFonts w:ascii="Calibri" w:cs="Calibri" w:eastAsia="Calibri" w:hAnsi="Calibri"/>
          <w:sz w:val="14"/>
          <w:szCs w:val="14"/>
          <w:color w:val="auto"/>
        </w:rPr>
      </w:pPr>
    </w:p>
    <w:p>
      <w:pPr>
        <w:jc w:val="both"/>
        <w:ind w:left="160"/>
        <w:spacing w:after="0" w:line="246" w:lineRule="auto"/>
        <w:rPr>
          <w:rFonts w:ascii="Calibri" w:cs="Calibri" w:eastAsia="Calibri" w:hAnsi="Calibri"/>
          <w:sz w:val="14"/>
          <w:szCs w:val="14"/>
          <w:color w:val="auto"/>
        </w:rPr>
      </w:pPr>
      <w:r>
        <w:rPr>
          <w:rFonts w:ascii="Calibri" w:cs="Calibri" w:eastAsia="Calibri" w:hAnsi="Calibri"/>
          <w:sz w:val="14"/>
          <w:szCs w:val="14"/>
          <w:color w:val="auto"/>
        </w:rPr>
        <w:t>Does not include 18,750, 4,575, 16,500, 5,400 and 4,575 shares of Common Stock subject to RSUs granted February 1, 2024 to Messrs. Lu, Whitmire, Yu, Tang, and Ms. Yang respectvely, that vest in three equal installments on February 1, 2026, 2027 and 2028, if the executve contnues to provide services to the Company. Does not include 21,000, 4,500, 6,500, 4,500, and 4,500 shares of Common Stock subject to RSUs granted February 1, 2023 to Messrs. Lu, Whitmire, Yu, Tang and Ms. Yang, respectvely, that vest in two equal installments on February 1, 2026 and 2027, if the executve contnues to provide services to the Company.</w:t>
      </w:r>
    </w:p>
    <w:p>
      <w:pPr>
        <w:spacing w:after="0" w:line="2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7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0" w:name="page11"/>
    <w:bookmarkEnd w:id="10"/>
    <w:p>
      <w:pPr>
        <w:jc w:val="both"/>
        <w:ind w:left="160"/>
        <w:spacing w:after="0" w:line="245" w:lineRule="auto"/>
        <w:rPr>
          <w:sz w:val="20"/>
          <w:szCs w:val="20"/>
          <w:color w:val="auto"/>
        </w:rPr>
      </w:pPr>
      <w:r>
        <w:rPr>
          <w:rFonts w:ascii="Calibri" w:cs="Calibri" w:eastAsia="Calibri" w:hAnsi="Calibri"/>
          <w:sz w:val="14"/>
          <w:szCs w:val="14"/>
          <w:color w:val="auto"/>
        </w:rPr>
        <w:t>Does not include 2,500 shares of Common Stock subject to RSUs granted on May 26, 2022 to Dr. Lu that vest in two equal installments on May 26, 2025 and 2026, if the executve contnues to provide services to the Company.</w:t>
      </w:r>
    </w:p>
    <w:p>
      <w:pPr>
        <w:spacing w:after="0" w:line="2" w:lineRule="exact"/>
        <w:rPr>
          <w:sz w:val="20"/>
          <w:szCs w:val="20"/>
          <w:color w:val="auto"/>
        </w:rPr>
      </w:pPr>
    </w:p>
    <w:p>
      <w:pPr>
        <w:jc w:val="both"/>
        <w:ind w:left="160"/>
        <w:spacing w:after="0" w:line="245" w:lineRule="auto"/>
        <w:rPr>
          <w:sz w:val="20"/>
          <w:szCs w:val="20"/>
          <w:color w:val="auto"/>
        </w:rPr>
      </w:pPr>
      <w:r>
        <w:rPr>
          <w:rFonts w:ascii="Calibri" w:cs="Calibri" w:eastAsia="Calibri" w:hAnsi="Calibri"/>
          <w:sz w:val="14"/>
          <w:szCs w:val="14"/>
          <w:color w:val="auto"/>
        </w:rPr>
        <w:t>Does not include 8,000, 1,900, 2,125, 3,800, 1,900 and 1,900 shares of Common Stock subject to RSUs granted February 1, 2022 to Messrs. Lu, Whitmire, Yu, Tang and Ms. Yang, respectvely, that vest on February 1, 2026 if the executve contnues to provide services to the Company.</w:t>
      </w:r>
    </w:p>
    <w:p>
      <w:pPr>
        <w:spacing w:after="0" w:line="2" w:lineRule="exact"/>
        <w:rPr>
          <w:sz w:val="20"/>
          <w:szCs w:val="20"/>
          <w:color w:val="auto"/>
        </w:rPr>
      </w:pPr>
    </w:p>
    <w:p>
      <w:pPr>
        <w:jc w:val="both"/>
        <w:ind w:left="160"/>
        <w:spacing w:after="0" w:line="245" w:lineRule="auto"/>
        <w:rPr>
          <w:sz w:val="20"/>
          <w:szCs w:val="20"/>
          <w:color w:val="auto"/>
        </w:rPr>
      </w:pPr>
      <w:r>
        <w:rPr>
          <w:rFonts w:ascii="Calibri" w:cs="Calibri" w:eastAsia="Calibri" w:hAnsi="Calibri"/>
          <w:sz w:val="14"/>
          <w:szCs w:val="14"/>
          <w:color w:val="auto"/>
        </w:rPr>
        <w:t>Does not include 1,250 shares of Common Stock subject to RSUs granted on May 24, 2021 to Dr. Lu that vest on May 24, 2025, if the executve contnues to provide services to the Company. For further discussion on the operatng income performance goal and service conditon related to these grants, see “Compensaton Discussion and Analysis – Principal Components of Compensaton - Long-Term Incentve (LTI) Plan.”</w:t>
      </w:r>
    </w:p>
    <w:p>
      <w:pPr>
        <w:spacing w:after="0" w:line="3" w:lineRule="exact"/>
        <w:rPr>
          <w:sz w:val="20"/>
          <w:szCs w:val="20"/>
          <w:color w:val="auto"/>
        </w:rPr>
      </w:pPr>
    </w:p>
    <w:p>
      <w:pPr>
        <w:jc w:val="both"/>
        <w:ind w:left="160" w:hanging="10"/>
        <w:spacing w:after="0" w:line="245" w:lineRule="auto"/>
        <w:tabs>
          <w:tab w:leader="none" w:pos="433"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Includes 1,313 shares that all directors and executve ofcers of the Company have the right to acquire within sixty (60) days afer the Record Date, by exercising stock optons or the vestng of RSUs, but excludes an additonal 528,171 shares that all directors and executve ofcers of the Company will have the right to acquire upon the vestng of RSUs and PSUs, which may vest in installments more than sixty (60) days afer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8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jc w:val="center"/>
        <w:ind w:right="80"/>
        <w:spacing w:after="0"/>
        <w:rPr>
          <w:sz w:val="20"/>
          <w:szCs w:val="20"/>
          <w:color w:val="auto"/>
        </w:rPr>
      </w:pPr>
      <w:r>
        <w:rPr>
          <w:rFonts w:ascii="Calibri" w:cs="Calibri" w:eastAsia="Calibri" w:hAnsi="Calibri"/>
          <w:sz w:val="43"/>
          <w:szCs w:val="43"/>
          <w:color w:val="005CA9"/>
        </w:rPr>
        <w:t>PROPOSAL ONE</w:t>
      </w:r>
    </w:p>
    <w:p>
      <w:pPr>
        <w:spacing w:after="0" w:line="83" w:lineRule="exact"/>
        <w:rPr>
          <w:sz w:val="20"/>
          <w:szCs w:val="20"/>
          <w:color w:val="auto"/>
        </w:rPr>
      </w:pPr>
    </w:p>
    <w:p>
      <w:pPr>
        <w:jc w:val="center"/>
        <w:ind w:right="100"/>
        <w:spacing w:after="0"/>
        <w:rPr>
          <w:sz w:val="20"/>
          <w:szCs w:val="20"/>
          <w:color w:val="auto"/>
        </w:rPr>
      </w:pPr>
      <w:r>
        <w:rPr>
          <w:rFonts w:ascii="Calibri" w:cs="Calibri" w:eastAsia="Calibri" w:hAnsi="Calibri"/>
          <w:sz w:val="43"/>
          <w:szCs w:val="43"/>
          <w:color w:val="005CA9"/>
        </w:rPr>
        <w:t>ELECTION OF DIRECTORS</w:t>
      </w:r>
    </w:p>
    <w:p>
      <w:pPr>
        <w:spacing w:after="0" w:line="13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Company’s Bylaws provide that the number of directors shall be determined from tme to tme by the Board, but may not be less than fve nor more than seventeen. Currently the Board consists of eight directors. Ms. Christna Wen-Chi Sung will not be standing for reelecton at the Meetng, and the size of the Board will be adjusted from eight to seven directors at that tme. The Company’s Bylaws further provide for the the electon of each director at each annual meetng of stockholders. Proxies cannot be voted for a greater number of persons than the number of nominees named.</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persons nominated have been nominated for electon to the Board to serve untl the next annual meetng of stockholders and untl their respectve successors have been elected and qualifed. All nominees are currently directors of the Company, and all nominees have indicated their willingness to serve. Unless otherwise instructed, proxies will be voted in such a way as to elect as many of these nominees as possible under applicable votng rules. In the event that any of the nominees should be unable or unwilling to serve as a director, proxies will be voted for the electon of such substtute nominees, if any, as shall be designated by the Board. The Board has no reason to believe that any nominee will be unable or unwilling to serve.</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Company’s Corporate Governance Guidelines provides that a non-employee member of the Board will not be eligible to stand for re-electon to the Board afer ataining the age of 75, but the Board may waive the requirement for up to fve years for any non-employee director. Prior to the date of this Proxy Statement, Mr. Warren Chen and Mr. Robert E. Feiger atained the age of 75, and the Board waived this requirement to allow them to be eligible to stand for re-electon to the Board at the Meetng.</w:t>
      </w:r>
    </w:p>
    <w:p>
      <w:pPr>
        <w:spacing w:after="0" w:line="12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seven nominees who receive the highest number of afrmatve votes will be elected. The Board has adopted a policy requiring that in an uncontested electon (such as the electon held at the Meetng), each nominee will submit an irrevocable resignaton promptly following the electon if he or she fails to receive a majority of votes cast. An uncontested electon means that there are as many candidates standing for electon to the Board at a meetng as there are directors to be elected at the meetng. A majority of votes cast means that the number of shares cast “FOR” a director’s electon exceeds the number of votes “WITHHELD.” See “Corporate Governance – Director Resignaton Policy.”</w:t>
      </w:r>
    </w:p>
    <w:p>
      <w:pPr>
        <w:spacing w:after="0" w:line="12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None of the nominees were selected pursuant to any arrangement or understanding with any other person. Mr. Gary Yu is married to the niece of Dr. Keh-Shew Lu. Other than the aforementoned relatonship between Mr. Yu and Dr. Lu, there are no family relatonships among the directors of the Company as of the date hereof, and, except as set forth below, as of the date hereof, no directorships are now, or in the past fve years have been, held by any director in a company that has a class of securites registered pursuant to Secton 12 of the Exchange Act or subject to the requirements of Secton 15(d) of the Exchange Act or any company registered as an investment company under the Investment Company Act of 1940.</w:t>
      </w:r>
    </w:p>
    <w:p>
      <w:pPr>
        <w:spacing w:after="0" w:line="120"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following table and discussion sets forth certain biographical informaton concerning the nominees of the Company as of the Record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20" w:type="dxa"/>
            <w:vAlign w:val="bottom"/>
            <w:tcBorders>
              <w:top w:val="single" w:sz="8" w:color="005CA9"/>
            </w:tcBorders>
          </w:tcPr>
          <w:p>
            <w:pPr>
              <w:ind w:left="20"/>
              <w:spacing w:after="0"/>
              <w:rPr>
                <w:sz w:val="20"/>
                <w:szCs w:val="20"/>
                <w:color w:val="auto"/>
              </w:rPr>
            </w:pPr>
            <w:r>
              <w:rPr>
                <w:rFonts w:ascii="Calibri" w:cs="Calibri" w:eastAsia="Calibri" w:hAnsi="Calibri"/>
                <w:sz w:val="20"/>
                <w:szCs w:val="20"/>
                <w:b w:val="1"/>
                <w:bCs w:val="1"/>
                <w:color w:val="auto"/>
              </w:rPr>
              <w:t>Nominees</w:t>
            </w:r>
          </w:p>
        </w:tc>
        <w:tc>
          <w:tcPr>
            <w:tcW w:w="1560" w:type="dxa"/>
            <w:vAlign w:val="bottom"/>
            <w:tcBorders>
              <w:top w:val="single" w:sz="8" w:color="005CA9"/>
            </w:tcBorders>
          </w:tcPr>
          <w:p>
            <w:pPr>
              <w:jc w:val="center"/>
              <w:ind w:left="581"/>
              <w:spacing w:after="0"/>
              <w:rPr>
                <w:sz w:val="20"/>
                <w:szCs w:val="20"/>
                <w:color w:val="auto"/>
              </w:rPr>
            </w:pPr>
            <w:r>
              <w:rPr>
                <w:rFonts w:ascii="Calibri" w:cs="Calibri" w:eastAsia="Calibri" w:hAnsi="Calibri"/>
                <w:sz w:val="20"/>
                <w:szCs w:val="20"/>
                <w:b w:val="1"/>
                <w:bCs w:val="1"/>
                <w:color w:val="auto"/>
              </w:rPr>
              <w:t>Age</w:t>
            </w:r>
          </w:p>
        </w:tc>
        <w:tc>
          <w:tcPr>
            <w:tcW w:w="4980" w:type="dxa"/>
            <w:vAlign w:val="bottom"/>
            <w:tcBorders>
              <w:top w:val="single" w:sz="8" w:color="005CA9"/>
            </w:tcBorders>
          </w:tcPr>
          <w:p>
            <w:pPr>
              <w:ind w:left="300"/>
              <w:spacing w:after="0"/>
              <w:rPr>
                <w:sz w:val="20"/>
                <w:szCs w:val="20"/>
                <w:color w:val="auto"/>
              </w:rPr>
            </w:pPr>
            <w:r>
              <w:rPr>
                <w:rFonts w:ascii="Calibri" w:cs="Calibri" w:eastAsia="Calibri" w:hAnsi="Calibri"/>
                <w:sz w:val="20"/>
                <w:szCs w:val="20"/>
                <w:b w:val="1"/>
                <w:bCs w:val="1"/>
                <w:color w:val="auto"/>
              </w:rPr>
              <w:t>Positon with the Company</w:t>
            </w:r>
          </w:p>
        </w:tc>
        <w:tc>
          <w:tcPr>
            <w:tcW w:w="1980" w:type="dxa"/>
            <w:vAlign w:val="bottom"/>
            <w:tcBorders>
              <w:top w:val="single" w:sz="8" w:color="005CA9"/>
            </w:tcBorders>
          </w:tcPr>
          <w:p>
            <w:pPr>
              <w:jc w:val="center"/>
              <w:ind w:left="21"/>
              <w:spacing w:after="0"/>
              <w:rPr>
                <w:sz w:val="20"/>
                <w:szCs w:val="20"/>
                <w:color w:val="auto"/>
              </w:rPr>
            </w:pPr>
            <w:r>
              <w:rPr>
                <w:rFonts w:ascii="Calibri" w:cs="Calibri" w:eastAsia="Calibri" w:hAnsi="Calibri"/>
                <w:sz w:val="20"/>
                <w:szCs w:val="20"/>
                <w:b w:val="1"/>
                <w:bCs w:val="1"/>
                <w:color w:val="auto"/>
              </w:rPr>
              <w:t>Director Since</w:t>
            </w:r>
          </w:p>
        </w:tc>
      </w:tr>
      <w:tr>
        <w:trPr>
          <w:trHeight w:val="72"/>
        </w:trPr>
        <w:tc>
          <w:tcPr>
            <w:tcW w:w="2720" w:type="dxa"/>
            <w:vAlign w:val="bottom"/>
            <w:shd w:val="clear" w:color="auto" w:fill="005CA9"/>
          </w:tcPr>
          <w:p>
            <w:pPr>
              <w:spacing w:after="0"/>
              <w:rPr>
                <w:sz w:val="6"/>
                <w:szCs w:val="6"/>
                <w:color w:val="auto"/>
              </w:rPr>
            </w:pPr>
          </w:p>
        </w:tc>
        <w:tc>
          <w:tcPr>
            <w:tcW w:w="1560" w:type="dxa"/>
            <w:vAlign w:val="bottom"/>
            <w:shd w:val="clear" w:color="auto" w:fill="005CA9"/>
          </w:tcPr>
          <w:p>
            <w:pPr>
              <w:spacing w:after="0"/>
              <w:rPr>
                <w:sz w:val="6"/>
                <w:szCs w:val="6"/>
                <w:color w:val="auto"/>
              </w:rPr>
            </w:pPr>
          </w:p>
        </w:tc>
        <w:tc>
          <w:tcPr>
            <w:tcW w:w="4980" w:type="dxa"/>
            <w:vAlign w:val="bottom"/>
            <w:shd w:val="clear" w:color="auto" w:fill="005CA9"/>
          </w:tcPr>
          <w:p>
            <w:pPr>
              <w:spacing w:after="0"/>
              <w:rPr>
                <w:sz w:val="6"/>
                <w:szCs w:val="6"/>
                <w:color w:val="auto"/>
              </w:rPr>
            </w:pPr>
          </w:p>
        </w:tc>
        <w:tc>
          <w:tcPr>
            <w:tcW w:w="1980" w:type="dxa"/>
            <w:vAlign w:val="bottom"/>
            <w:shd w:val="clear" w:color="auto" w:fill="005CA9"/>
          </w:tcPr>
          <w:p>
            <w:pPr>
              <w:spacing w:after="0"/>
              <w:rPr>
                <w:sz w:val="6"/>
                <w:szCs w:val="6"/>
                <w:color w:val="auto"/>
              </w:rPr>
            </w:pPr>
          </w:p>
        </w:tc>
      </w:tr>
      <w:tr>
        <w:trPr>
          <w:trHeight w:val="219"/>
        </w:trPr>
        <w:tc>
          <w:tcPr>
            <w:tcW w:w="2720" w:type="dxa"/>
            <w:vAlign w:val="bottom"/>
            <w:shd w:val="clear" w:color="auto" w:fill="CFF0FC"/>
          </w:tcPr>
          <w:p>
            <w:pPr>
              <w:ind w:left="120"/>
              <w:spacing w:after="0" w:line="218" w:lineRule="exact"/>
              <w:rPr>
                <w:sz w:val="20"/>
                <w:szCs w:val="20"/>
                <w:color w:val="auto"/>
              </w:rPr>
            </w:pPr>
            <w:r>
              <w:rPr>
                <w:rFonts w:ascii="Calibri" w:cs="Calibri" w:eastAsia="Calibri" w:hAnsi="Calibri"/>
                <w:sz w:val="20"/>
                <w:szCs w:val="20"/>
                <w:color w:val="auto"/>
              </w:rPr>
              <w:t>Keh-Shew Lu</w:t>
            </w:r>
          </w:p>
        </w:tc>
        <w:tc>
          <w:tcPr>
            <w:tcW w:w="1560" w:type="dxa"/>
            <w:vAlign w:val="bottom"/>
            <w:shd w:val="clear" w:color="auto" w:fill="CFF0FC"/>
          </w:tcPr>
          <w:p>
            <w:pPr>
              <w:jc w:val="center"/>
              <w:ind w:left="581"/>
              <w:spacing w:after="0" w:line="218" w:lineRule="exact"/>
              <w:rPr>
                <w:sz w:val="20"/>
                <w:szCs w:val="20"/>
                <w:color w:val="auto"/>
              </w:rPr>
            </w:pPr>
            <w:r>
              <w:rPr>
                <w:rFonts w:ascii="Calibri" w:cs="Calibri" w:eastAsia="Calibri" w:hAnsi="Calibri"/>
                <w:sz w:val="20"/>
                <w:szCs w:val="20"/>
                <w:color w:val="auto"/>
                <w:w w:val="98"/>
              </w:rPr>
              <w:t>78</w:t>
            </w:r>
          </w:p>
        </w:tc>
        <w:tc>
          <w:tcPr>
            <w:tcW w:w="4980" w:type="dxa"/>
            <w:vAlign w:val="bottom"/>
            <w:shd w:val="clear" w:color="auto" w:fill="CFF0FC"/>
          </w:tcPr>
          <w:p>
            <w:pPr>
              <w:ind w:left="300"/>
              <w:spacing w:after="0" w:line="218" w:lineRule="exact"/>
              <w:rPr>
                <w:sz w:val="20"/>
                <w:szCs w:val="20"/>
                <w:color w:val="auto"/>
              </w:rPr>
            </w:pPr>
            <w:r>
              <w:rPr>
                <w:rFonts w:ascii="Calibri" w:cs="Calibri" w:eastAsia="Calibri" w:hAnsi="Calibri"/>
                <w:sz w:val="20"/>
                <w:szCs w:val="20"/>
                <w:color w:val="auto"/>
              </w:rPr>
              <w:t>Chairman of the Board, Chief Executve Ofcer, and</w:t>
            </w:r>
          </w:p>
        </w:tc>
        <w:tc>
          <w:tcPr>
            <w:tcW w:w="1980" w:type="dxa"/>
            <w:vAlign w:val="bottom"/>
            <w:shd w:val="clear" w:color="auto" w:fill="CFF0FC"/>
          </w:tcPr>
          <w:p>
            <w:pPr>
              <w:jc w:val="center"/>
              <w:ind w:left="21"/>
              <w:spacing w:after="0" w:line="218" w:lineRule="exact"/>
              <w:rPr>
                <w:sz w:val="20"/>
                <w:szCs w:val="20"/>
                <w:color w:val="auto"/>
              </w:rPr>
            </w:pPr>
            <w:r>
              <w:rPr>
                <w:rFonts w:ascii="Calibri" w:cs="Calibri" w:eastAsia="Calibri" w:hAnsi="Calibri"/>
                <w:sz w:val="20"/>
                <w:szCs w:val="20"/>
                <w:color w:val="auto"/>
              </w:rPr>
              <w:t>2001</w:t>
            </w:r>
          </w:p>
        </w:tc>
      </w:tr>
      <w:tr>
        <w:trPr>
          <w:trHeight w:val="247"/>
        </w:trPr>
        <w:tc>
          <w:tcPr>
            <w:tcW w:w="27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spacing w:after="0"/>
              <w:rPr>
                <w:sz w:val="21"/>
                <w:szCs w:val="21"/>
                <w:color w:val="auto"/>
              </w:rPr>
            </w:pPr>
          </w:p>
        </w:tc>
        <w:tc>
          <w:tcPr>
            <w:tcW w:w="4980" w:type="dxa"/>
            <w:vAlign w:val="bottom"/>
            <w:tcBorders>
              <w:bottom w:val="single" w:sz="8" w:color="CFF0FC"/>
            </w:tcBorders>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Director</w:t>
            </w:r>
          </w:p>
        </w:tc>
        <w:tc>
          <w:tcPr>
            <w:tcW w:w="1980" w:type="dxa"/>
            <w:vAlign w:val="bottom"/>
            <w:tcBorders>
              <w:bottom w:val="single" w:sz="8" w:color="CFF0FC"/>
            </w:tcBorders>
            <w:shd w:val="clear" w:color="auto" w:fill="CFF0FC"/>
          </w:tcPr>
          <w:p>
            <w:pPr>
              <w:spacing w:after="0"/>
              <w:rPr>
                <w:sz w:val="21"/>
                <w:szCs w:val="21"/>
                <w:color w:val="auto"/>
              </w:rPr>
            </w:pPr>
          </w:p>
        </w:tc>
      </w:tr>
      <w:tr>
        <w:trPr>
          <w:trHeight w:val="239"/>
        </w:trPr>
        <w:tc>
          <w:tcPr>
            <w:tcW w:w="2720" w:type="dxa"/>
            <w:vAlign w:val="bottom"/>
          </w:tcPr>
          <w:p>
            <w:pPr>
              <w:ind w:left="120"/>
              <w:spacing w:after="0" w:line="234" w:lineRule="exact"/>
              <w:rPr>
                <w:sz w:val="20"/>
                <w:szCs w:val="20"/>
                <w:color w:val="auto"/>
              </w:rPr>
            </w:pPr>
            <w:r>
              <w:rPr>
                <w:rFonts w:ascii="Calibri" w:cs="Calibri" w:eastAsia="Calibri" w:hAnsi="Calibri"/>
                <w:sz w:val="20"/>
                <w:szCs w:val="20"/>
                <w:color w:val="auto"/>
              </w:rPr>
              <w:t>Angie Chen Buton</w:t>
            </w:r>
          </w:p>
        </w:tc>
        <w:tc>
          <w:tcPr>
            <w:tcW w:w="1560" w:type="dxa"/>
            <w:vAlign w:val="bottom"/>
          </w:tcPr>
          <w:p>
            <w:pPr>
              <w:jc w:val="center"/>
              <w:ind w:left="581"/>
              <w:spacing w:after="0" w:line="234" w:lineRule="exact"/>
              <w:rPr>
                <w:sz w:val="20"/>
                <w:szCs w:val="20"/>
                <w:color w:val="auto"/>
              </w:rPr>
            </w:pPr>
            <w:r>
              <w:rPr>
                <w:rFonts w:ascii="Calibri" w:cs="Calibri" w:eastAsia="Calibri" w:hAnsi="Calibri"/>
                <w:sz w:val="20"/>
                <w:szCs w:val="20"/>
                <w:color w:val="auto"/>
                <w:w w:val="98"/>
              </w:rPr>
              <w:t>71</w:t>
            </w:r>
          </w:p>
        </w:tc>
        <w:tc>
          <w:tcPr>
            <w:tcW w:w="4980" w:type="dxa"/>
            <w:vAlign w:val="bottom"/>
          </w:tcPr>
          <w:p>
            <w:pPr>
              <w:ind w:left="300"/>
              <w:spacing w:after="0" w:line="234" w:lineRule="exact"/>
              <w:rPr>
                <w:sz w:val="20"/>
                <w:szCs w:val="20"/>
                <w:color w:val="auto"/>
              </w:rPr>
            </w:pPr>
            <w:r>
              <w:rPr>
                <w:rFonts w:ascii="Calibri" w:cs="Calibri" w:eastAsia="Calibri" w:hAnsi="Calibri"/>
                <w:sz w:val="20"/>
                <w:szCs w:val="20"/>
                <w:color w:val="auto"/>
              </w:rPr>
              <w:t>Lead Independent Director</w:t>
            </w:r>
          </w:p>
        </w:tc>
        <w:tc>
          <w:tcPr>
            <w:tcW w:w="1980" w:type="dxa"/>
            <w:vAlign w:val="bottom"/>
          </w:tcPr>
          <w:p>
            <w:pPr>
              <w:jc w:val="center"/>
              <w:ind w:left="21"/>
              <w:spacing w:after="0" w:line="234" w:lineRule="exact"/>
              <w:rPr>
                <w:sz w:val="20"/>
                <w:szCs w:val="20"/>
                <w:color w:val="auto"/>
              </w:rPr>
            </w:pPr>
            <w:r>
              <w:rPr>
                <w:rFonts w:ascii="Calibri" w:cs="Calibri" w:eastAsia="Calibri" w:hAnsi="Calibri"/>
                <w:sz w:val="20"/>
                <w:szCs w:val="20"/>
                <w:color w:val="auto"/>
              </w:rPr>
              <w:t>2021</w:t>
            </w:r>
          </w:p>
        </w:tc>
      </w:tr>
      <w:tr>
        <w:trPr>
          <w:trHeight w:val="247"/>
        </w:trPr>
        <w:tc>
          <w:tcPr>
            <w:tcW w:w="2720" w:type="dxa"/>
            <w:vAlign w:val="bottom"/>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Elizabeth Bull</w:t>
            </w:r>
          </w:p>
        </w:tc>
        <w:tc>
          <w:tcPr>
            <w:tcW w:w="1560" w:type="dxa"/>
            <w:vAlign w:val="bottom"/>
            <w:shd w:val="clear" w:color="auto" w:fill="CFF0FC"/>
          </w:tcPr>
          <w:p>
            <w:pPr>
              <w:jc w:val="center"/>
              <w:ind w:left="581"/>
              <w:spacing w:after="0" w:line="239" w:lineRule="exact"/>
              <w:rPr>
                <w:sz w:val="20"/>
                <w:szCs w:val="20"/>
                <w:color w:val="auto"/>
              </w:rPr>
            </w:pPr>
            <w:r>
              <w:rPr>
                <w:rFonts w:ascii="Calibri" w:cs="Calibri" w:eastAsia="Calibri" w:hAnsi="Calibri"/>
                <w:sz w:val="20"/>
                <w:szCs w:val="20"/>
                <w:color w:val="auto"/>
                <w:w w:val="98"/>
              </w:rPr>
              <w:t>66</w:t>
            </w:r>
          </w:p>
        </w:tc>
        <w:tc>
          <w:tcPr>
            <w:tcW w:w="4980" w:type="dxa"/>
            <w:vAlign w:val="bottom"/>
            <w:shd w:val="clear" w:color="auto" w:fill="CFF0FC"/>
          </w:tcPr>
          <w:p>
            <w:pPr>
              <w:ind w:left="300"/>
              <w:spacing w:after="0" w:line="239" w:lineRule="exact"/>
              <w:rPr>
                <w:sz w:val="20"/>
                <w:szCs w:val="20"/>
                <w:color w:val="auto"/>
              </w:rPr>
            </w:pPr>
            <w:r>
              <w:rPr>
                <w:rFonts w:ascii="Calibri" w:cs="Calibri" w:eastAsia="Calibri" w:hAnsi="Calibri"/>
                <w:sz w:val="20"/>
                <w:szCs w:val="20"/>
                <w:color w:val="auto"/>
              </w:rPr>
              <w:t>Independent Director</w:t>
            </w:r>
          </w:p>
        </w:tc>
        <w:tc>
          <w:tcPr>
            <w:tcW w:w="1980" w:type="dxa"/>
            <w:vAlign w:val="bottom"/>
            <w:shd w:val="clear" w:color="auto" w:fill="CFF0FC"/>
          </w:tcPr>
          <w:p>
            <w:pPr>
              <w:jc w:val="center"/>
              <w:ind w:left="21"/>
              <w:spacing w:after="0" w:line="239" w:lineRule="exact"/>
              <w:rPr>
                <w:sz w:val="20"/>
                <w:szCs w:val="20"/>
                <w:color w:val="auto"/>
              </w:rPr>
            </w:pPr>
            <w:r>
              <w:rPr>
                <w:rFonts w:ascii="Calibri" w:cs="Calibri" w:eastAsia="Calibri" w:hAnsi="Calibri"/>
                <w:sz w:val="20"/>
                <w:szCs w:val="20"/>
                <w:color w:val="auto"/>
              </w:rPr>
              <w:t>2023</w:t>
            </w:r>
          </w:p>
        </w:tc>
      </w:tr>
      <w:tr>
        <w:trPr>
          <w:trHeight w:val="239"/>
        </w:trPr>
        <w:tc>
          <w:tcPr>
            <w:tcW w:w="2720" w:type="dxa"/>
            <w:vAlign w:val="bottom"/>
          </w:tcPr>
          <w:p>
            <w:pPr>
              <w:ind w:left="120"/>
              <w:spacing w:after="0" w:line="234" w:lineRule="exact"/>
              <w:rPr>
                <w:sz w:val="20"/>
                <w:szCs w:val="20"/>
                <w:color w:val="auto"/>
              </w:rPr>
            </w:pPr>
            <w:r>
              <w:rPr>
                <w:rFonts w:ascii="Calibri" w:cs="Calibri" w:eastAsia="Calibri" w:hAnsi="Calibri"/>
                <w:sz w:val="20"/>
                <w:szCs w:val="20"/>
                <w:color w:val="auto"/>
              </w:rPr>
              <w:t>Warren Chen</w:t>
            </w:r>
          </w:p>
        </w:tc>
        <w:tc>
          <w:tcPr>
            <w:tcW w:w="1560" w:type="dxa"/>
            <w:vAlign w:val="bottom"/>
          </w:tcPr>
          <w:p>
            <w:pPr>
              <w:jc w:val="center"/>
              <w:ind w:left="581"/>
              <w:spacing w:after="0" w:line="234" w:lineRule="exact"/>
              <w:rPr>
                <w:sz w:val="20"/>
                <w:szCs w:val="20"/>
                <w:color w:val="auto"/>
              </w:rPr>
            </w:pPr>
            <w:r>
              <w:rPr>
                <w:rFonts w:ascii="Calibri" w:cs="Calibri" w:eastAsia="Calibri" w:hAnsi="Calibri"/>
                <w:sz w:val="20"/>
                <w:szCs w:val="20"/>
                <w:color w:val="auto"/>
                <w:w w:val="98"/>
              </w:rPr>
              <w:t>75</w:t>
            </w:r>
          </w:p>
        </w:tc>
        <w:tc>
          <w:tcPr>
            <w:tcW w:w="4980" w:type="dxa"/>
            <w:vAlign w:val="bottom"/>
          </w:tcPr>
          <w:p>
            <w:pPr>
              <w:ind w:left="300"/>
              <w:spacing w:after="0" w:line="234" w:lineRule="exact"/>
              <w:rPr>
                <w:sz w:val="20"/>
                <w:szCs w:val="20"/>
                <w:color w:val="auto"/>
              </w:rPr>
            </w:pPr>
            <w:r>
              <w:rPr>
                <w:rFonts w:ascii="Calibri" w:cs="Calibri" w:eastAsia="Calibri" w:hAnsi="Calibri"/>
                <w:sz w:val="20"/>
                <w:szCs w:val="20"/>
                <w:color w:val="auto"/>
              </w:rPr>
              <w:t>Independent Director</w:t>
            </w:r>
          </w:p>
        </w:tc>
        <w:tc>
          <w:tcPr>
            <w:tcW w:w="1980" w:type="dxa"/>
            <w:vAlign w:val="bottom"/>
          </w:tcPr>
          <w:p>
            <w:pPr>
              <w:jc w:val="center"/>
              <w:ind w:left="21"/>
              <w:spacing w:after="0" w:line="234" w:lineRule="exact"/>
              <w:rPr>
                <w:sz w:val="20"/>
                <w:szCs w:val="20"/>
                <w:color w:val="auto"/>
              </w:rPr>
            </w:pPr>
            <w:r>
              <w:rPr>
                <w:rFonts w:ascii="Calibri" w:cs="Calibri" w:eastAsia="Calibri" w:hAnsi="Calibri"/>
                <w:sz w:val="20"/>
                <w:szCs w:val="20"/>
                <w:color w:val="auto"/>
              </w:rPr>
              <w:t>2020</w:t>
            </w:r>
          </w:p>
        </w:tc>
      </w:tr>
      <w:tr>
        <w:trPr>
          <w:trHeight w:val="247"/>
        </w:trPr>
        <w:tc>
          <w:tcPr>
            <w:tcW w:w="2720" w:type="dxa"/>
            <w:vAlign w:val="bottom"/>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Robert E. Feiger</w:t>
            </w:r>
          </w:p>
        </w:tc>
        <w:tc>
          <w:tcPr>
            <w:tcW w:w="1560" w:type="dxa"/>
            <w:vAlign w:val="bottom"/>
            <w:shd w:val="clear" w:color="auto" w:fill="CFF0FC"/>
          </w:tcPr>
          <w:p>
            <w:pPr>
              <w:jc w:val="center"/>
              <w:ind w:left="581"/>
              <w:spacing w:after="0" w:line="239" w:lineRule="exact"/>
              <w:rPr>
                <w:sz w:val="20"/>
                <w:szCs w:val="20"/>
                <w:color w:val="auto"/>
              </w:rPr>
            </w:pPr>
            <w:r>
              <w:rPr>
                <w:rFonts w:ascii="Calibri" w:cs="Calibri" w:eastAsia="Calibri" w:hAnsi="Calibri"/>
                <w:sz w:val="20"/>
                <w:szCs w:val="20"/>
                <w:color w:val="auto"/>
                <w:w w:val="98"/>
              </w:rPr>
              <w:t>76</w:t>
            </w:r>
          </w:p>
        </w:tc>
        <w:tc>
          <w:tcPr>
            <w:tcW w:w="4980" w:type="dxa"/>
            <w:vAlign w:val="bottom"/>
            <w:shd w:val="clear" w:color="auto" w:fill="CFF0FC"/>
          </w:tcPr>
          <w:p>
            <w:pPr>
              <w:ind w:left="300"/>
              <w:spacing w:after="0" w:line="239" w:lineRule="exact"/>
              <w:rPr>
                <w:sz w:val="20"/>
                <w:szCs w:val="20"/>
                <w:color w:val="auto"/>
              </w:rPr>
            </w:pPr>
            <w:r>
              <w:rPr>
                <w:rFonts w:ascii="Calibri" w:cs="Calibri" w:eastAsia="Calibri" w:hAnsi="Calibri"/>
                <w:sz w:val="20"/>
                <w:szCs w:val="20"/>
                <w:color w:val="auto"/>
              </w:rPr>
              <w:t>Independent Director</w:t>
            </w:r>
          </w:p>
        </w:tc>
        <w:tc>
          <w:tcPr>
            <w:tcW w:w="1980" w:type="dxa"/>
            <w:vAlign w:val="bottom"/>
            <w:shd w:val="clear" w:color="auto" w:fill="CFF0FC"/>
          </w:tcPr>
          <w:p>
            <w:pPr>
              <w:jc w:val="center"/>
              <w:ind w:left="21"/>
              <w:spacing w:after="0" w:line="239" w:lineRule="exact"/>
              <w:rPr>
                <w:sz w:val="20"/>
                <w:szCs w:val="20"/>
                <w:color w:val="auto"/>
              </w:rPr>
            </w:pPr>
            <w:r>
              <w:rPr>
                <w:rFonts w:ascii="Calibri" w:cs="Calibri" w:eastAsia="Calibri" w:hAnsi="Calibri"/>
                <w:sz w:val="20"/>
                <w:szCs w:val="20"/>
                <w:color w:val="auto"/>
              </w:rPr>
              <w:t>2024</w:t>
            </w:r>
          </w:p>
        </w:tc>
      </w:tr>
      <w:tr>
        <w:trPr>
          <w:trHeight w:val="239"/>
        </w:trPr>
        <w:tc>
          <w:tcPr>
            <w:tcW w:w="2720" w:type="dxa"/>
            <w:vAlign w:val="bottom"/>
          </w:tcPr>
          <w:p>
            <w:pPr>
              <w:ind w:left="120"/>
              <w:spacing w:after="0" w:line="234" w:lineRule="exact"/>
              <w:rPr>
                <w:sz w:val="20"/>
                <w:szCs w:val="20"/>
                <w:color w:val="auto"/>
              </w:rPr>
            </w:pPr>
            <w:r>
              <w:rPr>
                <w:rFonts w:ascii="Calibri" w:cs="Calibri" w:eastAsia="Calibri" w:hAnsi="Calibri"/>
                <w:sz w:val="20"/>
                <w:szCs w:val="20"/>
                <w:color w:val="auto"/>
              </w:rPr>
              <w:t>Huey-Jen (Jenny) Su</w:t>
            </w:r>
          </w:p>
        </w:tc>
        <w:tc>
          <w:tcPr>
            <w:tcW w:w="1560" w:type="dxa"/>
            <w:vAlign w:val="bottom"/>
          </w:tcPr>
          <w:p>
            <w:pPr>
              <w:jc w:val="center"/>
              <w:ind w:left="581"/>
              <w:spacing w:after="0" w:line="234" w:lineRule="exact"/>
              <w:rPr>
                <w:sz w:val="20"/>
                <w:szCs w:val="20"/>
                <w:color w:val="auto"/>
              </w:rPr>
            </w:pPr>
            <w:r>
              <w:rPr>
                <w:rFonts w:ascii="Calibri" w:cs="Calibri" w:eastAsia="Calibri" w:hAnsi="Calibri"/>
                <w:sz w:val="20"/>
                <w:szCs w:val="20"/>
                <w:color w:val="auto"/>
                <w:w w:val="98"/>
              </w:rPr>
              <w:t>65</w:t>
            </w:r>
          </w:p>
        </w:tc>
        <w:tc>
          <w:tcPr>
            <w:tcW w:w="4980" w:type="dxa"/>
            <w:vAlign w:val="bottom"/>
          </w:tcPr>
          <w:p>
            <w:pPr>
              <w:ind w:left="300"/>
              <w:spacing w:after="0" w:line="234" w:lineRule="exact"/>
              <w:rPr>
                <w:sz w:val="20"/>
                <w:szCs w:val="20"/>
                <w:color w:val="auto"/>
              </w:rPr>
            </w:pPr>
            <w:r>
              <w:rPr>
                <w:rFonts w:ascii="Calibri" w:cs="Calibri" w:eastAsia="Calibri" w:hAnsi="Calibri"/>
                <w:sz w:val="20"/>
                <w:szCs w:val="20"/>
                <w:color w:val="auto"/>
              </w:rPr>
              <w:t>Independent Director</w:t>
            </w:r>
          </w:p>
        </w:tc>
        <w:tc>
          <w:tcPr>
            <w:tcW w:w="1980" w:type="dxa"/>
            <w:vAlign w:val="bottom"/>
          </w:tcPr>
          <w:p>
            <w:pPr>
              <w:jc w:val="center"/>
              <w:ind w:left="21"/>
              <w:spacing w:after="0" w:line="234" w:lineRule="exact"/>
              <w:rPr>
                <w:sz w:val="20"/>
                <w:szCs w:val="20"/>
                <w:color w:val="auto"/>
              </w:rPr>
            </w:pPr>
            <w:r>
              <w:rPr>
                <w:rFonts w:ascii="Calibri" w:cs="Calibri" w:eastAsia="Calibri" w:hAnsi="Calibri"/>
                <w:sz w:val="20"/>
                <w:szCs w:val="20"/>
                <w:color w:val="auto"/>
              </w:rPr>
              <w:t>2025</w:t>
            </w:r>
          </w:p>
        </w:tc>
      </w:tr>
      <w:tr>
        <w:trPr>
          <w:trHeight w:val="243"/>
        </w:trPr>
        <w:tc>
          <w:tcPr>
            <w:tcW w:w="2720" w:type="dxa"/>
            <w:vAlign w:val="bottom"/>
            <w:tcBorders>
              <w:bottom w:val="single" w:sz="8" w:color="4F81BD"/>
            </w:tcBorders>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Gary Yu</w:t>
            </w:r>
          </w:p>
        </w:tc>
        <w:tc>
          <w:tcPr>
            <w:tcW w:w="1560" w:type="dxa"/>
            <w:vAlign w:val="bottom"/>
            <w:tcBorders>
              <w:bottom w:val="single" w:sz="8" w:color="4F81BD"/>
            </w:tcBorders>
            <w:shd w:val="clear" w:color="auto" w:fill="CFF0FC"/>
          </w:tcPr>
          <w:p>
            <w:pPr>
              <w:jc w:val="center"/>
              <w:ind w:left="581"/>
              <w:spacing w:after="0" w:line="239" w:lineRule="exact"/>
              <w:rPr>
                <w:sz w:val="20"/>
                <w:szCs w:val="20"/>
                <w:color w:val="auto"/>
              </w:rPr>
            </w:pPr>
            <w:r>
              <w:rPr>
                <w:rFonts w:ascii="Calibri" w:cs="Calibri" w:eastAsia="Calibri" w:hAnsi="Calibri"/>
                <w:sz w:val="20"/>
                <w:szCs w:val="20"/>
                <w:color w:val="auto"/>
                <w:w w:val="98"/>
              </w:rPr>
              <w:t>51</w:t>
            </w:r>
          </w:p>
        </w:tc>
        <w:tc>
          <w:tcPr>
            <w:tcW w:w="4980" w:type="dxa"/>
            <w:vAlign w:val="bottom"/>
            <w:tcBorders>
              <w:bottom w:val="single" w:sz="8" w:color="4F81BD"/>
            </w:tcBorders>
            <w:shd w:val="clear" w:color="auto" w:fill="CFF0FC"/>
          </w:tcPr>
          <w:p>
            <w:pPr>
              <w:ind w:left="300"/>
              <w:spacing w:after="0" w:line="239" w:lineRule="exact"/>
              <w:rPr>
                <w:sz w:val="20"/>
                <w:szCs w:val="20"/>
                <w:color w:val="auto"/>
              </w:rPr>
            </w:pPr>
            <w:r>
              <w:rPr>
                <w:rFonts w:ascii="Calibri" w:cs="Calibri" w:eastAsia="Calibri" w:hAnsi="Calibri"/>
                <w:sz w:val="20"/>
                <w:szCs w:val="20"/>
                <w:color w:val="auto"/>
              </w:rPr>
              <w:t>President and Director</w:t>
            </w:r>
          </w:p>
        </w:tc>
        <w:tc>
          <w:tcPr>
            <w:tcW w:w="1980" w:type="dxa"/>
            <w:vAlign w:val="bottom"/>
            <w:tcBorders>
              <w:bottom w:val="single" w:sz="8" w:color="4F81BD"/>
            </w:tcBorders>
            <w:shd w:val="clear" w:color="auto" w:fill="CFF0FC"/>
          </w:tcPr>
          <w:p>
            <w:pPr>
              <w:jc w:val="center"/>
              <w:ind w:left="21"/>
              <w:spacing w:after="0" w:line="239" w:lineRule="exact"/>
              <w:rPr>
                <w:sz w:val="20"/>
                <w:szCs w:val="20"/>
                <w:color w:val="auto"/>
              </w:rPr>
            </w:pPr>
            <w:r>
              <w:rPr>
                <w:rFonts w:ascii="Calibri" w:cs="Calibri" w:eastAsia="Calibri" w:hAnsi="Calibri"/>
                <w:sz w:val="20"/>
                <w:szCs w:val="20"/>
                <w:color w:val="auto"/>
              </w:rPr>
              <w:t>2024</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9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2" w:name="page13"/>
    <w:bookmarkEnd w:id="12"/>
    <w:p>
      <w:pPr>
        <w:spacing w:after="0"/>
        <w:rPr>
          <w:sz w:val="20"/>
          <w:szCs w:val="20"/>
          <w:color w:val="auto"/>
        </w:rPr>
      </w:pPr>
      <w:r>
        <w:rPr>
          <w:rFonts w:ascii="Calibri" w:cs="Calibri" w:eastAsia="Calibri" w:hAnsi="Calibri"/>
          <w:sz w:val="20"/>
          <w:szCs w:val="20"/>
          <w:b w:val="1"/>
          <w:bCs w:val="1"/>
          <w:color w:val="auto"/>
        </w:rPr>
        <w:t>Keh-Shew Lu</w:t>
      </w:r>
    </w:p>
    <w:p>
      <w:pPr>
        <w:spacing w:after="0" w:line="238" w:lineRule="auto"/>
        <w:rPr>
          <w:sz w:val="20"/>
          <w:szCs w:val="20"/>
          <w:color w:val="auto"/>
        </w:rPr>
      </w:pPr>
      <w:r>
        <w:rPr>
          <w:rFonts w:ascii="Calibri" w:cs="Calibri" w:eastAsia="Calibri" w:hAnsi="Calibri"/>
          <w:sz w:val="20"/>
          <w:szCs w:val="20"/>
          <w:color w:val="auto"/>
        </w:rPr>
        <w:t>Chairman of the Board, Chief Executve Ofcer, and Director</w:t>
      </w:r>
    </w:p>
    <w:p>
      <w:pPr>
        <w:spacing w:after="0"/>
        <w:rPr>
          <w:sz w:val="20"/>
          <w:szCs w:val="20"/>
          <w:color w:val="auto"/>
        </w:rPr>
      </w:pPr>
      <w:r>
        <w:rPr>
          <w:rFonts w:ascii="Calibri" w:cs="Calibri" w:eastAsia="Calibri" w:hAnsi="Calibri"/>
          <w:sz w:val="20"/>
          <w:szCs w:val="20"/>
          <w:color w:val="auto"/>
        </w:rPr>
        <w:t>Member, Risk Oversight Commitee</w:t>
      </w:r>
    </w:p>
    <w:p>
      <w:pPr>
        <w:spacing w:after="0" w:line="116"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Dr. Lu was elected Chairman of the Board in May 2020 and appointed President and Chief Executve Ofcer of the Company in June 2005 afer serving on the Board since 2001. Dr. Lu served as President untl Mr. Yu was appointed to that positon in January 2024. Dr. Lu is also a board member of Lite-On Technology Corporaton, a publicly held company. Dr. Lu is the founding Chairman of the Asian American Citzen’s Council. From 2001 to 2005, Dr. Lu was a partner of the WK Technology Venture Fund. From 1998 to 2001, Dr. Lu served as Senior Vice President and General Manager of Worldwide Mixed-Signal and Logic Products of Texas Instruments (“TI”). His responsibilites included all aspects of the analog, mixed-signal and logic products for TI’s worldwide business, including design, process and product development, manufacturing and marketng. From 1996 to 1998, Dr. Lu was the manager of TI’s worldwide memory business. In additon, he served as the President of TI Asia from 1994 to 1997 where he supervised all of TI actvites in Asia, excluding Japan. Dr. Lu holds a bachelor’s degree in Electrical Engineering from the Natonal Cheng Kung University in Taiwan, and a master’s degree and a doctorate in Electrical Engineering from Texas Tech University.</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Having worked in the semiconductor industry for more than 40 years and, partcularly, having served in various managerial and senior executve capacites at TI, Dr. Lu possesses a wealth of semiconductor management experience. Dr. Lu is also an experienced board leader and member, having served for many years on behalf of several public and private companies.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Angie Chen Buton</w:t>
      </w:r>
    </w:p>
    <w:p>
      <w:pPr>
        <w:spacing w:after="0" w:line="238" w:lineRule="auto"/>
        <w:rPr>
          <w:sz w:val="20"/>
          <w:szCs w:val="20"/>
          <w:color w:val="auto"/>
        </w:rPr>
      </w:pPr>
      <w:r>
        <w:rPr>
          <w:rFonts w:ascii="Calibri" w:cs="Calibri" w:eastAsia="Calibri" w:hAnsi="Calibri"/>
          <w:sz w:val="20"/>
          <w:szCs w:val="20"/>
          <w:color w:val="auto"/>
        </w:rPr>
        <w:t>Lead Independent Director</w:t>
      </w:r>
    </w:p>
    <w:p>
      <w:pPr>
        <w:spacing w:after="0"/>
        <w:rPr>
          <w:sz w:val="20"/>
          <w:szCs w:val="20"/>
          <w:color w:val="auto"/>
        </w:rPr>
      </w:pPr>
      <w:r>
        <w:rPr>
          <w:rFonts w:ascii="Calibri" w:cs="Calibri" w:eastAsia="Calibri" w:hAnsi="Calibri"/>
          <w:sz w:val="20"/>
          <w:szCs w:val="20"/>
          <w:color w:val="auto"/>
        </w:rPr>
        <w:t>Chair, Compensaton Commitee</w:t>
      </w:r>
    </w:p>
    <w:p>
      <w:pPr>
        <w:spacing w:after="0" w:line="238" w:lineRule="auto"/>
        <w:rPr>
          <w:sz w:val="20"/>
          <w:szCs w:val="20"/>
          <w:color w:val="auto"/>
        </w:rPr>
      </w:pPr>
      <w:r>
        <w:rPr>
          <w:rFonts w:ascii="Calibri" w:cs="Calibri" w:eastAsia="Calibri" w:hAnsi="Calibri"/>
          <w:sz w:val="20"/>
          <w:szCs w:val="20"/>
          <w:color w:val="auto"/>
        </w:rPr>
        <w:t>Chair, Governance and Stockholder Relatons Commitee</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Ms. Buton has served as a representatve in the State of Texas House of Representatves since 2009. The only Asian American Woman legislator in Texas, she currently chairs the Trade, Workforce, and Economic Development Commitee, and has previously served as Chair of the Internatonal Relatons and Economic Development Commitee, Chair of the Urban Afairs Commitee, as Chair of the Economic and Small Business Development Commitee, as Vice Chair of the Technology Commitee, sat on the Appropriatons (Budget) Commitee, and has sat and currently serves on the Ways and Means (Taxaton) Commitee. A CPA, Ms. Buton worked for Texas Instruments for over 30 years in various auditng, fnance, business development, procurement, and internatonal marketng positons. She also served on the Audit Commitee of the Dallas Area Rapid Transit Board. Texas Monthly named Ms. Buton as a “Top 10 Best Legislator” in 2021 and 2023; the Texas Healthcare &amp; Bioscience Insttute awarded her its “Luminary Award” in 2023; and the Texas Associaton for the Educaton of Young Children awarded her as its “Elected Ofcial of the Year” in 2021. As a state representatve, she brings experience and connectons in dealing with government ofcials and business leaders, including promotng internatonal business and trade. Ms. Buton provides the Board with semiconductor industry experience, leadership skills, as well as state and natonal governmental knowledge.</w:t>
      </w:r>
    </w:p>
    <w:p>
      <w:pPr>
        <w:spacing w:after="0" w:line="3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Ms. Buton received her bachelor’s degree in Accountng from Natonal Taiwan University in 1976, her master’s degree in Public Finance from Natonal Chengchi University in 1978, and her master’s degree in Management Science from University of Texas at Dallas in 1980, which has recognized her as an outstanding alumnus. Ms. Buton is a co-founder of the DFW Asian American Citzens Council.</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Ms. Buton is not related to Mr. Warren Chen.</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Elizabeth Bull</w:t>
      </w:r>
    </w:p>
    <w:p>
      <w:pPr>
        <w:spacing w:after="0" w:line="238" w:lineRule="auto"/>
        <w:rPr>
          <w:sz w:val="20"/>
          <w:szCs w:val="20"/>
          <w:color w:val="auto"/>
        </w:rPr>
      </w:pPr>
      <w:r>
        <w:rPr>
          <w:rFonts w:ascii="Calibri" w:cs="Calibri" w:eastAsia="Calibri" w:hAnsi="Calibri"/>
          <w:sz w:val="20"/>
          <w:szCs w:val="20"/>
          <w:color w:val="auto"/>
        </w:rPr>
        <w:t>Independent Director</w:t>
      </w:r>
    </w:p>
    <w:p>
      <w:pPr>
        <w:spacing w:after="0"/>
        <w:rPr>
          <w:sz w:val="20"/>
          <w:szCs w:val="20"/>
          <w:color w:val="auto"/>
        </w:rPr>
      </w:pPr>
      <w:r>
        <w:rPr>
          <w:rFonts w:ascii="Calibri" w:cs="Calibri" w:eastAsia="Calibri" w:hAnsi="Calibri"/>
          <w:sz w:val="20"/>
          <w:szCs w:val="20"/>
          <w:color w:val="auto"/>
        </w:rPr>
        <w:t>Chair, Audit Commitee (Audit Commitee Financial Expert)</w:t>
      </w:r>
    </w:p>
    <w:p>
      <w:pPr>
        <w:spacing w:after="0" w:line="238" w:lineRule="auto"/>
        <w:rPr>
          <w:sz w:val="20"/>
          <w:szCs w:val="20"/>
          <w:color w:val="auto"/>
        </w:rPr>
      </w:pPr>
      <w:r>
        <w:rPr>
          <w:rFonts w:ascii="Calibri" w:cs="Calibri" w:eastAsia="Calibri" w:hAnsi="Calibri"/>
          <w:sz w:val="20"/>
          <w:szCs w:val="20"/>
          <w:color w:val="auto"/>
        </w:rPr>
        <w:t>Member, Compensaton Commitee</w:t>
      </w:r>
    </w:p>
    <w:p>
      <w:pPr>
        <w:spacing w:after="0" w:line="23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10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3" w:name="page14"/>
    <w:bookmarkEnd w:id="13"/>
    <w:p>
      <w:pPr>
        <w:jc w:val="both"/>
        <w:spacing w:after="0" w:line="236" w:lineRule="auto"/>
        <w:rPr>
          <w:sz w:val="20"/>
          <w:szCs w:val="20"/>
          <w:color w:val="auto"/>
        </w:rPr>
      </w:pPr>
      <w:r>
        <w:rPr>
          <w:rFonts w:ascii="Calibri" w:cs="Calibri" w:eastAsia="Calibri" w:hAnsi="Calibri"/>
          <w:sz w:val="20"/>
          <w:szCs w:val="20"/>
          <w:color w:val="auto"/>
        </w:rPr>
        <w:t>Ms. Bull is the former Chief Financial Ofcer of Communites Foundaton of Texas ("CFT"). CFT is a Dallas-based non-proft grant-making organizaton and is one of the largest community foundatons in the naton, with more than $1.5 billion in assets. In her role as CFO, Ms. Bull held full budget accountability, reportng to the CEO and Board/Commitees. She served as Staf Lead on Finance &amp; Audit, Investment, Compensaton, Governance, and Building Commitees for the CFT Board of Trustees, partnering for organizatonal growth.</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Prior to CFT, Ms. Bull was Vice President and Treasurer of Texas Instruments, where she was employed for over 25 years. In her role as Vice President and Treasurer she led strategic fnancial, investment, operatonal, and people development initatves in progressive roles, working in multple Texas locatons and in Asia across eight countries. She was TI's frst female Vice President in Finance, Treasury, and Asia regional roles and worked with billion dollar and smaller enttes/organizatons in multple capacites.</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Ms. Bull received her MBA from the Kellogg School of Management at Northwestern University and her bachelor's degree in Mathematcs from DePauw University. She is a member of the North Texas chapter of the Natonal Associaton of Corporate Directors, and she is a 2025 candidate for Harvard Business School’s Executve Educaton Corporate Director Certfcate.</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Warren Chen</w:t>
      </w:r>
    </w:p>
    <w:p>
      <w:pPr>
        <w:spacing w:after="0" w:line="238" w:lineRule="auto"/>
        <w:rPr>
          <w:sz w:val="20"/>
          <w:szCs w:val="20"/>
          <w:color w:val="auto"/>
        </w:rPr>
      </w:pPr>
      <w:r>
        <w:rPr>
          <w:rFonts w:ascii="Calibri" w:cs="Calibri" w:eastAsia="Calibri" w:hAnsi="Calibri"/>
          <w:sz w:val="20"/>
          <w:szCs w:val="20"/>
          <w:color w:val="auto"/>
        </w:rPr>
        <w:t>Independent Director</w:t>
      </w:r>
    </w:p>
    <w:p>
      <w:pPr>
        <w:spacing w:after="0"/>
        <w:rPr>
          <w:sz w:val="20"/>
          <w:szCs w:val="20"/>
          <w:color w:val="auto"/>
        </w:rPr>
      </w:pPr>
      <w:r>
        <w:rPr>
          <w:rFonts w:ascii="Calibri" w:cs="Calibri" w:eastAsia="Calibri" w:hAnsi="Calibri"/>
          <w:sz w:val="20"/>
          <w:szCs w:val="20"/>
          <w:color w:val="auto"/>
        </w:rPr>
        <w:t>Chair, Risk Oversight Commitee</w:t>
      </w:r>
    </w:p>
    <w:p>
      <w:pPr>
        <w:spacing w:after="0" w:line="238" w:lineRule="auto"/>
        <w:rPr>
          <w:sz w:val="20"/>
          <w:szCs w:val="20"/>
          <w:color w:val="auto"/>
        </w:rPr>
      </w:pPr>
      <w:r>
        <w:rPr>
          <w:rFonts w:ascii="Calibri" w:cs="Calibri" w:eastAsia="Calibri" w:hAnsi="Calibri"/>
          <w:sz w:val="20"/>
          <w:szCs w:val="20"/>
          <w:color w:val="auto"/>
        </w:rPr>
        <w:t>Member, Compensaton Commitee</w:t>
      </w:r>
    </w:p>
    <w:p>
      <w:pPr>
        <w:spacing w:after="0"/>
        <w:rPr>
          <w:sz w:val="20"/>
          <w:szCs w:val="20"/>
          <w:color w:val="auto"/>
        </w:rPr>
      </w:pPr>
      <w:r>
        <w:rPr>
          <w:rFonts w:ascii="Calibri" w:cs="Calibri" w:eastAsia="Calibri" w:hAnsi="Calibri"/>
          <w:sz w:val="20"/>
          <w:szCs w:val="20"/>
          <w:color w:val="auto"/>
        </w:rPr>
        <w:t>Member, Governance and Stockholder Relatons Commitee</w:t>
      </w:r>
    </w:p>
    <w:p>
      <w:pPr>
        <w:spacing w:after="0" w:line="11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Mr. Chen was a member of the Board of Lite-On Technology Corp. (“LTC”) from 2002 to 2022. He was named Vice Chairman and Group CEO of LTC in 2014 and stepped down on July 31, 2020. He joined the Lite-On Group in 1983 and served in positons of increasing responsibility, including as Group Deputy CEO and Core Investment CEO from 2006 to 2014, Deputy CEO of LTC from 2000 to 2006, President of Taiwan Lite-On Electronics Inc. from 1992 to 2000, and Senior Vice President of Lite-On Inc. and Producton Manager of Compound Semi, Inc. (CA). Prior to joining the Lite-On Group, from 1975 to 1983, Mr. Chen served as manufacturing superintendent for TI Taiwan. Mr. Chen holds a bachelor’s degree in Chemical Engineering from Chinese Culture University. Lite-On Semiconductor Corp. was a company in the Lite-On Group. See “Certain Relatonships and Related Person Transactons – Relatonships and Transactons.”</w:t>
      </w:r>
    </w:p>
    <w:p>
      <w:pPr>
        <w:spacing w:after="0" w:line="12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Mr. Chen’s approximately 45 years of management experience in the electronics industry and the global supply chain provides the Board with perspectve on the future trends and challenges in the semiconductor industry. Mr. Warren Chen is not related to Ms. Angie Chen Buton.</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Robert E. Feiger</w:t>
      </w:r>
    </w:p>
    <w:p>
      <w:pPr>
        <w:spacing w:after="0" w:line="238" w:lineRule="auto"/>
        <w:rPr>
          <w:sz w:val="20"/>
          <w:szCs w:val="20"/>
          <w:color w:val="auto"/>
        </w:rPr>
      </w:pPr>
      <w:r>
        <w:rPr>
          <w:rFonts w:ascii="Calibri" w:cs="Calibri" w:eastAsia="Calibri" w:hAnsi="Calibri"/>
          <w:sz w:val="20"/>
          <w:szCs w:val="20"/>
          <w:color w:val="auto"/>
        </w:rPr>
        <w:t>Independent Director</w:t>
      </w:r>
    </w:p>
    <w:p>
      <w:pPr>
        <w:spacing w:after="0"/>
        <w:rPr>
          <w:sz w:val="20"/>
          <w:szCs w:val="20"/>
          <w:color w:val="auto"/>
        </w:rPr>
      </w:pPr>
      <w:r>
        <w:rPr>
          <w:rFonts w:ascii="Calibri" w:cs="Calibri" w:eastAsia="Calibri" w:hAnsi="Calibri"/>
          <w:sz w:val="20"/>
          <w:szCs w:val="20"/>
          <w:color w:val="auto"/>
        </w:rPr>
        <w:t>Member, Audit Commitee</w:t>
      </w:r>
    </w:p>
    <w:p>
      <w:pPr>
        <w:spacing w:after="0" w:line="238" w:lineRule="auto"/>
        <w:rPr>
          <w:sz w:val="20"/>
          <w:szCs w:val="20"/>
          <w:color w:val="auto"/>
        </w:rPr>
      </w:pPr>
      <w:r>
        <w:rPr>
          <w:rFonts w:ascii="Calibri" w:cs="Calibri" w:eastAsia="Calibri" w:hAnsi="Calibri"/>
          <w:sz w:val="20"/>
          <w:szCs w:val="20"/>
          <w:color w:val="auto"/>
        </w:rPr>
        <w:t>Member, Governance and Stockholder Relatons Commitee</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Mr. Feiger is the Senior Partner with the law frm of Friedman &amp; Feiger, LLP in Dallas, Texas. His practce is concentrated in the areas of commercial transactons, corporate structuring, mergers and acquisitons, corporate tax planning, personal estate tax and asset protecton planning. He formerly served as Staf Atorney for the United States Securites &amp; Exchange Commission in the Division of Enforcement, Special Proceedings, in Washington, D.C., and as an Assistant General Counsel for Betz Laboratories, Inc., a publicly-held company, in Philadelphia, Pennsylvania. Mr. Feiger holds the designaton of Accredited Estate Planner by the Natonal Associaton of Estate Planners and Councils. He is currently a member of the Dallas Estate Planning Council and formerly served as a member of the Advisory Council of The Dallas Foundaton. He is admited to the State Bar of Texas, and is also a member of the Tax Secton of the State Bar of Texas and the Dallas Bar Associaton.</w:t>
      </w:r>
    </w:p>
    <w:p>
      <w:pPr>
        <w:spacing w:after="0" w:line="12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Mr. Feiger received a B.S.B.A. with fnal honors from Washington University in St. Louis, where he became a member of Beta Gamma Sigma and Omicron Delta Kappa honor societes, and his J.D. and LL.M. in Taxaton from Southern Methodist University Dedman School of Law.</w:t>
      </w:r>
    </w:p>
    <w:p>
      <w:pPr>
        <w:spacing w:after="0" w:line="23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11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4" w:name="page15"/>
    <w:bookmarkEnd w:id="14"/>
    <w:p>
      <w:pPr>
        <w:spacing w:after="0"/>
        <w:rPr>
          <w:sz w:val="20"/>
          <w:szCs w:val="20"/>
          <w:color w:val="auto"/>
        </w:rPr>
      </w:pPr>
      <w:r>
        <w:rPr>
          <w:rFonts w:ascii="Calibri" w:cs="Calibri" w:eastAsia="Calibri" w:hAnsi="Calibri"/>
          <w:sz w:val="20"/>
          <w:szCs w:val="20"/>
          <w:b w:val="1"/>
          <w:bCs w:val="1"/>
          <w:color w:val="auto"/>
        </w:rPr>
        <w:t>Huey-Jen (Jenny) Su</w:t>
      </w:r>
    </w:p>
    <w:p>
      <w:pPr>
        <w:spacing w:after="0" w:line="238" w:lineRule="auto"/>
        <w:rPr>
          <w:sz w:val="20"/>
          <w:szCs w:val="20"/>
          <w:color w:val="auto"/>
        </w:rPr>
      </w:pPr>
      <w:r>
        <w:rPr>
          <w:rFonts w:ascii="Calibri" w:cs="Calibri" w:eastAsia="Calibri" w:hAnsi="Calibri"/>
          <w:sz w:val="20"/>
          <w:szCs w:val="20"/>
          <w:color w:val="auto"/>
        </w:rPr>
        <w:t>Independent Director</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Dr. Su served as the frst female President in the 85-year history of the Natonal Cheng Kung University in Taiwan from 2015 to 2023, and was a Professor of Environmental Health from 1992 to 2024. Her research eforts have primarily focused on the topic of air polluton related health efects, with a partcular emphasis on the rising global awareness of airborne microbial hazards. She also served as an expert member of the commitee that prepared the World Health Organizaton’s report concerning guidelines for biological agents in indoor environments.</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In 2022, Dr. Su was awarded the Outstanding Professional Global Corporate Sustainability Award, and in 2017, was honored by her alma mater with the Harvard T. H. Chan School of Public Health’s Leadership Award in Public Health Practce. Moreover, Dr. Su was cited for her outstanding leadership among the top 100 award-winning researchers, innovators and leaders in the 2018 editon of the Asian Scientst Magazine. She also received the 2017 Outstanding Research Award from the Ministry of Science and Technology in Taiwan and was featured as one of the 10 “Science Stars of East Asia” for her indoor air polluton research by the leading journal Nature.</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Dr. Su received her bachelor’s degree from Natonal Taiwan University in 1983 and doctorate from the Harvard T. H. Chan School of Public Health in 1990.</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Gary Yu</w:t>
      </w:r>
    </w:p>
    <w:p>
      <w:pPr>
        <w:spacing w:after="0" w:line="238" w:lineRule="auto"/>
        <w:rPr>
          <w:sz w:val="20"/>
          <w:szCs w:val="20"/>
          <w:color w:val="auto"/>
        </w:rPr>
      </w:pPr>
      <w:r>
        <w:rPr>
          <w:rFonts w:ascii="Calibri" w:cs="Calibri" w:eastAsia="Calibri" w:hAnsi="Calibri"/>
          <w:sz w:val="20"/>
          <w:szCs w:val="20"/>
          <w:color w:val="auto"/>
        </w:rPr>
        <w:t>President and Director</w:t>
      </w:r>
    </w:p>
    <w:p>
      <w:pPr>
        <w:spacing w:after="0"/>
        <w:rPr>
          <w:sz w:val="20"/>
          <w:szCs w:val="20"/>
          <w:color w:val="auto"/>
        </w:rPr>
      </w:pPr>
      <w:r>
        <w:rPr>
          <w:rFonts w:ascii="Calibri" w:cs="Calibri" w:eastAsia="Calibri" w:hAnsi="Calibri"/>
          <w:sz w:val="20"/>
          <w:szCs w:val="20"/>
          <w:color w:val="auto"/>
        </w:rPr>
        <w:t>Member, Risk Oversight Commitee</w:t>
      </w:r>
    </w:p>
    <w:p>
      <w:pPr>
        <w:spacing w:after="0" w:line="11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Mr. Yu, who has been with the Company since 2008, was appointed President and elected to the Board of Directors in January 2024. Prior roles in the Company include Chief Operatng Ofcer; Senior Vice President with responsibility for Business Groups and the integraton of Lite-On Semiconductor Corporaton; President, Asia Pacifc Region; General Manager of the Company’s Shanghai wafer fabricaton operaton and the Company's BCD business unit; Vice President of Asia Pacifc Sales; and manager of the Company’s sensor and satellite business unit. Prior to joining the Company, Mr. Yu spent over 10 years at Lite-On Semiconductor Corporaton as Vice President, Worldwide Sales and at Texas Instruments in IT, fnance, and capacity planning positons. Mr. Yu holds a bachelor’s degree in MIS from Fu-Jen University, Taiwan, a master’s degree in Telecommunicaton Engineering from Southern Methodist University, and an MBA from University of Dallas. Mr. Yu provides the Board with many years of domestc and foreign semiconductor experience in sales and operatons as well as risk management.</w:t>
      </w:r>
    </w:p>
    <w:p>
      <w:pPr>
        <w:spacing w:after="0" w:line="166" w:lineRule="exact"/>
        <w:rPr>
          <w:sz w:val="20"/>
          <w:szCs w:val="20"/>
          <w:color w:val="auto"/>
        </w:rPr>
      </w:pPr>
    </w:p>
    <w:p>
      <w:pPr>
        <w:jc w:val="both"/>
        <w:ind w:right="20"/>
        <w:spacing w:after="0"/>
        <w:rPr>
          <w:sz w:val="20"/>
          <w:szCs w:val="20"/>
          <w:color w:val="auto"/>
        </w:rPr>
      </w:pPr>
      <w:r>
        <w:rPr>
          <w:rFonts w:ascii="Calibri" w:cs="Calibri" w:eastAsia="Calibri" w:hAnsi="Calibri"/>
          <w:sz w:val="20"/>
          <w:szCs w:val="20"/>
          <w:b w:val="1"/>
          <w:bCs w:val="1"/>
          <w:color w:val="auto"/>
        </w:rPr>
        <w:t>THE BOARD UNANIMOUSLY RECOMMENDS THAT YOU VOTE “FOR” EACH OF THE SEVEN NOMINEES TO THE BOARD SET FORTH ABOVE.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12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5" w:name="page16"/>
    <w:bookmarkEnd w:id="15"/>
    <w:p>
      <w:pPr>
        <w:jc w:val="center"/>
        <w:ind w:right="80"/>
        <w:spacing w:after="0"/>
        <w:rPr>
          <w:sz w:val="20"/>
          <w:szCs w:val="20"/>
          <w:color w:val="auto"/>
        </w:rPr>
      </w:pPr>
      <w:r>
        <w:rPr>
          <w:rFonts w:ascii="Calibri" w:cs="Calibri" w:eastAsia="Calibri" w:hAnsi="Calibri"/>
          <w:sz w:val="43"/>
          <w:szCs w:val="43"/>
          <w:color w:val="005CA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COMMITTEES OF THE BOARD</w:t>
      </w:r>
    </w:p>
    <w:p>
      <w:pPr>
        <w:spacing w:after="0" w:line="3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Board has delegated authority to four standing commitees: the Audit Commitee, the Compensaton Commitee, the Governance and Stockholder Relatons Commitee, and the Risk Oversight Commitee (the “Commitees”) and the Commitees regularly report on their actvites and actons to the full Board. Each Commitee consists of three or more directors who serve at the discreton of the Board. The Board usually makes Commitee and Commitee chair assignments annually at its meetng immediately following the Company’s annual meetng of stockholders. Ms. Sung will cease to serve on her respectve commitees upon her retrement from the Board at the Meetng. The Board will name Ms. Sung's replacement to her respectve commitees promptly following the Meetng. The current compositon of each Commitee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-1064260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tcBorders>
              <w:top w:val="single" w:sz="8" w:color="005CA9"/>
            </w:tcBorders>
          </w:tcPr>
          <w:p>
            <w:pPr>
              <w:spacing w:after="0"/>
              <w:rPr>
                <w:sz w:val="20"/>
                <w:szCs w:val="20"/>
                <w:color w:val="auto"/>
              </w:rPr>
            </w:pPr>
          </w:p>
        </w:tc>
        <w:tc>
          <w:tcPr>
            <w:tcW w:w="2340" w:type="dxa"/>
            <w:vAlign w:val="bottom"/>
            <w:tcBorders>
              <w:top w:val="single" w:sz="8" w:color="005CA9"/>
            </w:tcBorders>
          </w:tcPr>
          <w:p>
            <w:pPr>
              <w:spacing w:after="0"/>
              <w:rPr>
                <w:sz w:val="20"/>
                <w:szCs w:val="20"/>
                <w:color w:val="auto"/>
              </w:rPr>
            </w:pPr>
          </w:p>
        </w:tc>
        <w:tc>
          <w:tcPr>
            <w:tcW w:w="1740" w:type="dxa"/>
            <w:vAlign w:val="bottom"/>
            <w:tcBorders>
              <w:top w:val="single" w:sz="8" w:color="005CA9"/>
            </w:tcBorders>
          </w:tcPr>
          <w:p>
            <w:pPr>
              <w:spacing w:after="0"/>
              <w:rPr>
                <w:sz w:val="20"/>
                <w:szCs w:val="20"/>
                <w:color w:val="auto"/>
              </w:rPr>
            </w:pPr>
          </w:p>
        </w:tc>
        <w:tc>
          <w:tcPr>
            <w:tcW w:w="2300" w:type="dxa"/>
            <w:vAlign w:val="bottom"/>
            <w:tcBorders>
              <w:top w:val="single" w:sz="8" w:color="005CA9"/>
            </w:tcBorders>
          </w:tcPr>
          <w:p>
            <w:pPr>
              <w:jc w:val="center"/>
              <w:spacing w:after="0" w:line="232" w:lineRule="exact"/>
              <w:rPr>
                <w:sz w:val="20"/>
                <w:szCs w:val="20"/>
                <w:color w:val="auto"/>
              </w:rPr>
            </w:pPr>
            <w:r>
              <w:rPr>
                <w:rFonts w:ascii="Calibri" w:cs="Calibri" w:eastAsia="Calibri" w:hAnsi="Calibri"/>
                <w:sz w:val="20"/>
                <w:szCs w:val="20"/>
                <w:b w:val="1"/>
                <w:bCs w:val="1"/>
                <w:color w:val="auto"/>
              </w:rPr>
              <w:t>Governance and</w:t>
            </w:r>
          </w:p>
        </w:tc>
        <w:tc>
          <w:tcPr>
            <w:tcW w:w="1840" w:type="dxa"/>
            <w:vAlign w:val="bottom"/>
            <w:tcBorders>
              <w:top w:val="single" w:sz="8" w:color="005CA9"/>
            </w:tcBorders>
          </w:tcPr>
          <w:p>
            <w:pPr>
              <w:spacing w:after="0"/>
              <w:rPr>
                <w:sz w:val="20"/>
                <w:szCs w:val="20"/>
                <w:color w:val="auto"/>
              </w:rPr>
            </w:pPr>
          </w:p>
        </w:tc>
      </w:tr>
      <w:tr>
        <w:trPr>
          <w:trHeight w:val="234"/>
        </w:trPr>
        <w:tc>
          <w:tcPr>
            <w:tcW w:w="30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74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Compensaton</w:t>
            </w:r>
          </w:p>
        </w:tc>
        <w:tc>
          <w:tcPr>
            <w:tcW w:w="230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Stockholder Relatons</w:t>
            </w:r>
          </w:p>
        </w:tc>
        <w:tc>
          <w:tcPr>
            <w:tcW w:w="1840" w:type="dxa"/>
            <w:vAlign w:val="bottom"/>
          </w:tcPr>
          <w:p>
            <w:pPr>
              <w:jc w:val="center"/>
              <w:ind w:right="101"/>
              <w:spacing w:after="0" w:line="234" w:lineRule="exact"/>
              <w:rPr>
                <w:sz w:val="20"/>
                <w:szCs w:val="20"/>
                <w:color w:val="auto"/>
              </w:rPr>
            </w:pPr>
            <w:r>
              <w:rPr>
                <w:rFonts w:ascii="Calibri" w:cs="Calibri" w:eastAsia="Calibri" w:hAnsi="Calibri"/>
                <w:sz w:val="20"/>
                <w:szCs w:val="20"/>
                <w:b w:val="1"/>
                <w:bCs w:val="1"/>
                <w:color w:val="auto"/>
              </w:rPr>
              <w:t>Risk Oversight</w:t>
            </w:r>
          </w:p>
        </w:tc>
      </w:tr>
      <w:tr>
        <w:trPr>
          <w:trHeight w:val="243"/>
        </w:trPr>
        <w:tc>
          <w:tcPr>
            <w:tcW w:w="3020" w:type="dxa"/>
            <w:vAlign w:val="bottom"/>
          </w:tcPr>
          <w:p>
            <w:pPr>
              <w:ind w:left="20"/>
              <w:spacing w:after="0" w:line="243" w:lineRule="exact"/>
              <w:rPr>
                <w:sz w:val="20"/>
                <w:szCs w:val="20"/>
                <w:color w:val="auto"/>
              </w:rPr>
            </w:pPr>
            <w:r>
              <w:rPr>
                <w:rFonts w:ascii="Calibri" w:cs="Calibri" w:eastAsia="Calibri" w:hAnsi="Calibri"/>
                <w:sz w:val="20"/>
                <w:szCs w:val="20"/>
                <w:b w:val="1"/>
                <w:bCs w:val="1"/>
                <w:color w:val="auto"/>
              </w:rPr>
              <w:t>Directors</w:t>
            </w:r>
          </w:p>
        </w:tc>
        <w:tc>
          <w:tcPr>
            <w:tcW w:w="2340" w:type="dxa"/>
            <w:vAlign w:val="bottom"/>
          </w:tcPr>
          <w:p>
            <w:pPr>
              <w:jc w:val="center"/>
              <w:ind w:left="161"/>
              <w:spacing w:after="0" w:line="243" w:lineRule="exact"/>
              <w:rPr>
                <w:sz w:val="20"/>
                <w:szCs w:val="20"/>
                <w:color w:val="auto"/>
              </w:rPr>
            </w:pPr>
            <w:r>
              <w:rPr>
                <w:rFonts w:ascii="Calibri" w:cs="Calibri" w:eastAsia="Calibri" w:hAnsi="Calibri"/>
                <w:sz w:val="20"/>
                <w:szCs w:val="20"/>
                <w:b w:val="1"/>
                <w:bCs w:val="1"/>
                <w:color w:val="auto"/>
              </w:rPr>
              <w:t>Audit Commitee</w:t>
            </w:r>
          </w:p>
        </w:tc>
        <w:tc>
          <w:tcPr>
            <w:tcW w:w="1740" w:type="dxa"/>
            <w:vAlign w:val="bottom"/>
          </w:tcPr>
          <w:p>
            <w:pPr>
              <w:jc w:val="center"/>
              <w:ind w:left="41"/>
              <w:spacing w:after="0" w:line="243" w:lineRule="exact"/>
              <w:rPr>
                <w:sz w:val="20"/>
                <w:szCs w:val="20"/>
                <w:color w:val="auto"/>
              </w:rPr>
            </w:pPr>
            <w:r>
              <w:rPr>
                <w:rFonts w:ascii="Calibri" w:cs="Calibri" w:eastAsia="Calibri" w:hAnsi="Calibri"/>
                <w:sz w:val="20"/>
                <w:szCs w:val="20"/>
                <w:b w:val="1"/>
                <w:bCs w:val="1"/>
                <w:color w:val="auto"/>
              </w:rPr>
              <w:t>Commitee</w:t>
            </w:r>
          </w:p>
        </w:tc>
        <w:tc>
          <w:tcPr>
            <w:tcW w:w="23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Commitee</w:t>
            </w:r>
          </w:p>
        </w:tc>
        <w:tc>
          <w:tcPr>
            <w:tcW w:w="1840" w:type="dxa"/>
            <w:vAlign w:val="bottom"/>
          </w:tcPr>
          <w:p>
            <w:pPr>
              <w:jc w:val="center"/>
              <w:ind w:right="41"/>
              <w:spacing w:after="0" w:line="243" w:lineRule="exact"/>
              <w:rPr>
                <w:sz w:val="20"/>
                <w:szCs w:val="20"/>
                <w:color w:val="auto"/>
              </w:rPr>
            </w:pPr>
            <w:r>
              <w:rPr>
                <w:rFonts w:ascii="Calibri" w:cs="Calibri" w:eastAsia="Calibri" w:hAnsi="Calibri"/>
                <w:sz w:val="20"/>
                <w:szCs w:val="20"/>
                <w:b w:val="1"/>
                <w:bCs w:val="1"/>
                <w:color w:val="auto"/>
              </w:rPr>
              <w:t>Commitee</w:t>
            </w:r>
          </w:p>
        </w:tc>
      </w:tr>
      <w:tr>
        <w:trPr>
          <w:trHeight w:val="33"/>
        </w:trPr>
        <w:tc>
          <w:tcPr>
            <w:tcW w:w="3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68"/>
        </w:trPr>
        <w:tc>
          <w:tcPr>
            <w:tcW w:w="3020" w:type="dxa"/>
            <w:vAlign w:val="bottom"/>
            <w:shd w:val="clear" w:color="auto" w:fill="005CA9"/>
          </w:tcPr>
          <w:p>
            <w:pPr>
              <w:spacing w:after="0"/>
              <w:rPr>
                <w:sz w:val="5"/>
                <w:szCs w:val="5"/>
                <w:color w:val="auto"/>
              </w:rPr>
            </w:pPr>
          </w:p>
        </w:tc>
        <w:tc>
          <w:tcPr>
            <w:tcW w:w="2340" w:type="dxa"/>
            <w:vAlign w:val="bottom"/>
            <w:shd w:val="clear" w:color="auto" w:fill="005CA9"/>
          </w:tcPr>
          <w:p>
            <w:pPr>
              <w:spacing w:after="0"/>
              <w:rPr>
                <w:sz w:val="5"/>
                <w:szCs w:val="5"/>
                <w:color w:val="auto"/>
              </w:rPr>
            </w:pPr>
          </w:p>
        </w:tc>
        <w:tc>
          <w:tcPr>
            <w:tcW w:w="1740" w:type="dxa"/>
            <w:vAlign w:val="bottom"/>
            <w:shd w:val="clear" w:color="auto" w:fill="005CA9"/>
          </w:tcPr>
          <w:p>
            <w:pPr>
              <w:spacing w:after="0"/>
              <w:rPr>
                <w:sz w:val="5"/>
                <w:szCs w:val="5"/>
                <w:color w:val="auto"/>
              </w:rPr>
            </w:pPr>
          </w:p>
        </w:tc>
        <w:tc>
          <w:tcPr>
            <w:tcW w:w="2300" w:type="dxa"/>
            <w:vAlign w:val="bottom"/>
            <w:shd w:val="clear" w:color="auto" w:fill="005CA9"/>
          </w:tcPr>
          <w:p>
            <w:pPr>
              <w:spacing w:after="0"/>
              <w:rPr>
                <w:sz w:val="5"/>
                <w:szCs w:val="5"/>
                <w:color w:val="auto"/>
              </w:rPr>
            </w:pPr>
          </w:p>
        </w:tc>
        <w:tc>
          <w:tcPr>
            <w:tcW w:w="1840" w:type="dxa"/>
            <w:vAlign w:val="bottom"/>
            <w:shd w:val="clear" w:color="auto" w:fill="005CA9"/>
          </w:tcPr>
          <w:p>
            <w:pPr>
              <w:spacing w:after="0"/>
              <w:rPr>
                <w:sz w:val="5"/>
                <w:szCs w:val="5"/>
                <w:color w:val="auto"/>
              </w:rPr>
            </w:pPr>
          </w:p>
        </w:tc>
      </w:tr>
      <w:tr>
        <w:trPr>
          <w:trHeight w:val="185"/>
        </w:trPr>
        <w:tc>
          <w:tcPr>
            <w:tcW w:w="3020" w:type="dxa"/>
            <w:vAlign w:val="bottom"/>
          </w:tcPr>
          <w:p>
            <w:pPr>
              <w:ind w:left="120"/>
              <w:spacing w:after="0" w:line="185" w:lineRule="exact"/>
              <w:rPr>
                <w:sz w:val="20"/>
                <w:szCs w:val="20"/>
                <w:color w:val="auto"/>
              </w:rPr>
            </w:pPr>
            <w:r>
              <w:rPr>
                <w:rFonts w:ascii="Calibri" w:cs="Calibri" w:eastAsia="Calibri" w:hAnsi="Calibri"/>
                <w:sz w:val="20"/>
                <w:szCs w:val="20"/>
                <w:color w:val="auto"/>
              </w:rPr>
              <w:t>Keh-Shew Lu</w:t>
            </w:r>
          </w:p>
        </w:tc>
        <w:tc>
          <w:tcPr>
            <w:tcW w:w="2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40" w:type="dxa"/>
            <w:vAlign w:val="bottom"/>
          </w:tcPr>
          <w:p>
            <w:pPr>
              <w:jc w:val="center"/>
              <w:ind w:right="41"/>
              <w:spacing w:after="0" w:line="185" w:lineRule="exact"/>
              <w:rPr>
                <w:sz w:val="20"/>
                <w:szCs w:val="20"/>
                <w:color w:val="auto"/>
              </w:rPr>
            </w:pPr>
            <w:r>
              <w:rPr>
                <w:rFonts w:ascii="Calibri" w:cs="Calibri" w:eastAsia="Calibri" w:hAnsi="Calibri"/>
                <w:sz w:val="20"/>
                <w:szCs w:val="20"/>
                <w:color w:val="auto"/>
                <w:w w:val="99"/>
              </w:rPr>
              <w:t>Member</w:t>
            </w:r>
          </w:p>
        </w:tc>
      </w:tr>
      <w:tr>
        <w:trPr>
          <w:trHeight w:val="243"/>
        </w:trPr>
        <w:tc>
          <w:tcPr>
            <w:tcW w:w="3020" w:type="dxa"/>
            <w:vAlign w:val="bottom"/>
          </w:tcPr>
          <w:p>
            <w:pPr>
              <w:ind w:left="120"/>
              <w:spacing w:after="0" w:line="243" w:lineRule="exact"/>
              <w:rPr>
                <w:sz w:val="20"/>
                <w:szCs w:val="20"/>
                <w:color w:val="auto"/>
              </w:rPr>
            </w:pPr>
            <w:r>
              <w:rPr>
                <w:rFonts w:ascii="Calibri" w:cs="Calibri" w:eastAsia="Calibri" w:hAnsi="Calibri"/>
                <w:sz w:val="20"/>
                <w:szCs w:val="20"/>
                <w:color w:val="auto"/>
              </w:rPr>
              <w:t xml:space="preserve">Angie Chen Buton </w:t>
            </w:r>
            <w:r>
              <w:rPr>
                <w:rFonts w:ascii="Calibri" w:cs="Calibri" w:eastAsia="Calibri" w:hAnsi="Calibri"/>
                <w:sz w:val="26"/>
                <w:szCs w:val="26"/>
                <w:color w:val="auto"/>
                <w:vertAlign w:val="superscript"/>
              </w:rPr>
              <w:t>(1)</w:t>
            </w:r>
          </w:p>
        </w:tc>
        <w:tc>
          <w:tcPr>
            <w:tcW w:w="2340" w:type="dxa"/>
            <w:vAlign w:val="bottom"/>
          </w:tcPr>
          <w:p>
            <w:pPr>
              <w:spacing w:after="0"/>
              <w:rPr>
                <w:sz w:val="21"/>
                <w:szCs w:val="21"/>
                <w:color w:val="auto"/>
              </w:rPr>
            </w:pPr>
          </w:p>
        </w:tc>
        <w:tc>
          <w:tcPr>
            <w:tcW w:w="1740" w:type="dxa"/>
            <w:vAlign w:val="bottom"/>
          </w:tcPr>
          <w:p>
            <w:pPr>
              <w:jc w:val="center"/>
              <w:ind w:left="41"/>
              <w:spacing w:after="0" w:line="243" w:lineRule="exact"/>
              <w:rPr>
                <w:sz w:val="20"/>
                <w:szCs w:val="20"/>
                <w:color w:val="auto"/>
              </w:rPr>
            </w:pPr>
            <w:r>
              <w:rPr>
                <w:rFonts w:ascii="Calibri" w:cs="Calibri" w:eastAsia="Calibri" w:hAnsi="Calibri"/>
                <w:sz w:val="20"/>
                <w:szCs w:val="20"/>
                <w:color w:val="auto"/>
              </w:rPr>
              <w:t>Chair</w:t>
            </w:r>
          </w:p>
        </w:tc>
        <w:tc>
          <w:tcPr>
            <w:tcW w:w="2300" w:type="dxa"/>
            <w:vAlign w:val="bottom"/>
          </w:tcPr>
          <w:p>
            <w:pPr>
              <w:jc w:val="center"/>
              <w:spacing w:after="0" w:line="243" w:lineRule="exact"/>
              <w:rPr>
                <w:sz w:val="20"/>
                <w:szCs w:val="20"/>
                <w:color w:val="auto"/>
              </w:rPr>
            </w:pPr>
            <w:r>
              <w:rPr>
                <w:rFonts w:ascii="Calibri" w:cs="Calibri" w:eastAsia="Calibri" w:hAnsi="Calibri"/>
                <w:sz w:val="20"/>
                <w:szCs w:val="20"/>
                <w:color w:val="auto"/>
                <w:w w:val="99"/>
              </w:rPr>
              <w:t>Chair</w:t>
            </w:r>
          </w:p>
        </w:tc>
        <w:tc>
          <w:tcPr>
            <w:tcW w:w="1840" w:type="dxa"/>
            <w:vAlign w:val="bottom"/>
          </w:tcPr>
          <w:p>
            <w:pPr>
              <w:spacing w:after="0"/>
              <w:rPr>
                <w:sz w:val="21"/>
                <w:szCs w:val="21"/>
                <w:color w:val="auto"/>
              </w:rPr>
            </w:pPr>
          </w:p>
        </w:tc>
      </w:tr>
      <w:tr>
        <w:trPr>
          <w:trHeight w:val="243"/>
        </w:trPr>
        <w:tc>
          <w:tcPr>
            <w:tcW w:w="3020" w:type="dxa"/>
            <w:vAlign w:val="bottom"/>
          </w:tcPr>
          <w:p>
            <w:pPr>
              <w:ind w:left="120"/>
              <w:spacing w:after="0" w:line="243" w:lineRule="exact"/>
              <w:rPr>
                <w:sz w:val="20"/>
                <w:szCs w:val="20"/>
                <w:color w:val="auto"/>
              </w:rPr>
            </w:pPr>
            <w:r>
              <w:rPr>
                <w:rFonts w:ascii="Calibri" w:cs="Calibri" w:eastAsia="Calibri" w:hAnsi="Calibri"/>
                <w:sz w:val="20"/>
                <w:szCs w:val="20"/>
                <w:color w:val="auto"/>
              </w:rPr>
              <w:t xml:space="preserve">Elizabeth Bull </w:t>
            </w:r>
            <w:r>
              <w:rPr>
                <w:rFonts w:ascii="Calibri" w:cs="Calibri" w:eastAsia="Calibri" w:hAnsi="Calibri"/>
                <w:sz w:val="26"/>
                <w:szCs w:val="26"/>
                <w:color w:val="auto"/>
                <w:vertAlign w:val="superscript"/>
              </w:rPr>
              <w:t>(1)</w:t>
            </w:r>
          </w:p>
        </w:tc>
        <w:tc>
          <w:tcPr>
            <w:tcW w:w="2340" w:type="dxa"/>
            <w:vAlign w:val="bottom"/>
          </w:tcPr>
          <w:p>
            <w:pPr>
              <w:jc w:val="center"/>
              <w:ind w:left="181"/>
              <w:spacing w:after="0" w:line="243" w:lineRule="exact"/>
              <w:rPr>
                <w:sz w:val="20"/>
                <w:szCs w:val="20"/>
                <w:color w:val="auto"/>
              </w:rPr>
            </w:pPr>
            <w:r>
              <w:rPr>
                <w:rFonts w:ascii="Calibri" w:cs="Calibri" w:eastAsia="Calibri" w:hAnsi="Calibri"/>
                <w:sz w:val="20"/>
                <w:szCs w:val="20"/>
                <w:color w:val="auto"/>
                <w:w w:val="93"/>
              </w:rPr>
              <w:t xml:space="preserve">Chair </w:t>
            </w:r>
            <w:r>
              <w:rPr>
                <w:rFonts w:ascii="Calibri" w:cs="Calibri" w:eastAsia="Calibri" w:hAnsi="Calibri"/>
                <w:sz w:val="26"/>
                <w:szCs w:val="26"/>
                <w:color w:val="auto"/>
                <w:w w:val="93"/>
                <w:vertAlign w:val="superscript"/>
              </w:rPr>
              <w:t>(2)</w:t>
            </w:r>
          </w:p>
        </w:tc>
        <w:tc>
          <w:tcPr>
            <w:tcW w:w="17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3020" w:type="dxa"/>
            <w:vAlign w:val="bottom"/>
          </w:tcPr>
          <w:p>
            <w:pPr>
              <w:ind w:left="120"/>
              <w:spacing w:after="0" w:line="243" w:lineRule="exact"/>
              <w:rPr>
                <w:sz w:val="20"/>
                <w:szCs w:val="20"/>
                <w:color w:val="auto"/>
              </w:rPr>
            </w:pPr>
            <w:r>
              <w:rPr>
                <w:rFonts w:ascii="Calibri" w:cs="Calibri" w:eastAsia="Calibri" w:hAnsi="Calibri"/>
                <w:sz w:val="20"/>
                <w:szCs w:val="20"/>
                <w:color w:val="auto"/>
              </w:rPr>
              <w:t xml:space="preserve">Warren Chen </w:t>
            </w:r>
            <w:r>
              <w:rPr>
                <w:rFonts w:ascii="Calibri" w:cs="Calibri" w:eastAsia="Calibri" w:hAnsi="Calibri"/>
                <w:sz w:val="26"/>
                <w:szCs w:val="26"/>
                <w:color w:val="auto"/>
                <w:vertAlign w:val="superscript"/>
              </w:rPr>
              <w:t>(1)</w:t>
            </w:r>
          </w:p>
        </w:tc>
        <w:tc>
          <w:tcPr>
            <w:tcW w:w="2340" w:type="dxa"/>
            <w:vAlign w:val="bottom"/>
          </w:tcPr>
          <w:p>
            <w:pPr>
              <w:spacing w:after="0"/>
              <w:rPr>
                <w:sz w:val="21"/>
                <w:szCs w:val="21"/>
                <w:color w:val="auto"/>
              </w:rPr>
            </w:pPr>
          </w:p>
        </w:tc>
        <w:tc>
          <w:tcPr>
            <w:tcW w:w="1740" w:type="dxa"/>
            <w:vAlign w:val="bottom"/>
          </w:tcPr>
          <w:p>
            <w:pPr>
              <w:jc w:val="center"/>
              <w:ind w:left="41"/>
              <w:spacing w:after="0" w:line="243" w:lineRule="exact"/>
              <w:rPr>
                <w:sz w:val="20"/>
                <w:szCs w:val="20"/>
                <w:color w:val="auto"/>
              </w:rPr>
            </w:pPr>
            <w:r>
              <w:rPr>
                <w:rFonts w:ascii="Calibri" w:cs="Calibri" w:eastAsia="Calibri" w:hAnsi="Calibri"/>
                <w:sz w:val="20"/>
                <w:szCs w:val="20"/>
                <w:color w:val="auto"/>
              </w:rPr>
              <w:t>Member</w:t>
            </w:r>
          </w:p>
        </w:tc>
        <w:tc>
          <w:tcPr>
            <w:tcW w:w="2300" w:type="dxa"/>
            <w:vAlign w:val="bottom"/>
          </w:tcPr>
          <w:p>
            <w:pPr>
              <w:jc w:val="center"/>
              <w:spacing w:after="0" w:line="243" w:lineRule="exact"/>
              <w:rPr>
                <w:sz w:val="20"/>
                <w:szCs w:val="20"/>
                <w:color w:val="auto"/>
              </w:rPr>
            </w:pPr>
            <w:r>
              <w:rPr>
                <w:rFonts w:ascii="Calibri" w:cs="Calibri" w:eastAsia="Calibri" w:hAnsi="Calibri"/>
                <w:sz w:val="20"/>
                <w:szCs w:val="20"/>
                <w:color w:val="auto"/>
                <w:w w:val="99"/>
              </w:rPr>
              <w:t>Member</w:t>
            </w:r>
          </w:p>
        </w:tc>
        <w:tc>
          <w:tcPr>
            <w:tcW w:w="1840" w:type="dxa"/>
            <w:vAlign w:val="bottom"/>
          </w:tcPr>
          <w:p>
            <w:pPr>
              <w:jc w:val="center"/>
              <w:ind w:right="41"/>
              <w:spacing w:after="0" w:line="243" w:lineRule="exact"/>
              <w:rPr>
                <w:sz w:val="20"/>
                <w:szCs w:val="20"/>
                <w:color w:val="auto"/>
              </w:rPr>
            </w:pPr>
            <w:r>
              <w:rPr>
                <w:rFonts w:ascii="Calibri" w:cs="Calibri" w:eastAsia="Calibri" w:hAnsi="Calibri"/>
                <w:sz w:val="20"/>
                <w:szCs w:val="20"/>
                <w:color w:val="auto"/>
                <w:w w:val="99"/>
              </w:rPr>
              <w:t>Chair</w:t>
            </w:r>
          </w:p>
        </w:tc>
      </w:tr>
      <w:tr>
        <w:trPr>
          <w:trHeight w:val="243"/>
        </w:trPr>
        <w:tc>
          <w:tcPr>
            <w:tcW w:w="3020" w:type="dxa"/>
            <w:vAlign w:val="bottom"/>
          </w:tcPr>
          <w:p>
            <w:pPr>
              <w:ind w:left="120"/>
              <w:spacing w:after="0" w:line="243" w:lineRule="exact"/>
              <w:rPr>
                <w:sz w:val="20"/>
                <w:szCs w:val="20"/>
                <w:color w:val="auto"/>
              </w:rPr>
            </w:pPr>
            <w:r>
              <w:rPr>
                <w:rFonts w:ascii="Calibri" w:cs="Calibri" w:eastAsia="Calibri" w:hAnsi="Calibri"/>
                <w:sz w:val="20"/>
                <w:szCs w:val="20"/>
                <w:color w:val="auto"/>
              </w:rPr>
              <w:t xml:space="preserve">Robert E. Feiger </w:t>
            </w:r>
            <w:r>
              <w:rPr>
                <w:rFonts w:ascii="Calibri" w:cs="Calibri" w:eastAsia="Calibri" w:hAnsi="Calibri"/>
                <w:sz w:val="26"/>
                <w:szCs w:val="26"/>
                <w:color w:val="auto"/>
                <w:vertAlign w:val="superscript"/>
              </w:rPr>
              <w:t>(1)</w:t>
            </w:r>
          </w:p>
        </w:tc>
        <w:tc>
          <w:tcPr>
            <w:tcW w:w="2340" w:type="dxa"/>
            <w:vAlign w:val="bottom"/>
          </w:tcPr>
          <w:p>
            <w:pPr>
              <w:jc w:val="center"/>
              <w:ind w:left="181"/>
              <w:spacing w:after="0" w:line="243" w:lineRule="exact"/>
              <w:rPr>
                <w:sz w:val="20"/>
                <w:szCs w:val="20"/>
                <w:color w:val="auto"/>
              </w:rPr>
            </w:pPr>
            <w:r>
              <w:rPr>
                <w:rFonts w:ascii="Calibri" w:cs="Calibri" w:eastAsia="Calibri" w:hAnsi="Calibri"/>
                <w:sz w:val="20"/>
                <w:szCs w:val="20"/>
                <w:color w:val="auto"/>
                <w:w w:val="99"/>
              </w:rPr>
              <w:t>Member</w:t>
            </w:r>
          </w:p>
        </w:tc>
        <w:tc>
          <w:tcPr>
            <w:tcW w:w="1740" w:type="dxa"/>
            <w:vAlign w:val="bottom"/>
          </w:tcPr>
          <w:p>
            <w:pPr>
              <w:spacing w:after="0"/>
              <w:rPr>
                <w:sz w:val="21"/>
                <w:szCs w:val="21"/>
                <w:color w:val="auto"/>
              </w:rPr>
            </w:pPr>
          </w:p>
        </w:tc>
        <w:tc>
          <w:tcPr>
            <w:tcW w:w="2300" w:type="dxa"/>
            <w:vAlign w:val="bottom"/>
          </w:tcPr>
          <w:p>
            <w:pPr>
              <w:jc w:val="center"/>
              <w:spacing w:after="0" w:line="243" w:lineRule="exact"/>
              <w:rPr>
                <w:sz w:val="20"/>
                <w:szCs w:val="20"/>
                <w:color w:val="auto"/>
              </w:rPr>
            </w:pPr>
            <w:r>
              <w:rPr>
                <w:rFonts w:ascii="Calibri" w:cs="Calibri" w:eastAsia="Calibri" w:hAnsi="Calibri"/>
                <w:sz w:val="20"/>
                <w:szCs w:val="20"/>
                <w:color w:val="auto"/>
                <w:w w:val="99"/>
              </w:rPr>
              <w:t>Member</w:t>
            </w:r>
          </w:p>
        </w:tc>
        <w:tc>
          <w:tcPr>
            <w:tcW w:w="1840" w:type="dxa"/>
            <w:vAlign w:val="bottom"/>
          </w:tcPr>
          <w:p>
            <w:pPr>
              <w:spacing w:after="0"/>
              <w:rPr>
                <w:sz w:val="21"/>
                <w:szCs w:val="21"/>
                <w:color w:val="auto"/>
              </w:rPr>
            </w:pPr>
          </w:p>
        </w:tc>
      </w:tr>
      <w:tr>
        <w:trPr>
          <w:trHeight w:val="243"/>
        </w:trPr>
        <w:tc>
          <w:tcPr>
            <w:tcW w:w="3020" w:type="dxa"/>
            <w:vAlign w:val="bottom"/>
          </w:tcPr>
          <w:p>
            <w:pPr>
              <w:ind w:left="120"/>
              <w:spacing w:after="0" w:line="243" w:lineRule="exact"/>
              <w:rPr>
                <w:sz w:val="20"/>
                <w:szCs w:val="20"/>
                <w:color w:val="auto"/>
              </w:rPr>
            </w:pPr>
            <w:r>
              <w:rPr>
                <w:rFonts w:ascii="Calibri" w:cs="Calibri" w:eastAsia="Calibri" w:hAnsi="Calibri"/>
                <w:sz w:val="20"/>
                <w:szCs w:val="20"/>
                <w:color w:val="auto"/>
              </w:rPr>
              <w:t xml:space="preserve">Huey-Jen (Jenny) Su </w:t>
            </w:r>
            <w:r>
              <w:rPr>
                <w:rFonts w:ascii="Calibri" w:cs="Calibri" w:eastAsia="Calibri" w:hAnsi="Calibri"/>
                <w:sz w:val="26"/>
                <w:szCs w:val="26"/>
                <w:color w:val="auto"/>
                <w:vertAlign w:val="superscript"/>
              </w:rPr>
              <w:t>(1)</w:t>
            </w:r>
          </w:p>
        </w:tc>
        <w:tc>
          <w:tcPr>
            <w:tcW w:w="2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301"/>
        </w:trPr>
        <w:tc>
          <w:tcPr>
            <w:tcW w:w="3020" w:type="dxa"/>
            <w:vAlign w:val="bottom"/>
          </w:tcPr>
          <w:p>
            <w:pPr>
              <w:ind w:left="120"/>
              <w:spacing w:after="0" w:line="301" w:lineRule="exact"/>
              <w:rPr>
                <w:sz w:val="20"/>
                <w:szCs w:val="20"/>
                <w:color w:val="auto"/>
              </w:rPr>
            </w:pPr>
            <w:r>
              <w:rPr>
                <w:rFonts w:ascii="Calibri" w:cs="Calibri" w:eastAsia="Calibri" w:hAnsi="Calibri"/>
                <w:sz w:val="20"/>
                <w:szCs w:val="20"/>
                <w:color w:val="auto"/>
              </w:rPr>
              <w:t xml:space="preserve">Christna Wen-Chi Sung </w:t>
            </w:r>
            <w:r>
              <w:rPr>
                <w:rFonts w:ascii="Calibri" w:cs="Calibri" w:eastAsia="Calibri" w:hAnsi="Calibri"/>
                <w:sz w:val="26"/>
                <w:szCs w:val="26"/>
                <w:color w:val="auto"/>
                <w:vertAlign w:val="superscript"/>
              </w:rPr>
              <w:t>(1) (3)</w:t>
            </w:r>
          </w:p>
        </w:tc>
        <w:tc>
          <w:tcPr>
            <w:tcW w:w="2340" w:type="dxa"/>
            <w:vAlign w:val="bottom"/>
          </w:tcPr>
          <w:p>
            <w:pPr>
              <w:jc w:val="center"/>
              <w:ind w:left="181"/>
              <w:spacing w:after="0"/>
              <w:rPr>
                <w:sz w:val="20"/>
                <w:szCs w:val="20"/>
                <w:color w:val="auto"/>
              </w:rPr>
            </w:pPr>
            <w:r>
              <w:rPr>
                <w:rFonts w:ascii="Calibri" w:cs="Calibri" w:eastAsia="Calibri" w:hAnsi="Calibri"/>
                <w:sz w:val="20"/>
                <w:szCs w:val="20"/>
                <w:color w:val="auto"/>
                <w:w w:val="99"/>
              </w:rPr>
              <w:t>Member</w:t>
            </w:r>
          </w:p>
        </w:tc>
        <w:tc>
          <w:tcPr>
            <w:tcW w:w="1740" w:type="dxa"/>
            <w:vAlign w:val="bottom"/>
          </w:tcPr>
          <w:p>
            <w:pPr>
              <w:jc w:val="center"/>
              <w:ind w:left="41"/>
              <w:spacing w:after="0"/>
              <w:rPr>
                <w:sz w:val="20"/>
                <w:szCs w:val="20"/>
                <w:color w:val="auto"/>
              </w:rPr>
            </w:pPr>
            <w:r>
              <w:rPr>
                <w:rFonts w:ascii="Calibri" w:cs="Calibri" w:eastAsia="Calibri" w:hAnsi="Calibri"/>
                <w:sz w:val="20"/>
                <w:szCs w:val="20"/>
                <w:color w:val="auto"/>
              </w:rPr>
              <w:t>Member</w:t>
            </w:r>
          </w:p>
        </w:tc>
        <w:tc>
          <w:tcPr>
            <w:tcW w:w="2300" w:type="dxa"/>
            <w:vAlign w:val="bottom"/>
          </w:tcPr>
          <w:p>
            <w:pPr>
              <w:spacing w:after="0"/>
              <w:rPr>
                <w:sz w:val="24"/>
                <w:szCs w:val="24"/>
                <w:color w:val="auto"/>
              </w:rPr>
            </w:pPr>
          </w:p>
        </w:tc>
        <w:tc>
          <w:tcPr>
            <w:tcW w:w="1840" w:type="dxa"/>
            <w:vAlign w:val="bottom"/>
          </w:tcPr>
          <w:p>
            <w:pPr>
              <w:jc w:val="center"/>
              <w:ind w:right="41"/>
              <w:spacing w:after="0"/>
              <w:rPr>
                <w:sz w:val="20"/>
                <w:szCs w:val="20"/>
                <w:color w:val="auto"/>
              </w:rPr>
            </w:pPr>
            <w:r>
              <w:rPr>
                <w:rFonts w:ascii="Calibri" w:cs="Calibri" w:eastAsia="Calibri" w:hAnsi="Calibri"/>
                <w:sz w:val="20"/>
                <w:szCs w:val="20"/>
                <w:color w:val="auto"/>
                <w:w w:val="99"/>
              </w:rPr>
              <w:t>Member</w:t>
            </w:r>
          </w:p>
        </w:tc>
      </w:tr>
      <w:tr>
        <w:trPr>
          <w:trHeight w:val="234"/>
        </w:trPr>
        <w:tc>
          <w:tcPr>
            <w:tcW w:w="3020" w:type="dxa"/>
            <w:vAlign w:val="bottom"/>
          </w:tcPr>
          <w:p>
            <w:pPr>
              <w:ind w:left="120"/>
              <w:spacing w:after="0" w:line="234" w:lineRule="exact"/>
              <w:rPr>
                <w:sz w:val="20"/>
                <w:szCs w:val="20"/>
                <w:color w:val="auto"/>
              </w:rPr>
            </w:pPr>
            <w:r>
              <w:rPr>
                <w:rFonts w:ascii="Calibri" w:cs="Calibri" w:eastAsia="Calibri" w:hAnsi="Calibri"/>
                <w:sz w:val="20"/>
                <w:szCs w:val="20"/>
                <w:color w:val="auto"/>
              </w:rPr>
              <w:t>Gary Yu</w:t>
            </w:r>
          </w:p>
        </w:tc>
        <w:tc>
          <w:tcPr>
            <w:tcW w:w="2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4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9"/>
              </w:rPr>
              <w:t>Member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-1228090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-919480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60" w:hanging="10"/>
        <w:spacing w:after="0"/>
        <w:tabs>
          <w:tab w:leader="none" w:pos="362" w:val="left"/>
        </w:tabs>
        <w:numPr>
          <w:ilvl w:val="1"/>
          <w:numId w:val="13"/>
        </w:numPr>
        <w:rPr>
          <w:rFonts w:ascii="Calibri" w:cs="Calibri" w:eastAsia="Calibri" w:hAnsi="Calibri"/>
          <w:sz w:val="14"/>
          <w:szCs w:val="14"/>
          <w:color w:val="auto"/>
        </w:rPr>
      </w:pPr>
      <w:r>
        <w:rPr>
          <w:rFonts w:ascii="Calibri" w:cs="Calibri" w:eastAsia="Calibri" w:hAnsi="Calibri"/>
          <w:sz w:val="14"/>
          <w:szCs w:val="14"/>
          <w:color w:val="auto"/>
        </w:rPr>
        <w:t>Independent director (as determined by the Board under the rules of The NASDAQ Stock Market LLC (“Nasdaq”) and, in the case of members of the Audit Commitee, the rules of the SEC).</w:t>
      </w:r>
    </w:p>
    <w:p>
      <w:pPr>
        <w:spacing w:after="0" w:line="173" w:lineRule="exact"/>
        <w:rPr>
          <w:rFonts w:ascii="Calibri" w:cs="Calibri" w:eastAsia="Calibri" w:hAnsi="Calibri"/>
          <w:sz w:val="14"/>
          <w:szCs w:val="14"/>
          <w:color w:val="auto"/>
        </w:rPr>
      </w:pPr>
    </w:p>
    <w:p>
      <w:pPr>
        <w:ind w:left="340" w:hanging="190"/>
        <w:spacing w:after="0"/>
        <w:tabs>
          <w:tab w:leader="none" w:pos="340" w:val="left"/>
        </w:tabs>
        <w:numPr>
          <w:ilvl w:val="1"/>
          <w:numId w:val="13"/>
        </w:numPr>
        <w:rPr>
          <w:rFonts w:ascii="Calibri" w:cs="Calibri" w:eastAsia="Calibri" w:hAnsi="Calibri"/>
          <w:sz w:val="14"/>
          <w:szCs w:val="14"/>
          <w:color w:val="auto"/>
        </w:rPr>
      </w:pPr>
      <w:r>
        <w:rPr>
          <w:rFonts w:ascii="Calibri" w:cs="Calibri" w:eastAsia="Calibri" w:hAnsi="Calibri"/>
          <w:sz w:val="14"/>
          <w:szCs w:val="14"/>
          <w:color w:val="auto"/>
        </w:rPr>
        <w:t>Qualifes as an “audit commitee fnancial expert” as that term is defned in Item 407(d)(5) of Regulaton S-K promulgated under the Exchange Act.</w:t>
      </w:r>
    </w:p>
    <w:p>
      <w:pPr>
        <w:spacing w:after="0" w:line="4" w:lineRule="exact"/>
        <w:rPr>
          <w:rFonts w:ascii="Calibri" w:cs="Calibri" w:eastAsia="Calibri" w:hAnsi="Calibri"/>
          <w:sz w:val="14"/>
          <w:szCs w:val="14"/>
          <w:color w:val="auto"/>
        </w:rPr>
      </w:pPr>
    </w:p>
    <w:p>
      <w:pPr>
        <w:ind w:left="340" w:hanging="202"/>
        <w:spacing w:after="0"/>
        <w:tabs>
          <w:tab w:leader="none" w:pos="34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Ms. Christna Wen-Chi Sung is not standing for reelecton at the Meetng.</w:t>
      </w:r>
    </w:p>
    <w:p>
      <w:pPr>
        <w:spacing w:after="0" w:line="10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Director Independence</w:t>
      </w:r>
    </w:p>
    <w:p>
      <w:pPr>
        <w:spacing w:after="0" w:line="113"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Board has determined that fve of the seven director nominees (all director nominees other than Dr. Lu, our Chairman and Chief Executve Ofcer, and Mr. Yu, our President) will be “independent directors” as shown in the above table, as the term “independent director” is defned under the rules of Nasdaq. The Board also has determined that each member of its Audit Commitee, Compensaton Commitee, and Governance and Stockholder Relatons Commitee meets the applicable independence requirements prescribed by Nasdaq and the SEC.</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In making its independence determinatons with regard to Dr. Lu and Messrs. Feiger and Yu, the Board considered the relatonships described under “Certain Relatonships and Related Person Transactons – Relatonships and Transactons.”</w:t>
      </w:r>
    </w:p>
    <w:p>
      <w:pPr>
        <w:spacing w:after="0" w:line="1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Audit Commitee</w:t>
      </w:r>
    </w:p>
    <w:p>
      <w:pPr>
        <w:spacing w:after="0" w:line="1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Audit Commitee makes recommendatons to the Board regarding the engagement of the Company’s independent registered public accountng frm, reviews the plan, scope, and results of the audit, reviews the Company’s policies and procedures with the Company’s management concerning internal accountng and fnancial controls, and reviews changes in accountng policy and the scope of non-audit services which may be performed by the Company’s independent registered public accountng frm. The Audit Commitee also monitors policies to prohibit unethical, questonable, or illegal actvites by the Company’s employees. The “Audit Commitee Report” secton of this Proxy Statement describes in more detail the Audit Commitee’s responsibilites, partcularly with regard to the Company’s fnancial statements and its interactons with the Company’s independent registered public accountng frm.</w:t>
      </w:r>
    </w:p>
    <w:p>
      <w:pPr>
        <w:spacing w:after="0" w:line="121"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The Board has determined that each member of the Audit Commitee is “independent” as that term is defned under the rules of Nasdaq and the SEC and is able to read and understand fundamental fnancial statements. The Board also has determined that Ms. Bull qualifes as an “audit commitee fnancial expert” as defned under the rules of the SEC.</w:t>
      </w:r>
    </w:p>
    <w:p>
      <w:pPr>
        <w:spacing w:after="0" w:line="23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13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6" w:name="page17"/>
    <w:bookmarkEnd w:id="16"/>
    <w:p>
      <w:pPr>
        <w:spacing w:after="0"/>
        <w:rPr>
          <w:sz w:val="20"/>
          <w:szCs w:val="20"/>
          <w:color w:val="auto"/>
        </w:rPr>
      </w:pPr>
      <w:r>
        <w:rPr>
          <w:rFonts w:ascii="Calibri" w:cs="Calibri" w:eastAsia="Calibri" w:hAnsi="Calibri"/>
          <w:sz w:val="22"/>
          <w:szCs w:val="22"/>
          <w:b w:val="1"/>
          <w:bCs w:val="1"/>
          <w:color w:val="005CA9"/>
        </w:rPr>
        <w:t>Compensaton Commitee</w:t>
      </w:r>
    </w:p>
    <w:p>
      <w:pPr>
        <w:spacing w:after="0" w:line="113"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Compensaton Commitee makes recommendatons to the Board regarding compensaton, benefts, and incentve arrangements for the Chief Executve Ofcer and other ofcers and key employees of the Company. The Compensaton Commitee administers the 2022 Equity Incentve Plan ("2022 Plan"), the 2013 Equity Incentve Plan (the “2013 Plan”), the Company’s 401(k) proft sharing plan (the “401(k) Plan”), and the Company’s nonqualifed deferred compensaton plan. The Board has determined that each member of the Compensaton Commitee is “independent” as that term is defned under the rules of Nasdaq.</w:t>
      </w:r>
    </w:p>
    <w:p>
      <w:pPr>
        <w:spacing w:after="0" w:line="1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Governance and Stockholder Relatons Commitee</w:t>
      </w:r>
    </w:p>
    <w:p>
      <w:pPr>
        <w:spacing w:after="0" w:line="11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principal purposes of the Governance and Stockholder Relatons Commitee (the “Governance Commitee”) are to help ensure that the Board (i) identfes individuals qualifed to become members of the Board, consistent with criteria approved by the Board, and (ii) recommends to the Board the nominees for electon at the next annual meetng of stockholders. The Board has determined that each member of the Governance Commitee is “independent” as that term is defned under the rules of Nasdaq.</w:t>
      </w:r>
    </w:p>
    <w:p>
      <w:pPr>
        <w:spacing w:after="0" w:line="11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Risk Oversight Commitee</w:t>
      </w:r>
    </w:p>
    <w:p>
      <w:pPr>
        <w:spacing w:after="0" w:line="1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Risk Oversight Commitee assists the Board in overseeing the Company’s risk management process by (i) overseeing the Company’s eforts to align its management of risks with its strategic objectves, (ii) overseeing the establishment and implementaton of a risk oversight framework, and (iii) reviewing the efectveness of the risk oversight framework in the identfcaton, assessment, monitoring, management, and disclosure of signifcant risks. The Risk Oversight Commitee’s oversight provides reasonable assurance that processes are in place to identfy, assess, monitor, manage, and disclose risks that may have a material adverse efect on the achievement of the Company’s strategic objectves.</w:t>
      </w:r>
    </w:p>
    <w:p>
      <w:pPr>
        <w:spacing w:after="0" w:line="1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Charters of the Commitees</w:t>
      </w:r>
    </w:p>
    <w:p>
      <w:pPr>
        <w:spacing w:after="0" w:line="111"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All four Commitees operate pursuant to writen charters, current copies of which are available on the Company’s website, at www.diodes.com, in the “Investors – Corporate Governance” secton.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MEETINGS OF THE BOARD AND COMMITTEES</w:t>
      </w:r>
    </w:p>
    <w:p>
      <w:pPr>
        <w:spacing w:after="0" w:line="39"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presents the number of meetngs and actons taken by writen consent of the Board and the Commitees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5400" w:type="dxa"/>
            <w:vAlign w:val="bottom"/>
            <w:tcBorders>
              <w:top w:val="single" w:sz="8" w:color="005CA9"/>
            </w:tcBorders>
          </w:tcPr>
          <w:p>
            <w:pPr>
              <w:spacing w:after="0"/>
              <w:rPr>
                <w:sz w:val="20"/>
                <w:szCs w:val="20"/>
                <w:color w:val="auto"/>
              </w:rPr>
            </w:pPr>
          </w:p>
        </w:tc>
        <w:tc>
          <w:tcPr>
            <w:tcW w:w="3060" w:type="dxa"/>
            <w:vAlign w:val="bottom"/>
            <w:tcBorders>
              <w:top w:val="single" w:sz="8" w:color="005CA9"/>
            </w:tcBorders>
          </w:tcPr>
          <w:p>
            <w:pPr>
              <w:spacing w:after="0"/>
              <w:rPr>
                <w:sz w:val="20"/>
                <w:szCs w:val="20"/>
                <w:color w:val="auto"/>
              </w:rPr>
            </w:pPr>
          </w:p>
        </w:tc>
        <w:tc>
          <w:tcPr>
            <w:tcW w:w="2780" w:type="dxa"/>
            <w:vAlign w:val="bottom"/>
            <w:tcBorders>
              <w:top w:val="single" w:sz="8" w:color="005CA9"/>
            </w:tcBorders>
          </w:tcPr>
          <w:p>
            <w:pPr>
              <w:jc w:val="center"/>
              <w:spacing w:after="0" w:line="232" w:lineRule="exact"/>
              <w:rPr>
                <w:sz w:val="20"/>
                <w:szCs w:val="20"/>
                <w:color w:val="auto"/>
              </w:rPr>
            </w:pPr>
            <w:r>
              <w:rPr>
                <w:rFonts w:ascii="Calibri" w:cs="Calibri" w:eastAsia="Calibri" w:hAnsi="Calibri"/>
                <w:sz w:val="20"/>
                <w:szCs w:val="20"/>
                <w:b w:val="1"/>
                <w:bCs w:val="1"/>
                <w:color w:val="auto"/>
              </w:rPr>
              <w:t>Acton by</w:t>
            </w:r>
          </w:p>
        </w:tc>
      </w:tr>
      <w:tr>
        <w:trPr>
          <w:trHeight w:val="234"/>
        </w:trPr>
        <w:tc>
          <w:tcPr>
            <w:tcW w:w="5400" w:type="dxa"/>
            <w:vAlign w:val="bottom"/>
          </w:tcPr>
          <w:p>
            <w:pPr>
              <w:spacing w:after="0"/>
              <w:rPr>
                <w:sz w:val="20"/>
                <w:szCs w:val="20"/>
                <w:color w:val="auto"/>
              </w:rPr>
            </w:pPr>
          </w:p>
        </w:tc>
        <w:tc>
          <w:tcPr>
            <w:tcW w:w="3060" w:type="dxa"/>
            <w:vAlign w:val="bottom"/>
          </w:tcPr>
          <w:p>
            <w:pPr>
              <w:jc w:val="center"/>
              <w:ind w:left="321"/>
              <w:spacing w:after="0" w:line="234" w:lineRule="exact"/>
              <w:rPr>
                <w:sz w:val="20"/>
                <w:szCs w:val="20"/>
                <w:color w:val="auto"/>
              </w:rPr>
            </w:pPr>
            <w:r>
              <w:rPr>
                <w:rFonts w:ascii="Calibri" w:cs="Calibri" w:eastAsia="Calibri" w:hAnsi="Calibri"/>
                <w:sz w:val="20"/>
                <w:szCs w:val="20"/>
                <w:b w:val="1"/>
                <w:bCs w:val="1"/>
                <w:color w:val="auto"/>
              </w:rPr>
              <w:t>Meetngs Held</w:t>
            </w:r>
          </w:p>
        </w:tc>
        <w:tc>
          <w:tcPr>
            <w:tcW w:w="278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Writen Consent</w:t>
            </w:r>
          </w:p>
        </w:tc>
      </w:tr>
      <w:tr>
        <w:trPr>
          <w:trHeight w:val="33"/>
        </w:trPr>
        <w:tc>
          <w:tcPr>
            <w:tcW w:w="5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68"/>
        </w:trPr>
        <w:tc>
          <w:tcPr>
            <w:tcW w:w="5400" w:type="dxa"/>
            <w:vAlign w:val="bottom"/>
            <w:shd w:val="clear" w:color="auto" w:fill="005CA9"/>
          </w:tcPr>
          <w:p>
            <w:pPr>
              <w:spacing w:after="0"/>
              <w:rPr>
                <w:sz w:val="5"/>
                <w:szCs w:val="5"/>
                <w:color w:val="auto"/>
              </w:rPr>
            </w:pPr>
          </w:p>
        </w:tc>
        <w:tc>
          <w:tcPr>
            <w:tcW w:w="3060" w:type="dxa"/>
            <w:vAlign w:val="bottom"/>
            <w:shd w:val="clear" w:color="auto" w:fill="005CA9"/>
          </w:tcPr>
          <w:p>
            <w:pPr>
              <w:spacing w:after="0"/>
              <w:rPr>
                <w:sz w:val="5"/>
                <w:szCs w:val="5"/>
                <w:color w:val="auto"/>
              </w:rPr>
            </w:pPr>
          </w:p>
        </w:tc>
        <w:tc>
          <w:tcPr>
            <w:tcW w:w="2780" w:type="dxa"/>
            <w:vAlign w:val="bottom"/>
            <w:shd w:val="clear" w:color="auto" w:fill="005CA9"/>
          </w:tcPr>
          <w:p>
            <w:pPr>
              <w:spacing w:after="0"/>
              <w:rPr>
                <w:sz w:val="5"/>
                <w:szCs w:val="5"/>
                <w:color w:val="auto"/>
              </w:rPr>
            </w:pPr>
          </w:p>
        </w:tc>
      </w:tr>
      <w:tr>
        <w:trPr>
          <w:trHeight w:val="239"/>
        </w:trPr>
        <w:tc>
          <w:tcPr>
            <w:tcW w:w="5400" w:type="dxa"/>
            <w:vAlign w:val="bottom"/>
          </w:tcPr>
          <w:p>
            <w:pPr>
              <w:ind w:left="120"/>
              <w:spacing w:after="0" w:line="234" w:lineRule="exact"/>
              <w:rPr>
                <w:sz w:val="20"/>
                <w:szCs w:val="20"/>
                <w:color w:val="auto"/>
              </w:rPr>
            </w:pPr>
            <w:r>
              <w:rPr>
                <w:rFonts w:ascii="Calibri" w:cs="Calibri" w:eastAsia="Calibri" w:hAnsi="Calibri"/>
                <w:sz w:val="20"/>
                <w:szCs w:val="20"/>
                <w:color w:val="auto"/>
              </w:rPr>
              <w:t>Board</w:t>
            </w:r>
          </w:p>
        </w:tc>
        <w:tc>
          <w:tcPr>
            <w:tcW w:w="3060" w:type="dxa"/>
            <w:vAlign w:val="bottom"/>
          </w:tcPr>
          <w:p>
            <w:pPr>
              <w:jc w:val="center"/>
              <w:ind w:left="341"/>
              <w:spacing w:after="0" w:line="234" w:lineRule="exact"/>
              <w:rPr>
                <w:sz w:val="20"/>
                <w:szCs w:val="20"/>
                <w:color w:val="auto"/>
              </w:rPr>
            </w:pPr>
            <w:r>
              <w:rPr>
                <w:rFonts w:ascii="Calibri" w:cs="Calibri" w:eastAsia="Calibri" w:hAnsi="Calibri"/>
                <w:sz w:val="20"/>
                <w:szCs w:val="20"/>
                <w:color w:val="auto"/>
                <w:w w:val="98"/>
              </w:rPr>
              <w:t>7</w:t>
            </w:r>
          </w:p>
        </w:tc>
        <w:tc>
          <w:tcPr>
            <w:tcW w:w="2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2</w:t>
            </w:r>
          </w:p>
        </w:tc>
      </w:tr>
      <w:tr>
        <w:trPr>
          <w:trHeight w:val="247"/>
        </w:trPr>
        <w:tc>
          <w:tcPr>
            <w:tcW w:w="5400" w:type="dxa"/>
            <w:vAlign w:val="bottom"/>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Audit Commitee</w:t>
            </w:r>
          </w:p>
        </w:tc>
        <w:tc>
          <w:tcPr>
            <w:tcW w:w="3060" w:type="dxa"/>
            <w:vAlign w:val="bottom"/>
            <w:shd w:val="clear" w:color="auto" w:fill="CFF0FC"/>
          </w:tcPr>
          <w:p>
            <w:pPr>
              <w:jc w:val="center"/>
              <w:ind w:left="341"/>
              <w:spacing w:after="0" w:line="239" w:lineRule="exact"/>
              <w:rPr>
                <w:sz w:val="20"/>
                <w:szCs w:val="20"/>
                <w:color w:val="auto"/>
              </w:rPr>
            </w:pPr>
            <w:r>
              <w:rPr>
                <w:rFonts w:ascii="Calibri" w:cs="Calibri" w:eastAsia="Calibri" w:hAnsi="Calibri"/>
                <w:sz w:val="20"/>
                <w:szCs w:val="20"/>
                <w:color w:val="auto"/>
                <w:w w:val="98"/>
              </w:rPr>
              <w:t>7</w:t>
            </w: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39"/>
        </w:trPr>
        <w:tc>
          <w:tcPr>
            <w:tcW w:w="5400" w:type="dxa"/>
            <w:vAlign w:val="bottom"/>
          </w:tcPr>
          <w:p>
            <w:pPr>
              <w:ind w:left="120"/>
              <w:spacing w:after="0" w:line="234" w:lineRule="exact"/>
              <w:rPr>
                <w:sz w:val="20"/>
                <w:szCs w:val="20"/>
                <w:color w:val="auto"/>
              </w:rPr>
            </w:pPr>
            <w:r>
              <w:rPr>
                <w:rFonts w:ascii="Calibri" w:cs="Calibri" w:eastAsia="Calibri" w:hAnsi="Calibri"/>
                <w:sz w:val="20"/>
                <w:szCs w:val="20"/>
                <w:color w:val="auto"/>
              </w:rPr>
              <w:t>Compensaton Commitee</w:t>
            </w:r>
          </w:p>
        </w:tc>
        <w:tc>
          <w:tcPr>
            <w:tcW w:w="3060" w:type="dxa"/>
            <w:vAlign w:val="bottom"/>
          </w:tcPr>
          <w:p>
            <w:pPr>
              <w:jc w:val="center"/>
              <w:ind w:left="341"/>
              <w:spacing w:after="0" w:line="234" w:lineRule="exact"/>
              <w:rPr>
                <w:sz w:val="20"/>
                <w:szCs w:val="20"/>
                <w:color w:val="auto"/>
              </w:rPr>
            </w:pPr>
            <w:r>
              <w:rPr>
                <w:rFonts w:ascii="Calibri" w:cs="Calibri" w:eastAsia="Calibri" w:hAnsi="Calibri"/>
                <w:sz w:val="20"/>
                <w:szCs w:val="20"/>
                <w:color w:val="auto"/>
                <w:w w:val="98"/>
              </w:rPr>
              <w:t>3</w:t>
            </w:r>
          </w:p>
        </w:tc>
        <w:tc>
          <w:tcPr>
            <w:tcW w:w="2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2</w:t>
            </w:r>
          </w:p>
        </w:tc>
      </w:tr>
      <w:tr>
        <w:trPr>
          <w:trHeight w:val="247"/>
        </w:trPr>
        <w:tc>
          <w:tcPr>
            <w:tcW w:w="5400" w:type="dxa"/>
            <w:vAlign w:val="bottom"/>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Governance and Stockholder Relatons Commitee</w:t>
            </w:r>
          </w:p>
        </w:tc>
        <w:tc>
          <w:tcPr>
            <w:tcW w:w="3060" w:type="dxa"/>
            <w:vAlign w:val="bottom"/>
            <w:shd w:val="clear" w:color="auto" w:fill="CFF0FC"/>
          </w:tcPr>
          <w:p>
            <w:pPr>
              <w:jc w:val="center"/>
              <w:ind w:left="341"/>
              <w:spacing w:after="0" w:line="239" w:lineRule="exact"/>
              <w:rPr>
                <w:sz w:val="20"/>
                <w:szCs w:val="20"/>
                <w:color w:val="auto"/>
              </w:rPr>
            </w:pPr>
            <w:r>
              <w:rPr>
                <w:rFonts w:ascii="Calibri" w:cs="Calibri" w:eastAsia="Calibri" w:hAnsi="Calibri"/>
                <w:sz w:val="20"/>
                <w:szCs w:val="20"/>
                <w:color w:val="auto"/>
                <w:w w:val="98"/>
              </w:rPr>
              <w:t>4</w:t>
            </w: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43"/>
        </w:trPr>
        <w:tc>
          <w:tcPr>
            <w:tcW w:w="5400" w:type="dxa"/>
            <w:vAlign w:val="bottom"/>
            <w:tcBorders>
              <w:bottom w:val="single" w:sz="8" w:color="005CA9"/>
            </w:tcBorders>
          </w:tcPr>
          <w:p>
            <w:pPr>
              <w:ind w:left="120"/>
              <w:spacing w:after="0" w:line="234" w:lineRule="exact"/>
              <w:rPr>
                <w:sz w:val="20"/>
                <w:szCs w:val="20"/>
                <w:color w:val="auto"/>
              </w:rPr>
            </w:pPr>
            <w:r>
              <w:rPr>
                <w:rFonts w:ascii="Calibri" w:cs="Calibri" w:eastAsia="Calibri" w:hAnsi="Calibri"/>
                <w:sz w:val="20"/>
                <w:szCs w:val="20"/>
                <w:color w:val="auto"/>
              </w:rPr>
              <w:t>Risk Oversight Commitee</w:t>
            </w:r>
          </w:p>
        </w:tc>
        <w:tc>
          <w:tcPr>
            <w:tcW w:w="3060" w:type="dxa"/>
            <w:vAlign w:val="bottom"/>
            <w:tcBorders>
              <w:bottom w:val="single" w:sz="8" w:color="005CA9"/>
            </w:tcBorders>
          </w:tcPr>
          <w:p>
            <w:pPr>
              <w:jc w:val="center"/>
              <w:ind w:left="341"/>
              <w:spacing w:after="0" w:line="234" w:lineRule="exact"/>
              <w:rPr>
                <w:sz w:val="20"/>
                <w:szCs w:val="20"/>
                <w:color w:val="auto"/>
              </w:rPr>
            </w:pPr>
            <w:r>
              <w:rPr>
                <w:rFonts w:ascii="Calibri" w:cs="Calibri" w:eastAsia="Calibri" w:hAnsi="Calibri"/>
                <w:sz w:val="20"/>
                <w:szCs w:val="20"/>
                <w:color w:val="auto"/>
                <w:w w:val="98"/>
              </w:rPr>
              <w:t>5</w:t>
            </w:r>
          </w:p>
        </w:tc>
        <w:tc>
          <w:tcPr>
            <w:tcW w:w="2780" w:type="dxa"/>
            <w:vAlign w:val="bottom"/>
            <w:tcBorders>
              <w:bottom w:val="single" w:sz="8" w:color="005CA9"/>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84"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All current directors atended at least 75% of the total number of meetngs of the Board and Commitees on which each served held during the period he or she served in 2024.</w:t>
      </w:r>
    </w:p>
    <w:p>
      <w:pPr>
        <w:spacing w:after="0" w:line="118"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It is the policy of the Company to require Board members to atend the annual meetngs of stockholders, if practcable. Each director at the tme atended the 2024 annual meetng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BOARD LEADERSHIP STRUCTURE</w:t>
      </w:r>
    </w:p>
    <w:p>
      <w:pPr>
        <w:spacing w:after="0" w:line="3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Chairman of the Board, Dr. Keh-Shew Lu, conducts each Board meetng and sets the agenda of each Board meetng afer consultng Ms. Angie Chen Buton, our independent lead director ("Lead Director"), and members of the Board. The Chairman of the Board also has the responsibility to establish efectve communicatons with the Company’s stakeholders, including stockholders, customers, employees, communites, suppliers, creditors, governments, and corporate partners. The Chairman also serves as our Chief Executve Ofcer. Our Board of Directors has determined that this leadership structure is appropriate and efectve for the Company at this tme. This structure efectvely utlizes Dr. Lu’s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-911225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14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7" w:name="page18"/>
    <w:bookmarkEnd w:id="17"/>
    <w:p>
      <w:pPr>
        <w:jc w:val="both"/>
        <w:spacing w:after="0"/>
        <w:rPr>
          <w:sz w:val="20"/>
          <w:szCs w:val="20"/>
          <w:color w:val="auto"/>
        </w:rPr>
      </w:pPr>
      <w:r>
        <w:rPr>
          <w:rFonts w:ascii="Calibri" w:cs="Calibri" w:eastAsia="Calibri" w:hAnsi="Calibri"/>
          <w:sz w:val="20"/>
          <w:szCs w:val="20"/>
          <w:color w:val="auto"/>
        </w:rPr>
        <w:t>of the Company and the industry in which we operate, while fostering greater communicaton and producing a greater degree of transparency between management and our directors. Dr. Lu has served as a director since 2001 and as Chief Executve Ofcer since 2005.</w:t>
      </w:r>
    </w:p>
    <w:p>
      <w:pPr>
        <w:spacing w:after="0" w:line="34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dutes of the Lead Director are to preside at executve sessions of the independent directors, serve as principal liaison between the independent directors and the Chairman, work with the Chairman to set and approve the schedule and agenda for meetngs of the Board and its commitees, direct the retenton of advisors and consultants who report directly to the Board, serve as liaison for consultaton and communicaton with stockholders, oversee the annual evaluaton of our Board and its commitees, and evaluate, in cooperaton with the Compensaton Commitee and all members of the Board, the Chief Executve Ofcer's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NOMINATING PROCEDURES AND CRITERIA AND 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Among its functons, the Governance Commitee identfes individuals qualifed to become Board members, consistent with criteria approved by the Board, and recommends to the Board the director nominees to be selected by the Board for electon at the next annual meetng of stockholders. In additon to the candidates proposed by the Board or identfed by the Governance Commitee, the Governance Commitee considers candidates for director suggested by stockholders provided such recommendatons are made in accordance with the procedures set forth under “Proposals of Stockholders and Stockholder Nominatons for 2026 Annual Meetng.” Stockholder nominatons that comply with these procedures and meet the criteria outlined below will receive the same consideraton that the Governance Commitee’s nominees receive.</w:t>
      </w:r>
    </w:p>
    <w:p>
      <w:pPr>
        <w:spacing w:after="0" w:line="112" w:lineRule="exact"/>
        <w:rPr>
          <w:sz w:val="20"/>
          <w:szCs w:val="20"/>
          <w:color w:val="auto"/>
        </w:rPr>
      </w:pPr>
    </w:p>
    <w:p>
      <w:pPr>
        <w:spacing w:after="0"/>
        <w:rPr>
          <w:sz w:val="20"/>
          <w:szCs w:val="20"/>
          <w:color w:val="auto"/>
        </w:rPr>
      </w:pPr>
      <w:r>
        <w:rPr>
          <w:rFonts w:ascii="Calibri" w:cs="Calibri" w:eastAsia="Calibri" w:hAnsi="Calibri"/>
          <w:sz w:val="20"/>
          <w:szCs w:val="20"/>
          <w:color w:val="auto"/>
        </w:rPr>
        <w:t>Essental criteria for all candidates considered by the Governance Commitee include the following:</w:t>
      </w:r>
    </w:p>
    <w:p>
      <w:pPr>
        <w:spacing w:after="0" w:line="120"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integrity and a commitment to ethical behavior;</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personal maturity and leadership skills in industry, educaton, the professions, or government;</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independence of thought and willingness to deal directly with difcult issues;</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fulfllment of the broadest defniton of diversity, seeking diversity of thought; and</w:t>
      </w:r>
    </w:p>
    <w:p>
      <w:pPr>
        <w:spacing w:after="0" w:line="130"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color w:val="auto"/>
        </w:rPr>
        <w:t>broad business or professional experience, with an understanding of business and fnancial afairs, and the complexites of business organizatons.</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In evaluatng candidates for certain Board positons, the Governance Commitee evaluates additonal criteria, including the following:</w:t>
      </w:r>
    </w:p>
    <w:p>
      <w:pPr>
        <w:spacing w:after="0" w:line="120"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20"/>
          <w:szCs w:val="20"/>
          <w:color w:val="auto"/>
        </w:rPr>
      </w:pPr>
      <w:r>
        <w:rPr>
          <w:rFonts w:ascii="Calibri" w:cs="Calibri" w:eastAsia="Calibri" w:hAnsi="Calibri"/>
          <w:sz w:val="20"/>
          <w:szCs w:val="20"/>
          <w:color w:val="auto"/>
        </w:rPr>
        <w:t>technical expertse in engineering, chemistry, solid state physics, or electronics;</w:t>
      </w:r>
    </w:p>
    <w:p>
      <w:pPr>
        <w:spacing w:after="0" w:line="130"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6"/>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senior management experience and expertse, especially from leadership roles in semiconductor, informaton technology, or electronics corporatons;</w:t>
      </w:r>
    </w:p>
    <w:p>
      <w:pPr>
        <w:spacing w:after="0" w:line="131"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16"/>
        </w:numPr>
        <w:rPr>
          <w:rFonts w:ascii="Times New Roman" w:cs="Times New Roman" w:eastAsia="Times New Roman" w:hAnsi="Times New Roman"/>
          <w:sz w:val="20"/>
          <w:szCs w:val="20"/>
          <w:color w:val="auto"/>
        </w:rPr>
      </w:pPr>
      <w:r>
        <w:rPr>
          <w:rFonts w:ascii="Calibri" w:cs="Calibri" w:eastAsia="Calibri" w:hAnsi="Calibri"/>
          <w:sz w:val="20"/>
          <w:szCs w:val="20"/>
          <w:color w:val="auto"/>
        </w:rPr>
        <w:t>fnancial or accountng expertse, generally and as necessary to fulfll the fnancial requirements of the SEC and Nasdaq regulatons;</w:t>
      </w:r>
    </w:p>
    <w:p>
      <w:pPr>
        <w:spacing w:after="0" w:line="131"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6"/>
        </w:numPr>
        <w:rPr>
          <w:rFonts w:ascii="Times New Roman" w:cs="Times New Roman" w:eastAsia="Times New Roman" w:hAnsi="Times New Roman"/>
          <w:sz w:val="20"/>
          <w:szCs w:val="20"/>
          <w:color w:val="auto"/>
        </w:rPr>
      </w:pPr>
      <w:r>
        <w:rPr>
          <w:rFonts w:ascii="Calibri" w:cs="Calibri" w:eastAsia="Calibri" w:hAnsi="Calibri"/>
          <w:sz w:val="20"/>
          <w:szCs w:val="20"/>
          <w:color w:val="auto"/>
        </w:rPr>
        <w:t>leadership experience in other industries to help the Company beter understand the care-abouts in key, targeted industries; and</w:t>
      </w:r>
    </w:p>
    <w:p>
      <w:pPr>
        <w:spacing w:after="0" w:line="12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20"/>
          <w:szCs w:val="20"/>
          <w:color w:val="auto"/>
        </w:rPr>
      </w:pPr>
      <w:r>
        <w:rPr>
          <w:rFonts w:ascii="Calibri" w:cs="Calibri" w:eastAsia="Calibri" w:hAnsi="Calibri"/>
          <w:sz w:val="20"/>
          <w:szCs w:val="20"/>
          <w:color w:val="auto"/>
        </w:rPr>
        <w:t>experience in investment banking, commercial lending, or other fnancing actvites.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In selectng nominees for the Board, the Governance Commitee evaluates the general and relevant specialized criteria set forth above prior to commencement of the recruitment process, determines whether a nominee fulflls the independence requirements of the SEC and Nasdaq, evaluates recommendatons received from other existng members of the Board, reviews the educaton of the nominee, evaluates the quality of experience and achievement of the nominee, reviews the nominee’s current or past membership on other companies’ boards, determines that the nominee has the ability and the willingness to spend the necessary tme required to functon efectvely as a director (except in extraordinary circumstances, no director shall serve on the board of more than four other public companies), and determines that the nominee has a genuine interest in representng the stockholders and the interests of the Company overall.</w:t>
      </w:r>
    </w:p>
    <w:p>
      <w:pPr>
        <w:spacing w:after="0" w:line="24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15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8" w:name="page19"/>
    <w:bookmarkEnd w:id="18"/>
    <w:p>
      <w:pPr>
        <w:jc w:val="both"/>
        <w:spacing w:after="0" w:line="237" w:lineRule="auto"/>
        <w:rPr>
          <w:sz w:val="20"/>
          <w:szCs w:val="20"/>
          <w:color w:val="auto"/>
        </w:rPr>
      </w:pPr>
      <w:r>
        <w:rPr>
          <w:rFonts w:ascii="Calibri" w:cs="Calibri" w:eastAsia="Calibri" w:hAnsi="Calibri"/>
          <w:sz w:val="20"/>
          <w:szCs w:val="20"/>
          <w:color w:val="auto"/>
        </w:rPr>
        <w:t>If the Governance Commitee is evaluatng a nominee for re-electon, the Governance Commitee will review the nominee’s performance, including the following: availability for and atendance at meetngs, contributon to Board processes such as informaton gathering and decision making, accessibility for communicaton with other directors and management, partcipaton in Commitee actvites, depth of knowledge of the Company and its industry, the Company’s performance during the nominee’s previous term, in light of the role played by the Board and the nominee in guiding management, and any specialized expertse or experience that has contributed or may contribute to the functoning of the Board or the success of the Company.</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Governance Commitee believes that the Board should include individuals with a broad range of relevant professional expertse, experience and educaton and refect the diversity and cultural and geographical perspectves of the Company’s employees, customers, and suppliers.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The Governance Commitee, as well as the full Board, has recommended the Board’s nominees for electon at the Meetng.</w:t>
      </w:r>
    </w:p>
    <w:p>
      <w:pPr>
        <w:spacing w:after="0" w:line="238" w:lineRule="auto"/>
        <w:rPr>
          <w:sz w:val="20"/>
          <w:szCs w:val="20"/>
          <w:color w:val="auto"/>
        </w:rPr>
      </w:pPr>
      <w:r>
        <w:rPr>
          <w:rFonts w:ascii="Calibri" w:cs="Calibri" w:eastAsia="Calibri" w:hAnsi="Calibri"/>
          <w:sz w:val="20"/>
          <w:szCs w:val="20"/>
          <w:color w:val="auto"/>
        </w:rPr>
        <w:t>Stockholders have not proposed any candidates for electon at the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DIRECTOR RESIGNATION POLICY</w:t>
      </w:r>
    </w:p>
    <w:p>
      <w:pPr>
        <w:spacing w:after="0" w:line="4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Under the Company’s director resignaton policy, promptly following the receipt of the fnal report from the Inspector of Electons relatng to an electon of directors of the Company (other than electons in which the number of nominees exceeds the number of directors to be elected), any nominee who receives a greater number of votes “WITHHELD” from his or her electon than votes “FOR” his or her electon, will tender his or her resignaton for consideraton by the Board. Subject to certain conditons, the Governance Commitee will meet to consider the tendered resignaton and make a recommendaton to the Board concerning the acton, if any, to be taken with respect to the director’s resignaton.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-911225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Board will consider and act upon the Governance Commitee’s recommendaton within 90 days of certfcaton of the vote at the Meetng. In considering the director’s resignaton, the Governance Commitee and the Board will consider all factors they deem relevant, including, without limitaton, the underlying reason for the vote result, if known, the director’s contributons to the Company during his or her tenure, and the director’s qualifcatons. The Board may accept the resignaton, refuse the resignaton, or refuse the resignaton subject to such conditons designed to cure the underlying cause as the Board may impose. Within four business days of the decision regarding the tendered resignaton, the Company will fle with the SEC a report on Form 8-K disclosing the decision with respect to the resignaton, describing the deliberatve process and, if applicable, the specifc reasons for rejectng the tendered resignaton.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COMMUNICATIONS WITH DIRECTORS</w:t>
      </w:r>
    </w:p>
    <w:p>
      <w:pPr>
        <w:spacing w:after="0" w:line="35"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You may communicate with the chair of our Audit Commitee, our Compensaton Commitee, our Governance Commitee, or our Risk Oversight Commitee or with our independent directors individually or as a group, by writng to any such person or group c/o Corporate Secretary, Diodes Incorporated, 4949 Hedgcoxe Road, Suite 200, Plano, Texas 75024.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Communicatons are distributed to the Board, or to any individual director, depending on the facts and circumstances set forth in the communicaton. In that regard, the Board has requested that certain items that are unrelated to the dutes and responsibilites of the Board be excluded, including, but not limited to, the following: junk mail and mass mailings, product complaints, product inquiries, new product suggestons, resumes and other forms of job inquiries, surveys, and business solicitatons or advertsements. In additon, material that is unduly hostle, threatening, illegal, or similarly unsuitable will not be distributed, provided that any communicaton that is not distributed will be made available to any independent director upon request.</w:t>
      </w:r>
    </w:p>
    <w:p>
      <w:pPr>
        <w:spacing w:after="0" w:line="120"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Communicatons that include informaton that would be beter addressed by the Company’s ethics and compliance hotline, which reports to the Audit Commitee at (855) 316-2192, will be delivered to the Audit Commitee.</w:t>
      </w:r>
    </w:p>
    <w:p>
      <w:pPr>
        <w:spacing w:after="0" w:line="23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16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9" w:name="page20"/>
    <w:bookmarkEnd w:id="19"/>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t>COMPENSATION OF DIRECTORS</w:t>
      </w:r>
    </w:p>
    <w:p>
      <w:pPr>
        <w:spacing w:after="0" w:line="4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the compensaton of each director, who is not a NEO, for service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80" w:type="dxa"/>
            <w:vAlign w:val="bottom"/>
            <w:tcBorders>
              <w:top w:val="single" w:sz="8" w:color="005CA9"/>
            </w:tcBorders>
          </w:tcPr>
          <w:p>
            <w:pPr>
              <w:spacing w:after="0"/>
              <w:rPr>
                <w:sz w:val="17"/>
                <w:szCs w:val="17"/>
                <w:color w:val="auto"/>
              </w:rPr>
            </w:pPr>
          </w:p>
        </w:tc>
        <w:tc>
          <w:tcPr>
            <w:tcW w:w="2300" w:type="dxa"/>
            <w:vAlign w:val="bottom"/>
            <w:tcBorders>
              <w:top w:val="single" w:sz="8" w:color="005CA9"/>
            </w:tcBorders>
          </w:tcPr>
          <w:p>
            <w:pPr>
              <w:jc w:val="center"/>
              <w:ind w:left="1319"/>
              <w:spacing w:after="0"/>
              <w:rPr>
                <w:sz w:val="20"/>
                <w:szCs w:val="20"/>
                <w:color w:val="auto"/>
              </w:rPr>
            </w:pPr>
            <w:r>
              <w:rPr>
                <w:rFonts w:ascii="Calibri" w:cs="Calibri" w:eastAsia="Calibri" w:hAnsi="Calibri"/>
                <w:sz w:val="16"/>
                <w:szCs w:val="16"/>
                <w:b w:val="1"/>
                <w:bCs w:val="1"/>
                <w:color w:val="auto"/>
              </w:rPr>
              <w:t>Fees</w:t>
            </w:r>
          </w:p>
        </w:tc>
        <w:tc>
          <w:tcPr>
            <w:tcW w:w="2460" w:type="dxa"/>
            <w:vAlign w:val="bottom"/>
            <w:tcBorders>
              <w:top w:val="single" w:sz="8" w:color="005CA9"/>
            </w:tcBorders>
          </w:tcPr>
          <w:p>
            <w:pPr>
              <w:spacing w:after="0"/>
              <w:rPr>
                <w:sz w:val="17"/>
                <w:szCs w:val="17"/>
                <w:color w:val="auto"/>
              </w:rPr>
            </w:pPr>
          </w:p>
        </w:tc>
        <w:tc>
          <w:tcPr>
            <w:tcW w:w="1300" w:type="dxa"/>
            <w:vAlign w:val="bottom"/>
            <w:tcBorders>
              <w:top w:val="single" w:sz="8" w:color="005CA9"/>
            </w:tcBorders>
          </w:tcPr>
          <w:p>
            <w:pPr>
              <w:spacing w:after="0"/>
              <w:rPr>
                <w:sz w:val="17"/>
                <w:szCs w:val="17"/>
                <w:color w:val="auto"/>
              </w:rPr>
            </w:pPr>
          </w:p>
        </w:tc>
        <w:tc>
          <w:tcPr>
            <w:tcW w:w="2000" w:type="dxa"/>
            <w:vAlign w:val="bottom"/>
            <w:tcBorders>
              <w:top w:val="single" w:sz="8" w:color="005CA9"/>
            </w:tcBorders>
          </w:tcPr>
          <w:p>
            <w:pPr>
              <w:spacing w:after="0"/>
              <w:rPr>
                <w:sz w:val="17"/>
                <w:szCs w:val="17"/>
                <w:color w:val="auto"/>
              </w:rPr>
            </w:pPr>
          </w:p>
        </w:tc>
      </w:tr>
      <w:tr>
        <w:trPr>
          <w:trHeight w:val="193"/>
        </w:trPr>
        <w:tc>
          <w:tcPr>
            <w:tcW w:w="3180" w:type="dxa"/>
            <w:vAlign w:val="bottom"/>
          </w:tcPr>
          <w:p>
            <w:pPr>
              <w:spacing w:after="0"/>
              <w:rPr>
                <w:sz w:val="16"/>
                <w:szCs w:val="16"/>
                <w:color w:val="auto"/>
              </w:rPr>
            </w:pPr>
          </w:p>
        </w:tc>
        <w:tc>
          <w:tcPr>
            <w:tcW w:w="2300" w:type="dxa"/>
            <w:vAlign w:val="bottom"/>
          </w:tcPr>
          <w:p>
            <w:pPr>
              <w:jc w:val="center"/>
              <w:ind w:left="1319"/>
              <w:spacing w:after="0" w:line="193" w:lineRule="exact"/>
              <w:rPr>
                <w:sz w:val="20"/>
                <w:szCs w:val="20"/>
                <w:color w:val="auto"/>
              </w:rPr>
            </w:pPr>
            <w:r>
              <w:rPr>
                <w:rFonts w:ascii="Calibri" w:cs="Calibri" w:eastAsia="Calibri" w:hAnsi="Calibri"/>
                <w:sz w:val="16"/>
                <w:szCs w:val="16"/>
                <w:b w:val="1"/>
                <w:bCs w:val="1"/>
                <w:color w:val="auto"/>
              </w:rPr>
              <w:t>Earned or</w:t>
            </w:r>
          </w:p>
        </w:tc>
        <w:tc>
          <w:tcPr>
            <w:tcW w:w="2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3"/>
        </w:trPr>
        <w:tc>
          <w:tcPr>
            <w:tcW w:w="3180" w:type="dxa"/>
            <w:vAlign w:val="bottom"/>
          </w:tcPr>
          <w:p>
            <w:pPr>
              <w:spacing w:after="0"/>
              <w:rPr>
                <w:sz w:val="17"/>
                <w:szCs w:val="17"/>
                <w:color w:val="auto"/>
              </w:rPr>
            </w:pPr>
          </w:p>
        </w:tc>
        <w:tc>
          <w:tcPr>
            <w:tcW w:w="2300" w:type="dxa"/>
            <w:vAlign w:val="bottom"/>
          </w:tcPr>
          <w:p>
            <w:pPr>
              <w:jc w:val="center"/>
              <w:ind w:left="1319"/>
              <w:spacing w:after="0"/>
              <w:rPr>
                <w:sz w:val="20"/>
                <w:szCs w:val="20"/>
                <w:color w:val="auto"/>
              </w:rPr>
            </w:pPr>
            <w:r>
              <w:rPr>
                <w:rFonts w:ascii="Calibri" w:cs="Calibri" w:eastAsia="Calibri" w:hAnsi="Calibri"/>
                <w:sz w:val="16"/>
                <w:szCs w:val="16"/>
                <w:b w:val="1"/>
                <w:bCs w:val="1"/>
                <w:color w:val="auto"/>
              </w:rPr>
              <w:t>Paid in</w:t>
            </w:r>
          </w:p>
        </w:tc>
        <w:tc>
          <w:tcPr>
            <w:tcW w:w="2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83"/>
        </w:trPr>
        <w:tc>
          <w:tcPr>
            <w:tcW w:w="3180" w:type="dxa"/>
            <w:vAlign w:val="bottom"/>
          </w:tcPr>
          <w:p>
            <w:pPr>
              <w:spacing w:after="0"/>
              <w:rPr>
                <w:sz w:val="15"/>
                <w:szCs w:val="15"/>
                <w:color w:val="auto"/>
              </w:rPr>
            </w:pPr>
          </w:p>
        </w:tc>
        <w:tc>
          <w:tcPr>
            <w:tcW w:w="2300" w:type="dxa"/>
            <w:vAlign w:val="bottom"/>
          </w:tcPr>
          <w:p>
            <w:pPr>
              <w:jc w:val="center"/>
              <w:ind w:left="1299"/>
              <w:spacing w:after="0" w:line="183" w:lineRule="exact"/>
              <w:rPr>
                <w:sz w:val="20"/>
                <w:szCs w:val="20"/>
                <w:color w:val="auto"/>
              </w:rPr>
            </w:pPr>
            <w:r>
              <w:rPr>
                <w:rFonts w:ascii="Calibri" w:cs="Calibri" w:eastAsia="Calibri" w:hAnsi="Calibri"/>
                <w:sz w:val="16"/>
                <w:szCs w:val="16"/>
                <w:b w:val="1"/>
                <w:bCs w:val="1"/>
                <w:color w:val="auto"/>
              </w:rPr>
              <w:t>Cash</w:t>
            </w:r>
          </w:p>
        </w:tc>
        <w:tc>
          <w:tcPr>
            <w:tcW w:w="2460" w:type="dxa"/>
            <w:vAlign w:val="bottom"/>
          </w:tcPr>
          <w:p>
            <w:pPr>
              <w:jc w:val="center"/>
              <w:ind w:left="1603"/>
              <w:spacing w:after="0" w:line="183" w:lineRule="exact"/>
              <w:rPr>
                <w:sz w:val="20"/>
                <w:szCs w:val="20"/>
                <w:color w:val="auto"/>
              </w:rPr>
            </w:pPr>
            <w:r>
              <w:rPr>
                <w:rFonts w:ascii="Calibri" w:cs="Calibri" w:eastAsia="Calibri" w:hAnsi="Calibri"/>
                <w:sz w:val="16"/>
                <w:szCs w:val="16"/>
                <w:b w:val="1"/>
                <w:bCs w:val="1"/>
                <w:color w:val="auto"/>
              </w:rPr>
              <w:t>RSUs</w:t>
            </w:r>
          </w:p>
        </w:tc>
        <w:tc>
          <w:tcPr>
            <w:tcW w:w="1300" w:type="dxa"/>
            <w:vAlign w:val="bottom"/>
          </w:tcPr>
          <w:p>
            <w:pPr>
              <w:spacing w:after="0"/>
              <w:rPr>
                <w:sz w:val="15"/>
                <w:szCs w:val="15"/>
                <w:color w:val="auto"/>
              </w:rPr>
            </w:pPr>
          </w:p>
        </w:tc>
        <w:tc>
          <w:tcPr>
            <w:tcW w:w="2000" w:type="dxa"/>
            <w:vAlign w:val="bottom"/>
          </w:tcPr>
          <w:p>
            <w:pPr>
              <w:jc w:val="right"/>
              <w:ind w:right="959"/>
              <w:spacing w:after="0" w:line="183" w:lineRule="exact"/>
              <w:rPr>
                <w:sz w:val="20"/>
                <w:szCs w:val="20"/>
                <w:color w:val="auto"/>
              </w:rPr>
            </w:pPr>
            <w:r>
              <w:rPr>
                <w:rFonts w:ascii="Calibri" w:cs="Calibri" w:eastAsia="Calibri" w:hAnsi="Calibri"/>
                <w:sz w:val="16"/>
                <w:szCs w:val="16"/>
                <w:b w:val="1"/>
                <w:bCs w:val="1"/>
                <w:color w:val="auto"/>
              </w:rPr>
              <w:t>Total</w:t>
            </w:r>
          </w:p>
        </w:tc>
      </w:tr>
      <w:tr>
        <w:trPr>
          <w:trHeight w:val="231"/>
        </w:trPr>
        <w:tc>
          <w:tcPr>
            <w:tcW w:w="3180" w:type="dxa"/>
            <w:vAlign w:val="bottom"/>
          </w:tcPr>
          <w:p>
            <w:pPr>
              <w:ind w:left="20"/>
              <w:spacing w:after="0"/>
              <w:rPr>
                <w:sz w:val="20"/>
                <w:szCs w:val="20"/>
                <w:color w:val="auto"/>
              </w:rPr>
            </w:pPr>
            <w:r>
              <w:rPr>
                <w:rFonts w:ascii="Calibri" w:cs="Calibri" w:eastAsia="Calibri" w:hAnsi="Calibri"/>
                <w:sz w:val="16"/>
                <w:szCs w:val="16"/>
                <w:b w:val="1"/>
                <w:bCs w:val="1"/>
                <w:color w:val="auto"/>
              </w:rPr>
              <w:t>Name</w:t>
            </w:r>
          </w:p>
        </w:tc>
        <w:tc>
          <w:tcPr>
            <w:tcW w:w="2300" w:type="dxa"/>
            <w:vAlign w:val="bottom"/>
          </w:tcPr>
          <w:p>
            <w:pPr>
              <w:jc w:val="center"/>
              <w:ind w:left="1319"/>
              <w:spacing w:after="0" w:line="231" w:lineRule="exact"/>
              <w:rPr>
                <w:sz w:val="20"/>
                <w:szCs w:val="20"/>
                <w:color w:val="auto"/>
              </w:rPr>
            </w:pPr>
            <w:r>
              <w:rPr>
                <w:rFonts w:ascii="Calibri" w:cs="Calibri" w:eastAsia="Calibri" w:hAnsi="Calibri"/>
                <w:sz w:val="16"/>
                <w:szCs w:val="16"/>
                <w:b w:val="1"/>
                <w:bCs w:val="1"/>
                <w:color w:val="auto"/>
                <w:w w:val="88"/>
              </w:rPr>
              <w:t>($)</w:t>
            </w:r>
            <w:r>
              <w:rPr>
                <w:rFonts w:ascii="Calibri" w:cs="Calibri" w:eastAsia="Calibri" w:hAnsi="Calibri"/>
                <w:sz w:val="21"/>
                <w:szCs w:val="21"/>
                <w:b w:val="1"/>
                <w:bCs w:val="1"/>
                <w:color w:val="auto"/>
                <w:w w:val="88"/>
                <w:vertAlign w:val="superscript"/>
              </w:rPr>
              <w:t>(1)</w:t>
            </w:r>
          </w:p>
        </w:tc>
        <w:tc>
          <w:tcPr>
            <w:tcW w:w="2460" w:type="dxa"/>
            <w:vAlign w:val="bottom"/>
          </w:tcPr>
          <w:p>
            <w:pPr>
              <w:jc w:val="center"/>
              <w:ind w:left="1583"/>
              <w:spacing w:after="0" w:line="231" w:lineRule="exact"/>
              <w:rPr>
                <w:sz w:val="20"/>
                <w:szCs w:val="20"/>
                <w:color w:val="auto"/>
              </w:rPr>
            </w:pPr>
            <w:r>
              <w:rPr>
                <w:rFonts w:ascii="Calibri" w:cs="Calibri" w:eastAsia="Calibri" w:hAnsi="Calibri"/>
                <w:sz w:val="25"/>
                <w:szCs w:val="25"/>
                <w:b w:val="1"/>
                <w:bCs w:val="1"/>
                <w:color w:val="auto"/>
                <w:vertAlign w:val="subscript"/>
              </w:rPr>
              <w:t>($)</w:t>
            </w:r>
            <w:r>
              <w:rPr>
                <w:rFonts w:ascii="Calibri" w:cs="Calibri" w:eastAsia="Calibri" w:hAnsi="Calibri"/>
                <w:sz w:val="10"/>
                <w:szCs w:val="10"/>
                <w:b w:val="1"/>
                <w:bCs w:val="1"/>
                <w:color w:val="auto"/>
              </w:rPr>
              <w:t xml:space="preserve"> (2) (3)</w:t>
            </w:r>
          </w:p>
        </w:tc>
        <w:tc>
          <w:tcPr>
            <w:tcW w:w="1300" w:type="dxa"/>
            <w:vAlign w:val="bottom"/>
          </w:tcPr>
          <w:p>
            <w:pPr>
              <w:spacing w:after="0"/>
              <w:rPr>
                <w:sz w:val="20"/>
                <w:szCs w:val="20"/>
                <w:color w:val="auto"/>
              </w:rPr>
            </w:pPr>
          </w:p>
        </w:tc>
        <w:tc>
          <w:tcPr>
            <w:tcW w:w="2000" w:type="dxa"/>
            <w:vAlign w:val="bottom"/>
          </w:tcPr>
          <w:p>
            <w:pPr>
              <w:jc w:val="right"/>
              <w:ind w:right="1039"/>
              <w:spacing w:after="0"/>
              <w:rPr>
                <w:sz w:val="20"/>
                <w:szCs w:val="20"/>
                <w:color w:val="auto"/>
              </w:rPr>
            </w:pPr>
            <w:r>
              <w:rPr>
                <w:rFonts w:ascii="Calibri" w:cs="Calibri" w:eastAsia="Calibri" w:hAnsi="Calibri"/>
                <w:sz w:val="16"/>
                <w:szCs w:val="16"/>
                <w:b w:val="1"/>
                <w:bCs w:val="1"/>
                <w:color w:val="auto"/>
              </w:rPr>
              <w:t>($)</w:t>
            </w:r>
          </w:p>
        </w:tc>
      </w:tr>
      <w:tr>
        <w:trPr>
          <w:trHeight w:val="193"/>
        </w:trPr>
        <w:tc>
          <w:tcPr>
            <w:tcW w:w="318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(a)</w:t>
            </w:r>
          </w:p>
        </w:tc>
        <w:tc>
          <w:tcPr>
            <w:tcW w:w="2300" w:type="dxa"/>
            <w:vAlign w:val="bottom"/>
          </w:tcPr>
          <w:p>
            <w:pPr>
              <w:jc w:val="center"/>
              <w:ind w:left="1299"/>
              <w:spacing w:after="0" w:line="193" w:lineRule="exact"/>
              <w:rPr>
                <w:sz w:val="20"/>
                <w:szCs w:val="20"/>
                <w:color w:val="auto"/>
              </w:rPr>
            </w:pPr>
            <w:r>
              <w:rPr>
                <w:rFonts w:ascii="Calibri" w:cs="Calibri" w:eastAsia="Calibri" w:hAnsi="Calibri"/>
                <w:sz w:val="16"/>
                <w:szCs w:val="16"/>
                <w:b w:val="1"/>
                <w:bCs w:val="1"/>
                <w:color w:val="auto"/>
              </w:rPr>
              <w:t>(b)</w:t>
            </w:r>
          </w:p>
        </w:tc>
        <w:tc>
          <w:tcPr>
            <w:tcW w:w="2460" w:type="dxa"/>
            <w:vAlign w:val="bottom"/>
          </w:tcPr>
          <w:p>
            <w:pPr>
              <w:jc w:val="center"/>
              <w:ind w:left="1603"/>
              <w:spacing w:after="0" w:line="193" w:lineRule="exact"/>
              <w:rPr>
                <w:sz w:val="20"/>
                <w:szCs w:val="20"/>
                <w:color w:val="auto"/>
              </w:rPr>
            </w:pPr>
            <w:r>
              <w:rPr>
                <w:rFonts w:ascii="Calibri" w:cs="Calibri" w:eastAsia="Calibri" w:hAnsi="Calibri"/>
                <w:sz w:val="16"/>
                <w:szCs w:val="16"/>
                <w:b w:val="1"/>
                <w:bCs w:val="1"/>
                <w:color w:val="auto"/>
              </w:rPr>
              <w:t>(c)</w:t>
            </w:r>
          </w:p>
        </w:tc>
        <w:tc>
          <w:tcPr>
            <w:tcW w:w="1300" w:type="dxa"/>
            <w:vAlign w:val="bottom"/>
          </w:tcPr>
          <w:p>
            <w:pPr>
              <w:spacing w:after="0"/>
              <w:rPr>
                <w:sz w:val="16"/>
                <w:szCs w:val="16"/>
                <w:color w:val="auto"/>
              </w:rPr>
            </w:pPr>
          </w:p>
        </w:tc>
        <w:tc>
          <w:tcPr>
            <w:tcW w:w="2000" w:type="dxa"/>
            <w:vAlign w:val="bottom"/>
          </w:tcPr>
          <w:p>
            <w:pPr>
              <w:jc w:val="right"/>
              <w:ind w:right="1039"/>
              <w:spacing w:after="0" w:line="193" w:lineRule="exact"/>
              <w:rPr>
                <w:sz w:val="20"/>
                <w:szCs w:val="20"/>
                <w:color w:val="auto"/>
              </w:rPr>
            </w:pPr>
            <w:r>
              <w:rPr>
                <w:rFonts w:ascii="Calibri" w:cs="Calibri" w:eastAsia="Calibri" w:hAnsi="Calibri"/>
                <w:sz w:val="16"/>
                <w:szCs w:val="16"/>
                <w:b w:val="1"/>
                <w:bCs w:val="1"/>
                <w:color w:val="auto"/>
              </w:rPr>
              <w:t>(h)</w:t>
            </w:r>
          </w:p>
        </w:tc>
      </w:tr>
      <w:tr>
        <w:trPr>
          <w:trHeight w:val="28"/>
        </w:trPr>
        <w:tc>
          <w:tcPr>
            <w:tcW w:w="3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68"/>
        </w:trPr>
        <w:tc>
          <w:tcPr>
            <w:tcW w:w="3180" w:type="dxa"/>
            <w:vAlign w:val="bottom"/>
            <w:shd w:val="clear" w:color="auto" w:fill="005CA9"/>
          </w:tcPr>
          <w:p>
            <w:pPr>
              <w:spacing w:after="0"/>
              <w:rPr>
                <w:sz w:val="5"/>
                <w:szCs w:val="5"/>
                <w:color w:val="auto"/>
              </w:rPr>
            </w:pPr>
          </w:p>
        </w:tc>
        <w:tc>
          <w:tcPr>
            <w:tcW w:w="2300" w:type="dxa"/>
            <w:vAlign w:val="bottom"/>
            <w:shd w:val="clear" w:color="auto" w:fill="005CA9"/>
          </w:tcPr>
          <w:p>
            <w:pPr>
              <w:spacing w:after="0"/>
              <w:rPr>
                <w:sz w:val="5"/>
                <w:szCs w:val="5"/>
                <w:color w:val="auto"/>
              </w:rPr>
            </w:pPr>
          </w:p>
        </w:tc>
        <w:tc>
          <w:tcPr>
            <w:tcW w:w="2460" w:type="dxa"/>
            <w:vAlign w:val="bottom"/>
            <w:shd w:val="clear" w:color="auto" w:fill="005CA9"/>
          </w:tcPr>
          <w:p>
            <w:pPr>
              <w:spacing w:after="0"/>
              <w:rPr>
                <w:sz w:val="5"/>
                <w:szCs w:val="5"/>
                <w:color w:val="auto"/>
              </w:rPr>
            </w:pPr>
          </w:p>
        </w:tc>
        <w:tc>
          <w:tcPr>
            <w:tcW w:w="1300" w:type="dxa"/>
            <w:vAlign w:val="bottom"/>
            <w:shd w:val="clear" w:color="auto" w:fill="005CA9"/>
          </w:tcPr>
          <w:p>
            <w:pPr>
              <w:spacing w:after="0"/>
              <w:rPr>
                <w:sz w:val="5"/>
                <w:szCs w:val="5"/>
                <w:color w:val="auto"/>
              </w:rPr>
            </w:pPr>
          </w:p>
        </w:tc>
        <w:tc>
          <w:tcPr>
            <w:tcW w:w="2000" w:type="dxa"/>
            <w:vAlign w:val="bottom"/>
            <w:shd w:val="clear" w:color="auto" w:fill="005CA9"/>
          </w:tcPr>
          <w:p>
            <w:pPr>
              <w:spacing w:after="0"/>
              <w:rPr>
                <w:sz w:val="5"/>
                <w:szCs w:val="5"/>
                <w:color w:val="auto"/>
              </w:rPr>
            </w:pPr>
          </w:p>
        </w:tc>
      </w:tr>
      <w:tr>
        <w:trPr>
          <w:trHeight w:val="203"/>
        </w:trPr>
        <w:tc>
          <w:tcPr>
            <w:tcW w:w="3180" w:type="dxa"/>
            <w:vAlign w:val="bottom"/>
            <w:shd w:val="clear" w:color="auto" w:fill="CFF0FC"/>
          </w:tcPr>
          <w:p>
            <w:pPr>
              <w:ind w:left="120"/>
              <w:spacing w:after="0" w:line="193" w:lineRule="exact"/>
              <w:rPr>
                <w:sz w:val="20"/>
                <w:szCs w:val="20"/>
                <w:color w:val="auto"/>
              </w:rPr>
            </w:pPr>
            <w:r>
              <w:rPr>
                <w:rFonts w:ascii="Calibri" w:cs="Calibri" w:eastAsia="Calibri" w:hAnsi="Calibri"/>
                <w:sz w:val="16"/>
                <w:szCs w:val="16"/>
                <w:color w:val="auto"/>
              </w:rPr>
              <w:t>Angie Chen Buton</w:t>
            </w:r>
          </w:p>
        </w:tc>
        <w:tc>
          <w:tcPr>
            <w:tcW w:w="2300" w:type="dxa"/>
            <w:vAlign w:val="bottom"/>
            <w:shd w:val="clear" w:color="auto" w:fill="CFF0FC"/>
          </w:tcPr>
          <w:p>
            <w:pPr>
              <w:spacing w:after="0"/>
              <w:rPr>
                <w:sz w:val="17"/>
                <w:szCs w:val="17"/>
                <w:color w:val="auto"/>
              </w:rPr>
            </w:pPr>
          </w:p>
        </w:tc>
        <w:tc>
          <w:tcPr>
            <w:tcW w:w="2460" w:type="dxa"/>
            <w:vAlign w:val="bottom"/>
            <w:shd w:val="clear" w:color="auto" w:fill="CFF0FC"/>
          </w:tcPr>
          <w:p>
            <w:pPr>
              <w:jc w:val="right"/>
              <w:ind w:right="1743"/>
              <w:spacing w:after="0" w:line="193" w:lineRule="exact"/>
              <w:rPr>
                <w:sz w:val="20"/>
                <w:szCs w:val="20"/>
                <w:color w:val="auto"/>
              </w:rPr>
            </w:pPr>
            <w:r>
              <w:rPr>
                <w:rFonts w:ascii="Calibri" w:cs="Calibri" w:eastAsia="Calibri" w:hAnsi="Calibri"/>
                <w:sz w:val="16"/>
                <w:szCs w:val="16"/>
                <w:color w:val="auto"/>
              </w:rPr>
              <w:t>130,000</w:t>
            </w:r>
          </w:p>
        </w:tc>
        <w:tc>
          <w:tcPr>
            <w:tcW w:w="1300" w:type="dxa"/>
            <w:vAlign w:val="bottom"/>
            <w:shd w:val="clear" w:color="auto" w:fill="CFF0FC"/>
          </w:tcPr>
          <w:p>
            <w:pPr>
              <w:jc w:val="right"/>
              <w:ind w:right="519"/>
              <w:spacing w:after="0" w:line="193" w:lineRule="exact"/>
              <w:rPr>
                <w:sz w:val="20"/>
                <w:szCs w:val="20"/>
                <w:color w:val="auto"/>
              </w:rPr>
            </w:pPr>
            <w:r>
              <w:rPr>
                <w:rFonts w:ascii="Calibri" w:cs="Calibri" w:eastAsia="Calibri" w:hAnsi="Calibri"/>
                <w:sz w:val="16"/>
                <w:szCs w:val="16"/>
                <w:color w:val="auto"/>
              </w:rPr>
              <w:t>218,550</w:t>
            </w:r>
          </w:p>
        </w:tc>
        <w:tc>
          <w:tcPr>
            <w:tcW w:w="2000" w:type="dxa"/>
            <w:vAlign w:val="bottom"/>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348,550</w:t>
            </w:r>
          </w:p>
        </w:tc>
      </w:tr>
      <w:tr>
        <w:trPr>
          <w:trHeight w:val="193"/>
        </w:trPr>
        <w:tc>
          <w:tcPr>
            <w:tcW w:w="3180" w:type="dxa"/>
            <w:vAlign w:val="bottom"/>
          </w:tcPr>
          <w:p>
            <w:pPr>
              <w:ind w:left="120"/>
              <w:spacing w:after="0" w:line="193" w:lineRule="exact"/>
              <w:rPr>
                <w:sz w:val="20"/>
                <w:szCs w:val="20"/>
                <w:color w:val="auto"/>
              </w:rPr>
            </w:pPr>
            <w:r>
              <w:rPr>
                <w:rFonts w:ascii="Calibri" w:cs="Calibri" w:eastAsia="Calibri" w:hAnsi="Calibri"/>
                <w:sz w:val="16"/>
                <w:szCs w:val="16"/>
                <w:color w:val="auto"/>
              </w:rPr>
              <w:t>Elizabeth Bull</w:t>
            </w:r>
          </w:p>
        </w:tc>
        <w:tc>
          <w:tcPr>
            <w:tcW w:w="2300" w:type="dxa"/>
            <w:vAlign w:val="bottom"/>
          </w:tcPr>
          <w:p>
            <w:pPr>
              <w:spacing w:after="0"/>
              <w:rPr>
                <w:sz w:val="16"/>
                <w:szCs w:val="16"/>
                <w:color w:val="auto"/>
              </w:rPr>
            </w:pPr>
          </w:p>
        </w:tc>
        <w:tc>
          <w:tcPr>
            <w:tcW w:w="2460" w:type="dxa"/>
            <w:vAlign w:val="bottom"/>
          </w:tcPr>
          <w:p>
            <w:pPr>
              <w:jc w:val="right"/>
              <w:ind w:right="1743"/>
              <w:spacing w:after="0" w:line="193" w:lineRule="exact"/>
              <w:rPr>
                <w:sz w:val="20"/>
                <w:szCs w:val="20"/>
                <w:color w:val="auto"/>
              </w:rPr>
            </w:pPr>
            <w:r>
              <w:rPr>
                <w:rFonts w:ascii="Calibri" w:cs="Calibri" w:eastAsia="Calibri" w:hAnsi="Calibri"/>
                <w:sz w:val="16"/>
                <w:szCs w:val="16"/>
                <w:color w:val="auto"/>
              </w:rPr>
              <w:t>130,000</w:t>
            </w:r>
          </w:p>
        </w:tc>
        <w:tc>
          <w:tcPr>
            <w:tcW w:w="1300" w:type="dxa"/>
            <w:vAlign w:val="bottom"/>
          </w:tcPr>
          <w:p>
            <w:pPr>
              <w:jc w:val="right"/>
              <w:ind w:right="519"/>
              <w:spacing w:after="0" w:line="193" w:lineRule="exact"/>
              <w:rPr>
                <w:sz w:val="20"/>
                <w:szCs w:val="20"/>
                <w:color w:val="auto"/>
              </w:rPr>
            </w:pPr>
            <w:r>
              <w:rPr>
                <w:rFonts w:ascii="Calibri" w:cs="Calibri" w:eastAsia="Calibri" w:hAnsi="Calibri"/>
                <w:sz w:val="16"/>
                <w:szCs w:val="16"/>
                <w:color w:val="auto"/>
              </w:rPr>
              <w:t>218,550</w:t>
            </w:r>
          </w:p>
        </w:tc>
        <w:tc>
          <w:tcPr>
            <w:tcW w:w="20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348,550</w:t>
            </w:r>
          </w:p>
        </w:tc>
      </w:tr>
      <w:tr>
        <w:trPr>
          <w:trHeight w:val="164"/>
        </w:trPr>
        <w:tc>
          <w:tcPr>
            <w:tcW w:w="3180" w:type="dxa"/>
            <w:vAlign w:val="bottom"/>
          </w:tcPr>
          <w:p>
            <w:pPr>
              <w:ind w:left="120"/>
              <w:spacing w:after="0" w:line="164" w:lineRule="exact"/>
              <w:rPr>
                <w:sz w:val="20"/>
                <w:szCs w:val="20"/>
                <w:color w:val="auto"/>
              </w:rPr>
            </w:pPr>
            <w:r>
              <w:rPr>
                <w:rFonts w:ascii="Calibri" w:cs="Calibri" w:eastAsia="Calibri" w:hAnsi="Calibri"/>
                <w:sz w:val="16"/>
                <w:szCs w:val="16"/>
                <w:color w:val="auto"/>
              </w:rPr>
              <w:t>Warren Chen</w:t>
            </w:r>
          </w:p>
        </w:tc>
        <w:tc>
          <w:tcPr>
            <w:tcW w:w="2300" w:type="dxa"/>
            <w:vAlign w:val="bottom"/>
          </w:tcPr>
          <w:p>
            <w:pPr>
              <w:spacing w:after="0"/>
              <w:rPr>
                <w:sz w:val="14"/>
                <w:szCs w:val="14"/>
                <w:color w:val="auto"/>
              </w:rPr>
            </w:pPr>
          </w:p>
        </w:tc>
        <w:tc>
          <w:tcPr>
            <w:tcW w:w="2460" w:type="dxa"/>
            <w:vAlign w:val="bottom"/>
          </w:tcPr>
          <w:p>
            <w:pPr>
              <w:jc w:val="right"/>
              <w:ind w:right="1743"/>
              <w:spacing w:after="0" w:line="164" w:lineRule="exact"/>
              <w:rPr>
                <w:sz w:val="20"/>
                <w:szCs w:val="20"/>
                <w:color w:val="auto"/>
              </w:rPr>
            </w:pPr>
            <w:r>
              <w:rPr>
                <w:rFonts w:ascii="Calibri" w:cs="Calibri" w:eastAsia="Calibri" w:hAnsi="Calibri"/>
                <w:sz w:val="16"/>
                <w:szCs w:val="16"/>
                <w:color w:val="auto"/>
              </w:rPr>
              <w:t>110,000</w:t>
            </w:r>
          </w:p>
        </w:tc>
        <w:tc>
          <w:tcPr>
            <w:tcW w:w="1300" w:type="dxa"/>
            <w:vAlign w:val="bottom"/>
          </w:tcPr>
          <w:p>
            <w:pPr>
              <w:jc w:val="right"/>
              <w:ind w:right="519"/>
              <w:spacing w:after="0" w:line="164" w:lineRule="exact"/>
              <w:rPr>
                <w:sz w:val="20"/>
                <w:szCs w:val="20"/>
                <w:color w:val="auto"/>
              </w:rPr>
            </w:pPr>
            <w:r>
              <w:rPr>
                <w:rFonts w:ascii="Calibri" w:cs="Calibri" w:eastAsia="Calibri" w:hAnsi="Calibri"/>
                <w:sz w:val="16"/>
                <w:szCs w:val="16"/>
                <w:color w:val="auto"/>
              </w:rPr>
              <w:t>218,550</w:t>
            </w:r>
          </w:p>
        </w:tc>
        <w:tc>
          <w:tcPr>
            <w:tcW w:w="2000" w:type="dxa"/>
            <w:vAlign w:val="bottom"/>
          </w:tcPr>
          <w:p>
            <w:pPr>
              <w:jc w:val="right"/>
              <w:ind w:right="39"/>
              <w:spacing w:after="0" w:line="164" w:lineRule="exact"/>
              <w:rPr>
                <w:sz w:val="20"/>
                <w:szCs w:val="20"/>
                <w:color w:val="auto"/>
              </w:rPr>
            </w:pPr>
            <w:r>
              <w:rPr>
                <w:rFonts w:ascii="Calibri" w:cs="Calibri" w:eastAsia="Calibri" w:hAnsi="Calibri"/>
                <w:sz w:val="16"/>
                <w:szCs w:val="16"/>
                <w:color w:val="auto"/>
              </w:rPr>
              <w:t>328,550</w:t>
            </w:r>
          </w:p>
        </w:tc>
      </w:tr>
      <w:tr>
        <w:trPr>
          <w:trHeight w:val="203"/>
        </w:trPr>
        <w:tc>
          <w:tcPr>
            <w:tcW w:w="3180" w:type="dxa"/>
            <w:vAlign w:val="bottom"/>
          </w:tcPr>
          <w:p>
            <w:pPr>
              <w:ind w:left="120"/>
              <w:spacing w:after="0" w:line="202" w:lineRule="exact"/>
              <w:rPr>
                <w:sz w:val="20"/>
                <w:szCs w:val="20"/>
                <w:color w:val="auto"/>
              </w:rPr>
            </w:pPr>
            <w:r>
              <w:rPr>
                <w:rFonts w:ascii="Calibri" w:cs="Calibri" w:eastAsia="Calibri" w:hAnsi="Calibri"/>
                <w:sz w:val="16"/>
                <w:szCs w:val="16"/>
                <w:color w:val="auto"/>
              </w:rPr>
              <w:t xml:space="preserve">Robert E. Feiger </w:t>
            </w:r>
            <w:r>
              <w:rPr>
                <w:rFonts w:ascii="Calibri" w:cs="Calibri" w:eastAsia="Calibri" w:hAnsi="Calibri"/>
                <w:sz w:val="21"/>
                <w:szCs w:val="21"/>
                <w:color w:val="auto"/>
                <w:vertAlign w:val="superscript"/>
              </w:rPr>
              <w:t>(4)</w:t>
            </w:r>
          </w:p>
        </w:tc>
        <w:tc>
          <w:tcPr>
            <w:tcW w:w="2300" w:type="dxa"/>
            <w:vAlign w:val="bottom"/>
          </w:tcPr>
          <w:p>
            <w:pPr>
              <w:spacing w:after="0"/>
              <w:rPr>
                <w:sz w:val="17"/>
                <w:szCs w:val="17"/>
                <w:color w:val="auto"/>
              </w:rPr>
            </w:pPr>
          </w:p>
        </w:tc>
        <w:tc>
          <w:tcPr>
            <w:tcW w:w="2460" w:type="dxa"/>
            <w:vAlign w:val="bottom"/>
          </w:tcPr>
          <w:p>
            <w:pPr>
              <w:jc w:val="right"/>
              <w:ind w:right="1743"/>
              <w:spacing w:after="0"/>
              <w:rPr>
                <w:sz w:val="20"/>
                <w:szCs w:val="20"/>
                <w:color w:val="auto"/>
              </w:rPr>
            </w:pPr>
            <w:r>
              <w:rPr>
                <w:rFonts w:ascii="Calibri" w:cs="Calibri" w:eastAsia="Calibri" w:hAnsi="Calibri"/>
                <w:sz w:val="16"/>
                <w:szCs w:val="16"/>
                <w:color w:val="auto"/>
              </w:rPr>
              <w:t>58,226</w:t>
            </w:r>
          </w:p>
        </w:tc>
        <w:tc>
          <w:tcPr>
            <w:tcW w:w="1300" w:type="dxa"/>
            <w:vAlign w:val="bottom"/>
          </w:tcPr>
          <w:p>
            <w:pPr>
              <w:jc w:val="right"/>
              <w:ind w:right="519"/>
              <w:spacing w:after="0"/>
              <w:rPr>
                <w:sz w:val="20"/>
                <w:szCs w:val="20"/>
                <w:color w:val="auto"/>
              </w:rPr>
            </w:pPr>
            <w:r>
              <w:rPr>
                <w:rFonts w:ascii="Calibri" w:cs="Calibri" w:eastAsia="Calibri" w:hAnsi="Calibri"/>
                <w:sz w:val="16"/>
                <w:szCs w:val="16"/>
                <w:color w:val="auto"/>
              </w:rPr>
              <w:t>218,550</w:t>
            </w:r>
          </w:p>
        </w:tc>
        <w:tc>
          <w:tcPr>
            <w:tcW w:w="2000" w:type="dxa"/>
            <w:vAlign w:val="bottom"/>
          </w:tcPr>
          <w:p>
            <w:pPr>
              <w:jc w:val="right"/>
              <w:ind w:right="39"/>
              <w:spacing w:after="0"/>
              <w:rPr>
                <w:sz w:val="20"/>
                <w:szCs w:val="20"/>
                <w:color w:val="auto"/>
              </w:rPr>
            </w:pPr>
            <w:r>
              <w:rPr>
                <w:rFonts w:ascii="Calibri" w:cs="Calibri" w:eastAsia="Calibri" w:hAnsi="Calibri"/>
                <w:sz w:val="16"/>
                <w:szCs w:val="16"/>
                <w:color w:val="auto"/>
              </w:rPr>
              <w:t>276,776</w:t>
            </w:r>
          </w:p>
        </w:tc>
      </w:tr>
      <w:tr>
        <w:trPr>
          <w:trHeight w:val="250"/>
        </w:trPr>
        <w:tc>
          <w:tcPr>
            <w:tcW w:w="3180" w:type="dxa"/>
            <w:vAlign w:val="bottom"/>
          </w:tcPr>
          <w:p>
            <w:pPr>
              <w:ind w:left="120"/>
              <w:spacing w:after="0" w:line="249" w:lineRule="exact"/>
              <w:rPr>
                <w:sz w:val="20"/>
                <w:szCs w:val="20"/>
                <w:color w:val="auto"/>
              </w:rPr>
            </w:pPr>
            <w:r>
              <w:rPr>
                <w:rFonts w:ascii="Calibri" w:cs="Calibri" w:eastAsia="Calibri" w:hAnsi="Calibri"/>
                <w:sz w:val="16"/>
                <w:szCs w:val="16"/>
                <w:color w:val="auto"/>
              </w:rPr>
              <w:t xml:space="preserve">Huey-Jen (Jenny) Su </w:t>
            </w:r>
            <w:r>
              <w:rPr>
                <w:rFonts w:ascii="Calibri" w:cs="Calibri" w:eastAsia="Calibri" w:hAnsi="Calibri"/>
                <w:sz w:val="21"/>
                <w:szCs w:val="21"/>
                <w:color w:val="auto"/>
                <w:vertAlign w:val="superscript"/>
              </w:rPr>
              <w:t>(5)</w:t>
            </w:r>
          </w:p>
        </w:tc>
        <w:tc>
          <w:tcPr>
            <w:tcW w:w="2300" w:type="dxa"/>
            <w:vAlign w:val="bottom"/>
          </w:tcPr>
          <w:p>
            <w:pPr>
              <w:spacing w:after="0"/>
              <w:rPr>
                <w:sz w:val="21"/>
                <w:szCs w:val="21"/>
                <w:color w:val="auto"/>
              </w:rPr>
            </w:pPr>
          </w:p>
        </w:tc>
        <w:tc>
          <w:tcPr>
            <w:tcW w:w="2460" w:type="dxa"/>
            <w:vAlign w:val="bottom"/>
          </w:tcPr>
          <w:p>
            <w:pPr>
              <w:jc w:val="right"/>
              <w:ind w:right="1743"/>
              <w:spacing w:after="0"/>
              <w:rPr>
                <w:sz w:val="20"/>
                <w:szCs w:val="20"/>
                <w:color w:val="auto"/>
              </w:rPr>
            </w:pPr>
            <w:r>
              <w:rPr>
                <w:rFonts w:ascii="Calibri" w:cs="Calibri" w:eastAsia="Calibri" w:hAnsi="Calibri"/>
                <w:sz w:val="16"/>
                <w:szCs w:val="16"/>
                <w:color w:val="auto"/>
              </w:rPr>
              <w:t>—</w:t>
            </w:r>
          </w:p>
        </w:tc>
        <w:tc>
          <w:tcPr>
            <w:tcW w:w="1300" w:type="dxa"/>
            <w:vAlign w:val="bottom"/>
          </w:tcPr>
          <w:p>
            <w:pPr>
              <w:jc w:val="right"/>
              <w:ind w:right="519"/>
              <w:spacing w:after="0"/>
              <w:rPr>
                <w:sz w:val="20"/>
                <w:szCs w:val="20"/>
                <w:color w:val="auto"/>
              </w:rPr>
            </w:pPr>
            <w:r>
              <w:rPr>
                <w:rFonts w:ascii="Calibri" w:cs="Calibri" w:eastAsia="Calibri" w:hAnsi="Calibri"/>
                <w:sz w:val="16"/>
                <w:szCs w:val="16"/>
                <w:color w:val="auto"/>
              </w:rPr>
              <w:t>—</w:t>
            </w:r>
          </w:p>
        </w:tc>
        <w:tc>
          <w:tcPr>
            <w:tcW w:w="2000" w:type="dxa"/>
            <w:vAlign w:val="bottom"/>
          </w:tcPr>
          <w:p>
            <w:pPr>
              <w:jc w:val="right"/>
              <w:ind w:right="39"/>
              <w:spacing w:after="0"/>
              <w:rPr>
                <w:sz w:val="20"/>
                <w:szCs w:val="20"/>
                <w:color w:val="auto"/>
              </w:rPr>
            </w:pPr>
            <w:r>
              <w:rPr>
                <w:rFonts w:ascii="Calibri" w:cs="Calibri" w:eastAsia="Calibri" w:hAnsi="Calibri"/>
                <w:sz w:val="16"/>
                <w:szCs w:val="16"/>
                <w:color w:val="auto"/>
              </w:rPr>
              <w:t>—</w:t>
            </w:r>
          </w:p>
        </w:tc>
      </w:tr>
      <w:tr>
        <w:trPr>
          <w:trHeight w:val="193"/>
        </w:trPr>
        <w:tc>
          <w:tcPr>
            <w:tcW w:w="3180" w:type="dxa"/>
            <w:vAlign w:val="bottom"/>
          </w:tcPr>
          <w:p>
            <w:pPr>
              <w:ind w:left="120"/>
              <w:spacing w:after="0" w:line="193" w:lineRule="exact"/>
              <w:rPr>
                <w:sz w:val="20"/>
                <w:szCs w:val="20"/>
                <w:color w:val="auto"/>
              </w:rPr>
            </w:pPr>
            <w:r>
              <w:rPr>
                <w:rFonts w:ascii="Calibri" w:cs="Calibri" w:eastAsia="Calibri" w:hAnsi="Calibri"/>
                <w:sz w:val="16"/>
                <w:szCs w:val="16"/>
                <w:color w:val="auto"/>
              </w:rPr>
              <w:t>Christna Wen-Chi Sung</w:t>
            </w:r>
          </w:p>
        </w:tc>
        <w:tc>
          <w:tcPr>
            <w:tcW w:w="2300" w:type="dxa"/>
            <w:vAlign w:val="bottom"/>
          </w:tcPr>
          <w:p>
            <w:pPr>
              <w:spacing w:after="0"/>
              <w:rPr>
                <w:sz w:val="16"/>
                <w:szCs w:val="16"/>
                <w:color w:val="auto"/>
              </w:rPr>
            </w:pPr>
          </w:p>
        </w:tc>
        <w:tc>
          <w:tcPr>
            <w:tcW w:w="2460" w:type="dxa"/>
            <w:vAlign w:val="bottom"/>
          </w:tcPr>
          <w:p>
            <w:pPr>
              <w:jc w:val="right"/>
              <w:ind w:right="1743"/>
              <w:spacing w:after="0" w:line="193" w:lineRule="exact"/>
              <w:rPr>
                <w:sz w:val="20"/>
                <w:szCs w:val="20"/>
                <w:color w:val="auto"/>
              </w:rPr>
            </w:pPr>
            <w:r>
              <w:rPr>
                <w:rFonts w:ascii="Calibri" w:cs="Calibri" w:eastAsia="Calibri" w:hAnsi="Calibri"/>
                <w:sz w:val="16"/>
                <w:szCs w:val="16"/>
                <w:color w:val="auto"/>
              </w:rPr>
              <w:t>100,000</w:t>
            </w:r>
          </w:p>
        </w:tc>
        <w:tc>
          <w:tcPr>
            <w:tcW w:w="1300" w:type="dxa"/>
            <w:vAlign w:val="bottom"/>
          </w:tcPr>
          <w:p>
            <w:pPr>
              <w:jc w:val="right"/>
              <w:ind w:right="519"/>
              <w:spacing w:after="0" w:line="193" w:lineRule="exact"/>
              <w:rPr>
                <w:sz w:val="20"/>
                <w:szCs w:val="20"/>
                <w:color w:val="auto"/>
              </w:rPr>
            </w:pPr>
            <w:r>
              <w:rPr>
                <w:rFonts w:ascii="Calibri" w:cs="Calibri" w:eastAsia="Calibri" w:hAnsi="Calibri"/>
                <w:sz w:val="16"/>
                <w:szCs w:val="16"/>
                <w:color w:val="auto"/>
              </w:rPr>
              <w:t>218,550</w:t>
            </w:r>
          </w:p>
        </w:tc>
        <w:tc>
          <w:tcPr>
            <w:tcW w:w="20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318,550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1323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340" w:hanging="190"/>
        <w:spacing w:after="0"/>
        <w:tabs>
          <w:tab w:leader="none" w:pos="34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See below for the details of cash retainers paid to non-employee directors.</w:t>
      </w:r>
    </w:p>
    <w:p>
      <w:pPr>
        <w:spacing w:after="0" w:line="5" w:lineRule="exact"/>
        <w:rPr>
          <w:rFonts w:ascii="Calibri" w:cs="Calibri" w:eastAsia="Calibri" w:hAnsi="Calibri"/>
          <w:sz w:val="14"/>
          <w:szCs w:val="14"/>
          <w:color w:val="auto"/>
        </w:rPr>
      </w:pPr>
    </w:p>
    <w:p>
      <w:pPr>
        <w:jc w:val="both"/>
        <w:ind w:left="160" w:hanging="10"/>
        <w:spacing w:after="0" w:line="246" w:lineRule="auto"/>
        <w:tabs>
          <w:tab w:leader="none" w:pos="355"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These amounts refect the value determined by the Company for fnancial accountng purposes for these awards and do not refect whether each director has actually realized a fnancial beneft from the awards. The value of the equity awards in column (c) is based on the grant date fair value calculated in accordance with the amount recognized for fnancial statement reportng purposes. Pursuant to SEC rules, the amounts shown exclude the impact of estmated forfeitures related to service-based vestng conditons. Amounts reported for RSUs are calculated by multplying the number of shares subject to the award by the closing price of the Company’s Common Stock on the grant date. See Note 14, Share-Based Compensaton, to the Company’s audited fnancial statements for the fscal year ended December 31, 2024, included in the Company’s Annual Report on Form 10-K fled with the SEC on February 9, 2024, for a further discussion of the relevant valuaton assumptons used in calculatng grant date fair value. All equity awards vest in four equal annual installments.</w:t>
      </w:r>
    </w:p>
    <w:p>
      <w:pPr>
        <w:spacing w:after="0" w:line="1" w:lineRule="exact"/>
        <w:rPr>
          <w:rFonts w:ascii="Calibri" w:cs="Calibri" w:eastAsia="Calibri" w:hAnsi="Calibri"/>
          <w:sz w:val="14"/>
          <w:szCs w:val="14"/>
          <w:color w:val="auto"/>
        </w:rPr>
      </w:pPr>
    </w:p>
    <w:p>
      <w:pPr>
        <w:ind w:left="160" w:hanging="10"/>
        <w:spacing w:after="0" w:line="245" w:lineRule="auto"/>
        <w:tabs>
          <w:tab w:leader="none" w:pos="363"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Under the Company’s 2024 director compensaton arrangements, each non-employee director listed in the table above was granted an award under the 2022 Equity Incentve Plan of 3,000 RSUs on May 26, 2024. The per-share closing price of our Common Stock on May 26, 2024 was $72.85</w:t>
      </w:r>
    </w:p>
    <w:p>
      <w:pPr>
        <w:spacing w:after="0" w:line="1" w:lineRule="exact"/>
        <w:rPr>
          <w:rFonts w:ascii="Calibri" w:cs="Calibri" w:eastAsia="Calibri" w:hAnsi="Calibri"/>
          <w:sz w:val="14"/>
          <w:szCs w:val="14"/>
          <w:color w:val="auto"/>
        </w:rPr>
      </w:pPr>
    </w:p>
    <w:p>
      <w:pPr>
        <w:ind w:left="340" w:hanging="190"/>
        <w:spacing w:after="0"/>
        <w:tabs>
          <w:tab w:leader="none" w:pos="34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Mr. Feiger’s service as a director did not commence untl May 29, 2024.</w:t>
      </w:r>
    </w:p>
    <w:p>
      <w:pPr>
        <w:spacing w:after="0" w:line="4" w:lineRule="exact"/>
        <w:rPr>
          <w:rFonts w:ascii="Calibri" w:cs="Calibri" w:eastAsia="Calibri" w:hAnsi="Calibri"/>
          <w:sz w:val="14"/>
          <w:szCs w:val="14"/>
          <w:color w:val="auto"/>
        </w:rPr>
      </w:pPr>
    </w:p>
    <w:p>
      <w:pPr>
        <w:ind w:left="340" w:hanging="190"/>
        <w:spacing w:after="0"/>
        <w:tabs>
          <w:tab w:leader="none" w:pos="34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Ms. Su’s service as a director did not commence untl 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-1221105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shows the aggregate number of shares underlying outstanding RSUs held by non-employee directors as of</w:t>
      </w:r>
    </w:p>
    <w:p>
      <w:pPr>
        <w:spacing w:after="0" w:line="238" w:lineRule="auto"/>
        <w:rPr>
          <w:sz w:val="20"/>
          <w:szCs w:val="20"/>
          <w:color w:val="auto"/>
        </w:rPr>
      </w:pPr>
      <w:r>
        <w:rPr>
          <w:rFonts w:ascii="Calibri" w:cs="Calibri" w:eastAsia="Calibri" w:hAnsi="Calibri"/>
          <w:sz w:val="20"/>
          <w:szCs w:val="20"/>
          <w:color w:val="auto"/>
        </w:rPr>
        <w:t>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20" w:type="dxa"/>
            <w:vAlign w:val="bottom"/>
            <w:tcBorders>
              <w:top w:val="single" w:sz="8" w:color="005CA9"/>
            </w:tcBorders>
          </w:tcPr>
          <w:p>
            <w:pPr>
              <w:ind w:left="20"/>
              <w:spacing w:after="0"/>
              <w:rPr>
                <w:sz w:val="20"/>
                <w:szCs w:val="20"/>
                <w:color w:val="auto"/>
              </w:rPr>
            </w:pPr>
            <w:r>
              <w:rPr>
                <w:rFonts w:ascii="Calibri" w:cs="Calibri" w:eastAsia="Calibri" w:hAnsi="Calibri"/>
                <w:sz w:val="20"/>
                <w:szCs w:val="20"/>
                <w:b w:val="1"/>
                <w:bCs w:val="1"/>
                <w:color w:val="auto"/>
              </w:rPr>
              <w:t>Name</w:t>
            </w:r>
          </w:p>
        </w:tc>
        <w:tc>
          <w:tcPr>
            <w:tcW w:w="5220" w:type="dxa"/>
            <w:vAlign w:val="bottom"/>
            <w:tcBorders>
              <w:top w:val="single" w:sz="8" w:color="005CA9"/>
            </w:tcBorders>
          </w:tcPr>
          <w:p>
            <w:pPr>
              <w:jc w:val="right"/>
              <w:ind w:right="36"/>
              <w:spacing w:after="0"/>
              <w:rPr>
                <w:sz w:val="20"/>
                <w:szCs w:val="20"/>
                <w:color w:val="auto"/>
              </w:rPr>
            </w:pPr>
            <w:r>
              <w:rPr>
                <w:rFonts w:ascii="Calibri" w:cs="Calibri" w:eastAsia="Calibri" w:hAnsi="Calibri"/>
                <w:sz w:val="20"/>
                <w:szCs w:val="20"/>
                <w:b w:val="1"/>
                <w:bCs w:val="1"/>
                <w:color w:val="auto"/>
              </w:rPr>
              <w:t>RSUs (#)</w:t>
            </w:r>
          </w:p>
        </w:tc>
      </w:tr>
      <w:tr>
        <w:trPr>
          <w:trHeight w:val="72"/>
        </w:trPr>
        <w:tc>
          <w:tcPr>
            <w:tcW w:w="6020" w:type="dxa"/>
            <w:vAlign w:val="bottom"/>
            <w:shd w:val="clear" w:color="auto" w:fill="005CA9"/>
          </w:tcPr>
          <w:p>
            <w:pPr>
              <w:spacing w:after="0"/>
              <w:rPr>
                <w:sz w:val="6"/>
                <w:szCs w:val="6"/>
                <w:color w:val="auto"/>
              </w:rPr>
            </w:pPr>
          </w:p>
        </w:tc>
        <w:tc>
          <w:tcPr>
            <w:tcW w:w="5220" w:type="dxa"/>
            <w:vAlign w:val="bottom"/>
            <w:shd w:val="clear" w:color="auto" w:fill="005CA9"/>
          </w:tcPr>
          <w:p>
            <w:pPr>
              <w:spacing w:after="0"/>
              <w:rPr>
                <w:sz w:val="6"/>
                <w:szCs w:val="6"/>
                <w:color w:val="auto"/>
              </w:rPr>
            </w:pPr>
          </w:p>
        </w:tc>
      </w:tr>
      <w:tr>
        <w:trPr>
          <w:trHeight w:val="203"/>
        </w:trPr>
        <w:tc>
          <w:tcPr>
            <w:tcW w:w="6020" w:type="dxa"/>
            <w:vAlign w:val="bottom"/>
            <w:shd w:val="clear" w:color="auto" w:fill="CFF0FC"/>
          </w:tcPr>
          <w:p>
            <w:pPr>
              <w:ind w:left="60"/>
              <w:spacing w:after="0" w:line="193" w:lineRule="exact"/>
              <w:rPr>
                <w:sz w:val="20"/>
                <w:szCs w:val="20"/>
                <w:color w:val="auto"/>
              </w:rPr>
            </w:pPr>
            <w:r>
              <w:rPr>
                <w:rFonts w:ascii="Calibri" w:cs="Calibri" w:eastAsia="Calibri" w:hAnsi="Calibri"/>
                <w:sz w:val="16"/>
                <w:szCs w:val="16"/>
                <w:color w:val="auto"/>
              </w:rPr>
              <w:t>Angie Chen Buton</w:t>
            </w:r>
          </w:p>
        </w:tc>
        <w:tc>
          <w:tcPr>
            <w:tcW w:w="5220" w:type="dxa"/>
            <w:vAlign w:val="bottom"/>
            <w:shd w:val="clear" w:color="auto" w:fill="CFF0FC"/>
          </w:tcPr>
          <w:p>
            <w:pPr>
              <w:jc w:val="right"/>
              <w:ind w:right="36"/>
              <w:spacing w:after="0" w:line="193" w:lineRule="exact"/>
              <w:rPr>
                <w:sz w:val="20"/>
                <w:szCs w:val="20"/>
                <w:color w:val="auto"/>
              </w:rPr>
            </w:pPr>
            <w:r>
              <w:rPr>
                <w:rFonts w:ascii="Calibri" w:cs="Calibri" w:eastAsia="Calibri" w:hAnsi="Calibri"/>
                <w:sz w:val="16"/>
                <w:szCs w:val="16"/>
                <w:color w:val="auto"/>
              </w:rPr>
              <w:t>7,140</w:t>
            </w:r>
          </w:p>
        </w:tc>
      </w:tr>
      <w:tr>
        <w:trPr>
          <w:trHeight w:val="198"/>
        </w:trPr>
        <w:tc>
          <w:tcPr>
            <w:tcW w:w="6020" w:type="dxa"/>
            <w:vAlign w:val="bottom"/>
          </w:tcPr>
          <w:p>
            <w:pPr>
              <w:ind w:left="60"/>
              <w:spacing w:after="0" w:line="193" w:lineRule="exact"/>
              <w:rPr>
                <w:sz w:val="20"/>
                <w:szCs w:val="20"/>
                <w:color w:val="auto"/>
              </w:rPr>
            </w:pPr>
            <w:r>
              <w:rPr>
                <w:rFonts w:ascii="Calibri" w:cs="Calibri" w:eastAsia="Calibri" w:hAnsi="Calibri"/>
                <w:sz w:val="16"/>
                <w:szCs w:val="16"/>
                <w:color w:val="auto"/>
              </w:rPr>
              <w:t>Elizabeth Bull</w:t>
            </w:r>
          </w:p>
        </w:tc>
        <w:tc>
          <w:tcPr>
            <w:tcW w:w="5220" w:type="dxa"/>
            <w:vAlign w:val="bottom"/>
          </w:tcPr>
          <w:p>
            <w:pPr>
              <w:jc w:val="right"/>
              <w:ind w:right="36"/>
              <w:spacing w:after="0" w:line="193" w:lineRule="exact"/>
              <w:rPr>
                <w:sz w:val="20"/>
                <w:szCs w:val="20"/>
                <w:color w:val="auto"/>
              </w:rPr>
            </w:pPr>
            <w:r>
              <w:rPr>
                <w:rFonts w:ascii="Calibri" w:cs="Calibri" w:eastAsia="Calibri" w:hAnsi="Calibri"/>
                <w:sz w:val="16"/>
                <w:szCs w:val="16"/>
                <w:color w:val="auto"/>
              </w:rPr>
              <w:t>5,250</w:t>
            </w:r>
          </w:p>
        </w:tc>
      </w:tr>
      <w:tr>
        <w:trPr>
          <w:trHeight w:val="207"/>
        </w:trPr>
        <w:tc>
          <w:tcPr>
            <w:tcW w:w="6020" w:type="dxa"/>
            <w:vAlign w:val="bottom"/>
            <w:shd w:val="clear" w:color="auto" w:fill="CFF0FC"/>
          </w:tcPr>
          <w:p>
            <w:pPr>
              <w:ind w:left="60"/>
              <w:spacing w:after="0"/>
              <w:rPr>
                <w:sz w:val="20"/>
                <w:szCs w:val="20"/>
                <w:color w:val="auto"/>
              </w:rPr>
            </w:pPr>
            <w:r>
              <w:rPr>
                <w:rFonts w:ascii="Calibri" w:cs="Calibri" w:eastAsia="Calibri" w:hAnsi="Calibri"/>
                <w:sz w:val="16"/>
                <w:szCs w:val="16"/>
                <w:color w:val="auto"/>
              </w:rPr>
              <w:t>Warren Chen</w:t>
            </w:r>
          </w:p>
        </w:tc>
        <w:tc>
          <w:tcPr>
            <w:tcW w:w="5220" w:type="dxa"/>
            <w:vAlign w:val="bottom"/>
            <w:shd w:val="clear" w:color="auto" w:fill="CFF0FC"/>
          </w:tcPr>
          <w:p>
            <w:pPr>
              <w:jc w:val="right"/>
              <w:ind w:right="36"/>
              <w:spacing w:after="0"/>
              <w:rPr>
                <w:sz w:val="20"/>
                <w:szCs w:val="20"/>
                <w:color w:val="auto"/>
              </w:rPr>
            </w:pPr>
            <w:r>
              <w:rPr>
                <w:rFonts w:ascii="Calibri" w:cs="Calibri" w:eastAsia="Calibri" w:hAnsi="Calibri"/>
                <w:sz w:val="16"/>
                <w:szCs w:val="16"/>
                <w:color w:val="auto"/>
              </w:rPr>
              <w:t>7,140</w:t>
            </w:r>
          </w:p>
        </w:tc>
      </w:tr>
      <w:tr>
        <w:trPr>
          <w:trHeight w:val="198"/>
        </w:trPr>
        <w:tc>
          <w:tcPr>
            <w:tcW w:w="6020" w:type="dxa"/>
            <w:vAlign w:val="bottom"/>
          </w:tcPr>
          <w:p>
            <w:pPr>
              <w:ind w:left="60"/>
              <w:spacing w:after="0" w:line="193" w:lineRule="exact"/>
              <w:rPr>
                <w:sz w:val="20"/>
                <w:szCs w:val="20"/>
                <w:color w:val="auto"/>
              </w:rPr>
            </w:pPr>
            <w:r>
              <w:rPr>
                <w:rFonts w:ascii="Calibri" w:cs="Calibri" w:eastAsia="Calibri" w:hAnsi="Calibri"/>
                <w:sz w:val="16"/>
                <w:szCs w:val="16"/>
                <w:color w:val="auto"/>
              </w:rPr>
              <w:t>Robert E. Feiger</w:t>
            </w:r>
          </w:p>
        </w:tc>
        <w:tc>
          <w:tcPr>
            <w:tcW w:w="5220" w:type="dxa"/>
            <w:vAlign w:val="bottom"/>
          </w:tcPr>
          <w:p>
            <w:pPr>
              <w:jc w:val="right"/>
              <w:ind w:right="36"/>
              <w:spacing w:after="0" w:line="193" w:lineRule="exact"/>
              <w:rPr>
                <w:sz w:val="20"/>
                <w:szCs w:val="20"/>
                <w:color w:val="auto"/>
              </w:rPr>
            </w:pPr>
            <w:r>
              <w:rPr>
                <w:rFonts w:ascii="Calibri" w:cs="Calibri" w:eastAsia="Calibri" w:hAnsi="Calibri"/>
                <w:sz w:val="16"/>
                <w:szCs w:val="16"/>
                <w:color w:val="auto"/>
              </w:rPr>
              <w:t>3,000</w:t>
            </w:r>
          </w:p>
        </w:tc>
      </w:tr>
      <w:tr>
        <w:trPr>
          <w:trHeight w:val="207"/>
        </w:trPr>
        <w:tc>
          <w:tcPr>
            <w:tcW w:w="6020" w:type="dxa"/>
            <w:vAlign w:val="bottom"/>
            <w:shd w:val="clear" w:color="auto" w:fill="CFF0FC"/>
          </w:tcPr>
          <w:p>
            <w:pPr>
              <w:ind w:left="60"/>
              <w:spacing w:after="0"/>
              <w:rPr>
                <w:sz w:val="20"/>
                <w:szCs w:val="20"/>
                <w:color w:val="auto"/>
              </w:rPr>
            </w:pPr>
            <w:r>
              <w:rPr>
                <w:rFonts w:ascii="Calibri" w:cs="Calibri" w:eastAsia="Calibri" w:hAnsi="Calibri"/>
                <w:sz w:val="16"/>
                <w:szCs w:val="16"/>
                <w:color w:val="auto"/>
              </w:rPr>
              <w:t>Huey-Jen (Jenny) Su</w:t>
            </w:r>
          </w:p>
        </w:tc>
        <w:tc>
          <w:tcPr>
            <w:tcW w:w="5220" w:type="dxa"/>
            <w:vAlign w:val="bottom"/>
            <w:shd w:val="clear" w:color="auto" w:fill="CFF0FC"/>
          </w:tcPr>
          <w:p>
            <w:pPr>
              <w:jc w:val="right"/>
              <w:ind w:right="36"/>
              <w:spacing w:after="0"/>
              <w:rPr>
                <w:sz w:val="20"/>
                <w:szCs w:val="20"/>
                <w:color w:val="auto"/>
              </w:rPr>
            </w:pPr>
            <w:r>
              <w:rPr>
                <w:rFonts w:ascii="Calibri" w:cs="Calibri" w:eastAsia="Calibri" w:hAnsi="Calibri"/>
                <w:sz w:val="16"/>
                <w:szCs w:val="16"/>
                <w:color w:val="auto"/>
              </w:rPr>
              <w:t>—</w:t>
            </w:r>
          </w:p>
        </w:tc>
      </w:tr>
      <w:tr>
        <w:trPr>
          <w:trHeight w:val="198"/>
        </w:trPr>
        <w:tc>
          <w:tcPr>
            <w:tcW w:w="6020" w:type="dxa"/>
            <w:vAlign w:val="bottom"/>
            <w:tcBorders>
              <w:bottom w:val="single" w:sz="8" w:color="005CA9"/>
            </w:tcBorders>
          </w:tcPr>
          <w:p>
            <w:pPr>
              <w:ind w:left="60"/>
              <w:spacing w:after="0" w:line="193" w:lineRule="exact"/>
              <w:rPr>
                <w:sz w:val="20"/>
                <w:szCs w:val="20"/>
                <w:color w:val="auto"/>
              </w:rPr>
            </w:pPr>
            <w:r>
              <w:rPr>
                <w:rFonts w:ascii="Calibri" w:cs="Calibri" w:eastAsia="Calibri" w:hAnsi="Calibri"/>
                <w:sz w:val="16"/>
                <w:szCs w:val="16"/>
                <w:color w:val="auto"/>
              </w:rPr>
              <w:t>Christna Wen-Chi Sung</w:t>
            </w:r>
          </w:p>
        </w:tc>
        <w:tc>
          <w:tcPr>
            <w:tcW w:w="5220" w:type="dxa"/>
            <w:vAlign w:val="bottom"/>
            <w:tcBorders>
              <w:bottom w:val="single" w:sz="8" w:color="005CA9"/>
            </w:tcBorders>
          </w:tcPr>
          <w:p>
            <w:pPr>
              <w:jc w:val="right"/>
              <w:ind w:right="36"/>
              <w:spacing w:after="0" w:line="193" w:lineRule="exact"/>
              <w:rPr>
                <w:sz w:val="20"/>
                <w:szCs w:val="20"/>
                <w:color w:val="auto"/>
              </w:rPr>
            </w:pPr>
            <w:r>
              <w:rPr>
                <w:rFonts w:ascii="Calibri" w:cs="Calibri" w:eastAsia="Calibri" w:hAnsi="Calibri"/>
                <w:sz w:val="16"/>
                <w:szCs w:val="16"/>
                <w:color w:val="auto"/>
              </w:rPr>
              <w:t>7,140</w:t>
            </w:r>
          </w:p>
        </w:tc>
      </w:tr>
    </w:tbl>
    <w:p>
      <w:pPr>
        <w:spacing w:after="0" w:line="84" w:lineRule="exact"/>
        <w:rPr>
          <w:sz w:val="20"/>
          <w:szCs w:val="20"/>
          <w:color w:val="auto"/>
        </w:rPr>
      </w:pPr>
    </w:p>
    <w:p>
      <w:pPr>
        <w:jc w:val="both"/>
        <w:spacing w:after="0" w:line="245" w:lineRule="auto"/>
        <w:rPr>
          <w:sz w:val="20"/>
          <w:szCs w:val="20"/>
          <w:color w:val="auto"/>
        </w:rPr>
      </w:pPr>
      <w:r>
        <w:rPr>
          <w:rFonts w:ascii="Calibri" w:cs="Calibri" w:eastAsia="Calibri" w:hAnsi="Calibri"/>
          <w:sz w:val="20"/>
          <w:szCs w:val="20"/>
          <w:color w:val="auto"/>
        </w:rPr>
        <w:t>During 2024, each non-employee director of the Company received a grant of 3,000 RSUs, which vest in four equal annual installments commencing on the frst anniversary of the date of grant. The Board may in its discreton modify such director compensaton arrangements in the future. For additonal informaton see, “Certain Relatonships and Related Person Transactons – Relatonships and Transactons.”</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color w:val="auto"/>
        </w:rPr>
        <w:t>The table below sets for the cash retainer amounts for non-employee directors for service in 2024 and 2025: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460" w:type="dxa"/>
            <w:vAlign w:val="bottom"/>
            <w:tcBorders>
              <w:top w:val="single" w:sz="8" w:color="005CA9"/>
              <w:bottom w:val="single" w:sz="8" w:color="005CA9"/>
            </w:tcBorders>
          </w:tcPr>
          <w:p>
            <w:pPr>
              <w:spacing w:after="0"/>
              <w:rPr>
                <w:sz w:val="24"/>
                <w:szCs w:val="24"/>
                <w:color w:val="auto"/>
              </w:rPr>
            </w:pPr>
          </w:p>
        </w:tc>
        <w:tc>
          <w:tcPr>
            <w:tcW w:w="1280" w:type="dxa"/>
            <w:vAlign w:val="bottom"/>
            <w:tcBorders>
              <w:top w:val="single" w:sz="8" w:color="005CA9"/>
              <w:bottom w:val="single" w:sz="8" w:color="005CA9"/>
            </w:tcBorders>
          </w:tcPr>
          <w:p>
            <w:pPr>
              <w:spacing w:after="0"/>
              <w:rPr>
                <w:sz w:val="24"/>
                <w:szCs w:val="24"/>
                <w:color w:val="auto"/>
              </w:rPr>
            </w:pPr>
          </w:p>
        </w:tc>
        <w:tc>
          <w:tcPr>
            <w:tcW w:w="1080" w:type="dxa"/>
            <w:vAlign w:val="bottom"/>
            <w:tcBorders>
              <w:top w:val="single" w:sz="8" w:color="005CA9"/>
              <w:bottom w:val="single" w:sz="8" w:color="005CA9"/>
            </w:tcBorders>
          </w:tcPr>
          <w:p>
            <w:pPr>
              <w:jc w:val="right"/>
              <w:ind w:right="421"/>
              <w:spacing w:after="0"/>
              <w:rPr>
                <w:sz w:val="20"/>
                <w:szCs w:val="20"/>
                <w:color w:val="auto"/>
              </w:rPr>
            </w:pPr>
            <w:r>
              <w:rPr>
                <w:rFonts w:ascii="Calibri" w:cs="Calibri" w:eastAsia="Calibri" w:hAnsi="Calibri"/>
                <w:sz w:val="20"/>
                <w:szCs w:val="20"/>
                <w:b w:val="1"/>
                <w:bCs w:val="1"/>
                <w:color w:val="auto"/>
              </w:rPr>
              <w:t>2024</w:t>
            </w:r>
          </w:p>
        </w:tc>
        <w:tc>
          <w:tcPr>
            <w:tcW w:w="380" w:type="dxa"/>
            <w:vAlign w:val="bottom"/>
            <w:tcBorders>
              <w:top w:val="single" w:sz="8" w:color="005CA9"/>
              <w:bottom w:val="single" w:sz="8" w:color="005CA9"/>
            </w:tcBorders>
          </w:tcPr>
          <w:p>
            <w:pPr>
              <w:spacing w:after="0"/>
              <w:rPr>
                <w:sz w:val="24"/>
                <w:szCs w:val="24"/>
                <w:color w:val="auto"/>
              </w:rPr>
            </w:pPr>
          </w:p>
        </w:tc>
        <w:tc>
          <w:tcPr>
            <w:tcW w:w="1040" w:type="dxa"/>
            <w:vAlign w:val="bottom"/>
            <w:tcBorders>
              <w:top w:val="single" w:sz="8" w:color="005CA9"/>
              <w:bottom w:val="single" w:sz="8" w:color="005CA9"/>
            </w:tcBorders>
          </w:tcPr>
          <w:p>
            <w:pPr>
              <w:jc w:val="right"/>
              <w:ind w:right="401"/>
              <w:spacing w:after="0"/>
              <w:rPr>
                <w:sz w:val="20"/>
                <w:szCs w:val="20"/>
                <w:color w:val="auto"/>
              </w:rPr>
            </w:pPr>
            <w:r>
              <w:rPr>
                <w:rFonts w:ascii="Calibri" w:cs="Calibri" w:eastAsia="Calibri" w:hAnsi="Calibri"/>
                <w:sz w:val="20"/>
                <w:szCs w:val="20"/>
                <w:b w:val="1"/>
                <w:bCs w:val="1"/>
                <w:color w:val="auto"/>
              </w:rPr>
              <w:t>2025</w:t>
            </w:r>
          </w:p>
        </w:tc>
      </w:tr>
      <w:tr>
        <w:trPr>
          <w:trHeight w:val="243"/>
        </w:trPr>
        <w:tc>
          <w:tcPr>
            <w:tcW w:w="746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Quarterly retainer:</w:t>
            </w:r>
          </w:p>
        </w:tc>
        <w:tc>
          <w:tcPr>
            <w:tcW w:w="12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22,500</w:t>
            </w:r>
          </w:p>
        </w:tc>
        <w:tc>
          <w:tcPr>
            <w:tcW w:w="3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04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22,500</w:t>
            </w:r>
          </w:p>
        </w:tc>
      </w:tr>
      <w:tr>
        <w:trPr>
          <w:trHeight w:val="239"/>
        </w:trPr>
        <w:tc>
          <w:tcPr>
            <w:tcW w:w="7460" w:type="dxa"/>
            <w:vAlign w:val="bottom"/>
          </w:tcPr>
          <w:p>
            <w:pPr>
              <w:ind w:left="120"/>
              <w:spacing w:after="0" w:line="234" w:lineRule="exact"/>
              <w:rPr>
                <w:sz w:val="20"/>
                <w:szCs w:val="20"/>
                <w:color w:val="auto"/>
              </w:rPr>
            </w:pPr>
            <w:r>
              <w:rPr>
                <w:rFonts w:ascii="Calibri" w:cs="Calibri" w:eastAsia="Calibri" w:hAnsi="Calibri"/>
                <w:sz w:val="20"/>
                <w:szCs w:val="20"/>
                <w:color w:val="auto"/>
              </w:rPr>
              <w:t>Additonal quarterly retainer:</w:t>
            </w: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line="239" w:lineRule="exact"/>
              <w:rPr>
                <w:sz w:val="20"/>
                <w:szCs w:val="20"/>
                <w:color w:val="auto"/>
              </w:rPr>
            </w:pPr>
            <w:r>
              <w:rPr>
                <w:rFonts w:ascii="Calibri" w:cs="Calibri" w:eastAsia="Calibri" w:hAnsi="Calibri"/>
                <w:sz w:val="20"/>
                <w:szCs w:val="20"/>
                <w:color w:val="auto"/>
              </w:rPr>
              <w:t>Lead Director, Chairs of Audit, Governance, and Compensaton Commitees</w:t>
            </w:r>
          </w:p>
        </w:tc>
        <w:tc>
          <w:tcPr>
            <w:tcW w:w="1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61"/>
              <w:spacing w:after="0" w:line="239" w:lineRule="exact"/>
              <w:rPr>
                <w:sz w:val="20"/>
                <w:szCs w:val="20"/>
                <w:color w:val="auto"/>
              </w:rPr>
            </w:pPr>
            <w:r>
              <w:rPr>
                <w:rFonts w:ascii="Calibri" w:cs="Calibri" w:eastAsia="Calibri" w:hAnsi="Calibri"/>
                <w:sz w:val="20"/>
                <w:szCs w:val="20"/>
                <w:color w:val="auto"/>
              </w:rPr>
              <w:t>10,000</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10,000</w:t>
            </w:r>
          </w:p>
        </w:tc>
      </w:tr>
      <w:tr>
        <w:trPr>
          <w:trHeight w:val="239"/>
        </w:trPr>
        <w:tc>
          <w:tcPr>
            <w:tcW w:w="7460" w:type="dxa"/>
            <w:vAlign w:val="bottom"/>
          </w:tcPr>
          <w:p>
            <w:pPr>
              <w:ind w:left="200"/>
              <w:spacing w:after="0" w:line="234" w:lineRule="exact"/>
              <w:rPr>
                <w:sz w:val="20"/>
                <w:szCs w:val="20"/>
                <w:color w:val="auto"/>
              </w:rPr>
            </w:pPr>
            <w:r>
              <w:rPr>
                <w:rFonts w:ascii="Calibri" w:cs="Calibri" w:eastAsia="Calibri" w:hAnsi="Calibri"/>
                <w:sz w:val="20"/>
                <w:szCs w:val="20"/>
                <w:color w:val="auto"/>
              </w:rPr>
              <w:t>Chair of Risk Commitee</w:t>
            </w:r>
          </w:p>
        </w:tc>
        <w:tc>
          <w:tcPr>
            <w:tcW w:w="1280" w:type="dxa"/>
            <w:vAlign w:val="bottom"/>
          </w:tcPr>
          <w:p>
            <w:pPr>
              <w:spacing w:after="0"/>
              <w:rPr>
                <w:sz w:val="20"/>
                <w:szCs w:val="20"/>
                <w:color w:val="auto"/>
              </w:rPr>
            </w:pPr>
          </w:p>
        </w:tc>
        <w:tc>
          <w:tcPr>
            <w:tcW w:w="10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5,000</w:t>
            </w:r>
          </w:p>
        </w:tc>
        <w:tc>
          <w:tcPr>
            <w:tcW w:w="380" w:type="dxa"/>
            <w:vAlign w:val="bottom"/>
          </w:tcPr>
          <w:p>
            <w:pPr>
              <w:spacing w:after="0"/>
              <w:rPr>
                <w:sz w:val="20"/>
                <w:szCs w:val="20"/>
                <w:color w:val="auto"/>
              </w:rPr>
            </w:pPr>
          </w:p>
        </w:tc>
        <w:tc>
          <w:tcPr>
            <w:tcW w:w="104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5,000</w:t>
            </w:r>
          </w:p>
        </w:tc>
      </w:tr>
      <w:tr>
        <w:trPr>
          <w:trHeight w:val="243"/>
        </w:trPr>
        <w:tc>
          <w:tcPr>
            <w:tcW w:w="7460" w:type="dxa"/>
            <w:vAlign w:val="bottom"/>
            <w:tcBorders>
              <w:bottom w:val="single" w:sz="8" w:color="005CA9"/>
            </w:tcBorders>
            <w:shd w:val="clear" w:color="auto" w:fill="CFF0FC"/>
          </w:tcPr>
          <w:p>
            <w:pPr>
              <w:ind w:left="200"/>
              <w:spacing w:after="0" w:line="239" w:lineRule="exact"/>
              <w:rPr>
                <w:sz w:val="20"/>
                <w:szCs w:val="20"/>
                <w:color w:val="auto"/>
              </w:rPr>
            </w:pPr>
            <w:r>
              <w:rPr>
                <w:rFonts w:ascii="Calibri" w:cs="Calibri" w:eastAsia="Calibri" w:hAnsi="Calibri"/>
                <w:sz w:val="20"/>
                <w:szCs w:val="20"/>
                <w:color w:val="auto"/>
              </w:rPr>
              <w:t>Member of the Audit Commitee</w:t>
            </w:r>
          </w:p>
        </w:tc>
        <w:tc>
          <w:tcPr>
            <w:tcW w:w="1280" w:type="dxa"/>
            <w:vAlign w:val="bottom"/>
            <w:tcBorders>
              <w:bottom w:val="single" w:sz="8" w:color="005CA9"/>
            </w:tcBorders>
            <w:shd w:val="clear" w:color="auto" w:fill="CFF0FC"/>
          </w:tcPr>
          <w:p>
            <w:pPr>
              <w:spacing w:after="0"/>
              <w:rPr>
                <w:sz w:val="21"/>
                <w:szCs w:val="21"/>
                <w:color w:val="auto"/>
              </w:rPr>
            </w:pPr>
          </w:p>
        </w:tc>
        <w:tc>
          <w:tcPr>
            <w:tcW w:w="1080" w:type="dxa"/>
            <w:vAlign w:val="bottom"/>
            <w:tcBorders>
              <w:bottom w:val="single" w:sz="8" w:color="005CA9"/>
            </w:tcBorders>
            <w:shd w:val="clear" w:color="auto" w:fill="CFF0FC"/>
          </w:tcPr>
          <w:p>
            <w:pPr>
              <w:jc w:val="right"/>
              <w:ind w:right="61"/>
              <w:spacing w:after="0" w:line="239" w:lineRule="exact"/>
              <w:rPr>
                <w:sz w:val="20"/>
                <w:szCs w:val="20"/>
                <w:color w:val="auto"/>
              </w:rPr>
            </w:pPr>
            <w:r>
              <w:rPr>
                <w:rFonts w:ascii="Calibri" w:cs="Calibri" w:eastAsia="Calibri" w:hAnsi="Calibri"/>
                <w:sz w:val="20"/>
                <w:szCs w:val="20"/>
                <w:color w:val="auto"/>
              </w:rPr>
              <w:t>2,500</w:t>
            </w:r>
          </w:p>
        </w:tc>
        <w:tc>
          <w:tcPr>
            <w:tcW w:w="380" w:type="dxa"/>
            <w:vAlign w:val="bottom"/>
            <w:tcBorders>
              <w:bottom w:val="single" w:sz="8" w:color="005CA9"/>
            </w:tcBorders>
            <w:shd w:val="clear" w:color="auto" w:fill="CFF0FC"/>
          </w:tcPr>
          <w:p>
            <w:pPr>
              <w:spacing w:after="0"/>
              <w:rPr>
                <w:sz w:val="21"/>
                <w:szCs w:val="21"/>
                <w:color w:val="auto"/>
              </w:rPr>
            </w:pPr>
          </w:p>
        </w:tc>
        <w:tc>
          <w:tcPr>
            <w:tcW w:w="1040" w:type="dxa"/>
            <w:vAlign w:val="bottom"/>
            <w:tcBorders>
              <w:bottom w:val="single" w:sz="8" w:color="005CA9"/>
            </w:tcBorders>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2,500</w:t>
            </w: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17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t>COMPENSATION COMMITTEE INTERLOCKS AND INSIDER PARTICIPATION</w:t>
      </w:r>
    </w:p>
    <w:p>
      <w:pPr>
        <w:spacing w:after="0" w:line="4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During 2024, the Compensaton Commitee consisted of three directors: Angie Chen Buton (Chair), Warren Chen, and Christna Wen-Chi Sung. During 2024, no executve ofcer of the Company served on the compensaton commitee (or equivalent) of the board of directors of another entty whose executve ofcer(s) served on the Company’s Compensaton Commitee or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CORPORATE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Ant-Hedging Policy</w:t>
      </w:r>
    </w:p>
    <w:p>
      <w:pPr>
        <w:spacing w:after="0" w:line="113"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Company’s Insider Trading Policy prohibits all executve ofcers and directors of the Company from engaging in any hedging or monetzaton transactons involving the Company’s securites, including zero cost collars, forward sale contracts, and trading in optons, puts, calls, or other derivatve instruments related to the Company’s Common Stock. To the best of the Company’s knowledge, no executve ofcers or directors of the Company currently are partes to a hedge with respect to any shares of Common Stock of the Company.</w:t>
      </w:r>
    </w:p>
    <w:p>
      <w:pPr>
        <w:spacing w:after="0" w:line="34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Ant-Pledging Policy</w:t>
      </w:r>
    </w:p>
    <w:p>
      <w:pPr>
        <w:spacing w:after="0" w:line="11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Company’s Insider Trading Policy prohibits executve ofcers and directors from pledging the Company’s securites. Acquiring Company shares on margin also is prohibited. To the best of the Company’s knowledge, no executve ofcers or directors of the Company currently are partes to a pledge of any shares of the Common Stock of the Company.</w:t>
      </w:r>
    </w:p>
    <w:p>
      <w:pPr>
        <w:spacing w:after="0" w:line="1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Insider Trading Policy</w:t>
      </w:r>
    </w:p>
    <w:p>
      <w:pPr>
        <w:spacing w:after="0" w:line="113"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is commited to promotng high standards of ethical business conduct and compliance with applicable laws, rules, and regulatons. As part of this commitment, we have adopted an Insider Trading Policy governing the purchase, sale, and other dispositons of our securites by our directors, ofcers, and employees, as well as by the Company itself. We believe the Insider Trading Policy is reasonably designed to promote compliance with insider trading laws, rules and regulatons, and applicable NASDAQ listng standards. A copy of the Company's Insider Trading Policy was fled as Exhibit 19 in the Company's annual report on Form 10-K for the year ended December 31, 2024 fled with the SEC on February 14, 2025.</w:t>
      </w:r>
    </w:p>
    <w:p>
      <w:pPr>
        <w:spacing w:after="0" w:line="1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Short-Selling Policy</w:t>
      </w:r>
    </w:p>
    <w:p>
      <w:pPr>
        <w:spacing w:after="0" w:line="1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Directors and executve ofcers are prohibited from selling the Company’s equity securites “short” (i.e., the sale of a security that is not owned and must be borrowed to complete the sale) or “selling short against the box” (i.e., the sale of a security that is currently owned but is not delivered against such sale within twenty days thereafer, or is not within fve days afer such sale deposited in the mails or other usual channels of transportaton and the sale is completed with borrowed shares). To the best of the Company’s knowledge, no executve ofcers or directors of the Company currently are partes to any short-selling transactons with respect to any shares of Common Stock of the Company.</w:t>
      </w:r>
    </w:p>
    <w:p>
      <w:pPr>
        <w:spacing w:after="0" w:line="1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Stock Ownership Policy</w:t>
      </w:r>
    </w:p>
    <w:p>
      <w:pPr>
        <w:spacing w:after="0" w:line="113"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u w:val="single" w:color="auto"/>
          <w:color w:val="auto"/>
        </w:rPr>
        <w:t>Stock Ownership Policy for Directors</w:t>
      </w:r>
      <w:r>
        <w:rPr>
          <w:rFonts w:ascii="Calibri" w:cs="Calibri" w:eastAsia="Calibri" w:hAnsi="Calibri"/>
          <w:sz w:val="20"/>
          <w:szCs w:val="20"/>
          <w:color w:val="auto"/>
        </w:rPr>
        <w:t>. The Company’s stock ownership policy provides that all non-employee directors are required to acquire (and thereafer throughout the term of appointment maintain ownership of) a minimum number of shares of Common Stock with a value equal to three tmes the annual retainer received by them as directors within fve years of the later of (1) the adopton of this stock ownership policy, or (2) their respectve appointment or inital electon. All of the directors are currently or are expected to be in compliance with our stock ownership policy in accordance with the tme frame requirements.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u w:val="single" w:color="auto"/>
          <w:color w:val="auto"/>
        </w:rPr>
        <w:t>Stock Ownership Policy for Executve Ofcers</w:t>
      </w:r>
      <w:r>
        <w:rPr>
          <w:rFonts w:ascii="Calibri" w:cs="Calibri" w:eastAsia="Calibri" w:hAnsi="Calibri"/>
          <w:sz w:val="20"/>
          <w:szCs w:val="20"/>
          <w:color w:val="auto"/>
        </w:rPr>
        <w:t>. The Company’s stock ownership policy provides that all individuals holding the positons with the Company listed below are required to acquire (and thereafer throughout the term of employment maintain ownership of) a minimum number of shares of Common Stock with a value equal to the multple of such executve ofcer’s annual base salary (excluding bonus) within fve years of the later of (1) the adopton of this stock</w:t>
      </w:r>
    </w:p>
    <w:p>
      <w:pPr>
        <w:spacing w:after="0" w:line="34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18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jc w:val="both"/>
        <w:spacing w:after="0" w:line="234" w:lineRule="auto"/>
        <w:rPr>
          <w:sz w:val="20"/>
          <w:szCs w:val="20"/>
          <w:color w:val="auto"/>
        </w:rPr>
      </w:pPr>
      <w:r>
        <w:rPr>
          <w:rFonts w:ascii="Calibri" w:cs="Calibri" w:eastAsia="Calibri" w:hAnsi="Calibri"/>
          <w:sz w:val="20"/>
          <w:szCs w:val="20"/>
          <w:color w:val="auto"/>
        </w:rPr>
        <w:t>ownership policy, or (2) their respectve appointment (other than a newly-appointed Chief Executve Ofcer, who has seven years to comply),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40" w:type="dxa"/>
            <w:vAlign w:val="bottom"/>
            <w:tcBorders>
              <w:top w:val="single" w:sz="8" w:color="005CA9"/>
            </w:tcBorders>
          </w:tcPr>
          <w:p>
            <w:pPr>
              <w:ind w:left="20"/>
              <w:spacing w:after="0"/>
              <w:rPr>
                <w:sz w:val="20"/>
                <w:szCs w:val="20"/>
                <w:color w:val="auto"/>
              </w:rPr>
            </w:pPr>
            <w:r>
              <w:rPr>
                <w:rFonts w:ascii="Calibri" w:cs="Calibri" w:eastAsia="Calibri" w:hAnsi="Calibri"/>
                <w:sz w:val="20"/>
                <w:szCs w:val="20"/>
                <w:b w:val="1"/>
                <w:bCs w:val="1"/>
                <w:color w:val="auto"/>
              </w:rPr>
              <w:t>Positon</w:t>
            </w:r>
          </w:p>
        </w:tc>
        <w:tc>
          <w:tcPr>
            <w:tcW w:w="7100" w:type="dxa"/>
            <w:vAlign w:val="bottom"/>
            <w:tcBorders>
              <w:top w:val="single" w:sz="8" w:color="005CA9"/>
            </w:tcBorders>
          </w:tcPr>
          <w:p>
            <w:pPr>
              <w:ind w:left="840"/>
              <w:spacing w:after="0"/>
              <w:rPr>
                <w:sz w:val="20"/>
                <w:szCs w:val="20"/>
                <w:color w:val="auto"/>
              </w:rPr>
            </w:pPr>
            <w:r>
              <w:rPr>
                <w:rFonts w:ascii="Calibri" w:cs="Calibri" w:eastAsia="Calibri" w:hAnsi="Calibri"/>
                <w:sz w:val="20"/>
                <w:szCs w:val="20"/>
                <w:b w:val="1"/>
                <w:bCs w:val="1"/>
                <w:color w:val="auto"/>
              </w:rPr>
              <w:t>Multple of Salary</w:t>
            </w:r>
          </w:p>
        </w:tc>
      </w:tr>
      <w:tr>
        <w:trPr>
          <w:trHeight w:val="72"/>
        </w:trPr>
        <w:tc>
          <w:tcPr>
            <w:tcW w:w="4140" w:type="dxa"/>
            <w:vAlign w:val="bottom"/>
            <w:shd w:val="clear" w:color="auto" w:fill="005CA9"/>
          </w:tcPr>
          <w:p>
            <w:pPr>
              <w:spacing w:after="0"/>
              <w:rPr>
                <w:sz w:val="6"/>
                <w:szCs w:val="6"/>
                <w:color w:val="auto"/>
              </w:rPr>
            </w:pPr>
          </w:p>
        </w:tc>
        <w:tc>
          <w:tcPr>
            <w:tcW w:w="7100" w:type="dxa"/>
            <w:vAlign w:val="bottom"/>
            <w:shd w:val="clear" w:color="auto" w:fill="005CA9"/>
          </w:tcPr>
          <w:p>
            <w:pPr>
              <w:spacing w:after="0"/>
              <w:rPr>
                <w:sz w:val="6"/>
                <w:szCs w:val="6"/>
                <w:color w:val="auto"/>
              </w:rPr>
            </w:pPr>
          </w:p>
        </w:tc>
      </w:tr>
      <w:tr>
        <w:trPr>
          <w:trHeight w:val="243"/>
        </w:trPr>
        <w:tc>
          <w:tcPr>
            <w:tcW w:w="414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Chief Executve Ofcer of the Company</w:t>
            </w:r>
          </w:p>
        </w:tc>
        <w:tc>
          <w:tcPr>
            <w:tcW w:w="7100" w:type="dxa"/>
            <w:vAlign w:val="bottom"/>
            <w:shd w:val="clear" w:color="auto" w:fill="CFF0FC"/>
          </w:tcPr>
          <w:p>
            <w:pPr>
              <w:ind w:left="920"/>
              <w:spacing w:after="0" w:line="234" w:lineRule="exact"/>
              <w:rPr>
                <w:sz w:val="20"/>
                <w:szCs w:val="20"/>
                <w:color w:val="auto"/>
              </w:rPr>
            </w:pPr>
            <w:r>
              <w:rPr>
                <w:rFonts w:ascii="Calibri" w:cs="Calibri" w:eastAsia="Calibri" w:hAnsi="Calibri"/>
                <w:sz w:val="20"/>
                <w:szCs w:val="20"/>
                <w:color w:val="auto"/>
              </w:rPr>
              <w:t>Six tmes annual base salary (excluding bonus)</w:t>
            </w:r>
          </w:p>
        </w:tc>
      </w:tr>
      <w:tr>
        <w:trPr>
          <w:trHeight w:val="239"/>
        </w:trPr>
        <w:tc>
          <w:tcPr>
            <w:tcW w:w="4140" w:type="dxa"/>
            <w:vAlign w:val="bottom"/>
            <w:tcBorders>
              <w:bottom w:val="single" w:sz="8" w:color="4F81BD"/>
            </w:tcBorders>
          </w:tcPr>
          <w:p>
            <w:pPr>
              <w:ind w:left="120"/>
              <w:spacing w:after="0" w:line="234" w:lineRule="exact"/>
              <w:rPr>
                <w:sz w:val="20"/>
                <w:szCs w:val="20"/>
                <w:color w:val="auto"/>
              </w:rPr>
            </w:pPr>
            <w:r>
              <w:rPr>
                <w:rFonts w:ascii="Calibri" w:cs="Calibri" w:eastAsia="Calibri" w:hAnsi="Calibri"/>
                <w:sz w:val="20"/>
                <w:szCs w:val="20"/>
                <w:color w:val="auto"/>
              </w:rPr>
              <w:t>Board appointed executve ofcer</w:t>
            </w:r>
          </w:p>
        </w:tc>
        <w:tc>
          <w:tcPr>
            <w:tcW w:w="7100" w:type="dxa"/>
            <w:vAlign w:val="bottom"/>
            <w:tcBorders>
              <w:bottom w:val="single" w:sz="8" w:color="4F81BD"/>
            </w:tcBorders>
          </w:tcPr>
          <w:p>
            <w:pPr>
              <w:ind w:left="920"/>
              <w:spacing w:after="0" w:line="234" w:lineRule="exact"/>
              <w:rPr>
                <w:sz w:val="20"/>
                <w:szCs w:val="20"/>
                <w:color w:val="auto"/>
              </w:rPr>
            </w:pPr>
            <w:r>
              <w:rPr>
                <w:rFonts w:ascii="Calibri" w:cs="Calibri" w:eastAsia="Calibri" w:hAnsi="Calibri"/>
                <w:sz w:val="20"/>
                <w:szCs w:val="20"/>
                <w:color w:val="auto"/>
              </w:rPr>
              <w:t>Two tmes annual base salary (excluding bonus)</w:t>
            </w:r>
          </w:p>
        </w:tc>
      </w:tr>
    </w:tbl>
    <w:p>
      <w:pPr>
        <w:spacing w:after="0" w:line="84"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All of the executve ofcers are currently or are expected to be in compliance with our stock ownership policy in accordance with the tme frame requirements.</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For purposes of this stock ownership policy, stock ownership includes any shares owned by an executve ofcer or director or his or her immediate family members or held by him or her as part of a tax or estate plan in which the executve ofcer or director retains benefcial ownership. The value of shares held is calculated once per year, on the last business day of the fscal year. For purposes of determining compliance with this stock ownership policy, “value” means an assumed per share value based on the closing price of Common Stock on the last business day of the fscal year. An executve ofcer or director subject to this stock ownership policy is not required to acquire shares of Common Stock in accordance with this policy if acquisiton at such tme would result in a violaton of the Company’s insider trading policy, in which event the executve ofcer or director is required to comply with this stock ownership policy as soon as reasonably feasible thereafer. A hardship excepton is available at the discreton of the Compensaton Commitee, but no exceptons have been solicited or granted to date.</w:t>
      </w:r>
    </w:p>
    <w:p>
      <w:pPr>
        <w:spacing w:after="0" w:line="1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If any executve ofcer or director is determined to own less than the minimum number of shares of Common Stock, such executve ofcer or director shall have the two open periods afer the two subsequent “Blackout Periods” to obtain the minimum number of shares of Common Stock. Blackout Period is (i) a period startng on the ffeenth day of the third month in the frst calendar quarter and the period startng on the frst day of the third month in the second, third, and fourth calendar quarters (i.e. March 15, June 1, September 1, December 1) and ending two business days afer earnings for that quarter have been publicly released (trading of the Company’s securites can begin on the third day afer announcement); and (ii) any other period of signifcant corporate actvity designated from tme to tme by the Company.</w:t>
      </w:r>
    </w:p>
    <w:p>
      <w:pPr>
        <w:spacing w:after="0" w:line="1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Stock Retenton Policy</w:t>
      </w:r>
    </w:p>
    <w:p>
      <w:pPr>
        <w:spacing w:after="0" w:line="113"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In additon to the stock ownership policy described above, under which each executve ofcer or director must maintain a certain multple of his or her annual base salary or annual retainer throughout the term of employment or appointment, each executve ofcer or director who acquires shares of our Common Stock through the exercise of a stock opton is required to retain 33% of the “net” shares acquired (</w:t>
      </w:r>
      <w:r>
        <w:rPr>
          <w:rFonts w:ascii="Calibri" w:cs="Calibri" w:eastAsia="Calibri" w:hAnsi="Calibri"/>
          <w:sz w:val="20"/>
          <w:szCs w:val="20"/>
          <w:i w:val="1"/>
          <w:iCs w:val="1"/>
          <w:color w:val="auto"/>
        </w:rPr>
        <w:t>i.e.</w:t>
      </w:r>
      <w:r>
        <w:rPr>
          <w:rFonts w:ascii="Calibri" w:cs="Calibri" w:eastAsia="Calibri" w:hAnsi="Calibri"/>
          <w:sz w:val="20"/>
          <w:szCs w:val="20"/>
          <w:color w:val="auto"/>
        </w:rPr>
        <w:t>, net of the tax impact of the stock opton exercise) untl the earlier to occur of the frst anniversary of the date of exercise or the date the individual ceases to be an executve ofcer or director. This stock retenton policy only applies to stock opton grants awarded to executves.</w:t>
      </w:r>
    </w:p>
    <w:p>
      <w:pPr>
        <w:spacing w:after="0" w:line="34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Recoupment of Compensaton</w:t>
      </w:r>
    </w:p>
    <w:p>
      <w:pPr>
        <w:spacing w:after="0" w:line="1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Pursuant to our Policy Regarding Recoupment of Executve Compensaton (“Clawback Policy”), in the event the Company is required to prepare an accountng restatement due to the Company's material noncompliance with any fnancial reportng requirement under applicable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 the Company will recover reasonably promptly from each Covered Ofcer (as defned in the Clawback Policy) the Covered Compensaton (as defned in the Clawback Policy) received by such Covered Ofcer. If a Clawback Excepton (as defned in the Clawback Policy) applies, the Company may forgo such recovery under the Clawback Policy.</w:t>
      </w:r>
    </w:p>
    <w:p>
      <w:pPr>
        <w:spacing w:after="0" w:line="121"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A copy of our Clawback Policy and other corporate policies are available on the Company’s website, at www.diodes.com, in the “Investors – Corporate Governance” secton.</w:t>
      </w:r>
    </w:p>
    <w:p>
      <w:pPr>
        <w:spacing w:after="0" w:line="34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19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2" w:name="page23"/>
    <w:bookmarkEnd w:id="22"/>
    <w:p>
      <w:pPr>
        <w:spacing w:after="0"/>
        <w:rPr>
          <w:sz w:val="20"/>
          <w:szCs w:val="20"/>
          <w:color w:val="auto"/>
        </w:rPr>
      </w:pPr>
      <w:r>
        <w:rPr>
          <w:rFonts w:ascii="Calibri" w:cs="Calibri" w:eastAsia="Calibri" w:hAnsi="Calibri"/>
          <w:sz w:val="22"/>
          <w:szCs w:val="22"/>
          <w:b w:val="1"/>
          <w:bCs w:val="1"/>
          <w:color w:val="005CA9"/>
        </w:rPr>
        <w:t>Equity Award Grant Practces</w:t>
      </w:r>
    </w:p>
    <w:p>
      <w:pPr>
        <w:spacing w:after="0" w:line="111"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Equity awards are discretonary and are generally granted to our named executve ofcers during the frst week of February of the applicable fscal year. In certain circumstances, including the hiring or promoton of an ofcer, the Compensaton Commitee may approve grants to be efectve at other tmes. The Company does not currently grant stock optons to its employees . The Compensaton Commitee did not take material nonpublic informaton into account when determining the tming and terms of equity awards in 2024, and the Company does not tme the disclosure of material nonpublic informaton for the purpose of afectng the value of 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CORPORATE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Commitment - Embracing Sustainability for the Future</w:t>
      </w:r>
    </w:p>
    <w:p>
      <w:pPr>
        <w:spacing w:after="0" w:line="101"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Company's commitment to sustainability is represented in our core values of integrity, commitment, and innovaton.</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strives for environmental sustainability, social responsibility, responsible sourcing, and corporate citzenship to have a sustainable operaton and a long-term, positve impact on our stakeholders: investors, customers, employees, suppliers, and our communites.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adopts a stakeholder-oriented approach to governance and is commited to conductng an ethical, lawful, proftable, and sustainable business that creates value over the long term. We are not actvely or directly involved in any politcal advocacy or lobbying groups, nor do we provide fnancial contributons to politcal organizatons or politcal campaigns. Our engagements on these issues are mainly through industry or trade associatons that we support together with our industry peers, or through community engagement with non-proft organizatons and tax-exempt groups.</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Through our extensive sales and distributon network we provide customers around the globe with a broad portolio of innovatve semiconductor products that help our customers develop energy-efcient and eco-friendly end applicatons.</w:t>
      </w:r>
    </w:p>
    <w:p>
      <w:pPr>
        <w:spacing w:after="0" w:line="118"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It is the Company's frm belief that our stakeholders’ well-being is supported by sustainability consideratons and such consideratons are integral to our ongoing organizatonal success and operatonal resilience.</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Company's sustainability report is available at: htps://www.diodes.com/about/company/sustainability/.</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Environment - Environmental Stewardship and Resource Conservaton Initatves</w:t>
      </w:r>
    </w:p>
    <w:p>
      <w:pPr>
        <w:spacing w:after="0" w:line="11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Environmental responsibility is integral to producing world-class products. We understand the impact our operatons have on the environment, our communites, and the health and safety of our employees and suppliers. We are commited to ensuring environmentally sustainable business practces and to helping minimize the environmental impact of our supply chain.</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Details on our energy, water, waste, and greenhouse gas emissions management can be found in our sustainability report.</w:t>
      </w:r>
    </w:p>
    <w:p>
      <w:pPr>
        <w:spacing w:after="0" w:line="16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Supply Chain - Responsible Supply Chain Management</w:t>
      </w:r>
    </w:p>
    <w:p>
      <w:pPr>
        <w:spacing w:after="0" w:line="11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We strive for environmental sustainability, social responsibility, corporate citzenship, and responsible sourcing to have a long-term, positve impact on our operatons and stakeholders. These corporate responsibility expectatons are incorporated into the business processes we use with our suppliers so as to maintain and improve supply chain accountability.</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With our strong commitment to operatng our business in a sustainable and socially responsible manner, we expect our suppliers to join us in this commitment, and to conduct their businesses based on this shared set of values and principles.</w:t>
      </w:r>
    </w:p>
    <w:p>
      <w:pPr>
        <w:spacing w:after="0" w:line="118"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Integrity is one of our core values. Read more about how we practce it through supplier diversity and inclusion, responsible use of materials, chemicals, and packaging, and confict materials management.</w:t>
      </w:r>
    </w:p>
    <w:p>
      <w:pPr>
        <w:spacing w:after="0" w:line="34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20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3" w:name="page24"/>
    <w:bookmarkEnd w:id="23"/>
    <w:p>
      <w:pPr>
        <w:spacing w:after="0"/>
        <w:rPr>
          <w:sz w:val="20"/>
          <w:szCs w:val="20"/>
          <w:color w:val="auto"/>
        </w:rPr>
      </w:pPr>
      <w:r>
        <w:rPr>
          <w:rFonts w:ascii="Calibri" w:cs="Calibri" w:eastAsia="Calibri" w:hAnsi="Calibri"/>
          <w:sz w:val="20"/>
          <w:szCs w:val="20"/>
          <w:color w:val="auto"/>
        </w:rPr>
        <w:t>Sustainability in the supply chain is built on strong partnerships. We expect our suppliers to adhere to our Supplier Code of Conduct.</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Social Responsibility - Stakeholder Engagement and Social Responsibility</w:t>
      </w:r>
    </w:p>
    <w:p>
      <w:pPr>
        <w:spacing w:after="0" w:line="11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We are commited to operatng with a strong sense of integrity and believe it to be critcal to maintaining trust and credibility with our stakeholders: communites, employees, suppliers, customers, and investors. Beyond this, we recognize the impact of managing our business in alignment with global society. Learn more about how we’re working to deliver on this through sustainable products, community engagement, and charitable giving.</w:t>
      </w:r>
    </w:p>
    <w:p>
      <w:pPr>
        <w:spacing w:after="0" w:line="17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People - Human Capital Management</w:t>
      </w:r>
    </w:p>
    <w:p>
      <w:pPr>
        <w:spacing w:after="0" w:line="111" w:lineRule="exact"/>
        <w:rPr>
          <w:sz w:val="20"/>
          <w:szCs w:val="20"/>
          <w:color w:val="auto"/>
        </w:rPr>
      </w:pPr>
    </w:p>
    <w:p>
      <w:pPr>
        <w:ind w:right="300"/>
        <w:spacing w:after="0" w:line="236" w:lineRule="auto"/>
        <w:rPr>
          <w:sz w:val="20"/>
          <w:szCs w:val="20"/>
          <w:color w:val="auto"/>
        </w:rPr>
      </w:pPr>
      <w:r>
        <w:rPr>
          <w:rFonts w:ascii="Calibri" w:cs="Calibri" w:eastAsia="Calibri" w:hAnsi="Calibri"/>
          <w:sz w:val="20"/>
          <w:szCs w:val="20"/>
          <w:color w:val="auto"/>
        </w:rPr>
        <w:t>As an internatonal semiconductor company with a global footprint, we recognize the important role people play in a talent-based economy, and the impact they have on our long-term strategic success and sustainable growth. Our employees are our most critcal asset—they contribute to our fnancial success for the beneft of all our stakeholders, they fuel the engine of product innovaton, and they are collaborators and contributors to the success of the communites in which we live and work.</w:t>
      </w:r>
    </w:p>
    <w:p>
      <w:pPr>
        <w:spacing w:after="0" w:line="174" w:lineRule="exact"/>
        <w:rPr>
          <w:sz w:val="20"/>
          <w:szCs w:val="20"/>
          <w:color w:val="auto"/>
        </w:rPr>
      </w:pPr>
    </w:p>
    <w:p>
      <w:pPr>
        <w:ind w:right="360"/>
        <w:spacing w:after="0" w:line="236" w:lineRule="auto"/>
        <w:rPr>
          <w:sz w:val="20"/>
          <w:szCs w:val="20"/>
          <w:color w:val="auto"/>
        </w:rPr>
      </w:pPr>
      <w:r>
        <w:rPr>
          <w:rFonts w:ascii="Calibri" w:cs="Calibri" w:eastAsia="Calibri" w:hAnsi="Calibri"/>
          <w:sz w:val="20"/>
          <w:szCs w:val="20"/>
          <w:color w:val="auto"/>
        </w:rPr>
        <w:t>We are focused on building and maintaining a sustainable workforce because a reliable workforce that can deliver consistent output helps drive greater business results. Our support to the workforce includes our employee health, safety, and wellness programs, diversity and inclusion initatves, and employee development investments.</w:t>
      </w:r>
    </w:p>
    <w:p>
      <w:pPr>
        <w:spacing w:after="0" w:line="16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Governance - Our Corporate Governance Approach</w:t>
      </w:r>
    </w:p>
    <w:p>
      <w:pPr>
        <w:spacing w:after="0" w:line="113" w:lineRule="exact"/>
        <w:rPr>
          <w:sz w:val="20"/>
          <w:szCs w:val="20"/>
          <w:color w:val="auto"/>
        </w:rPr>
      </w:pPr>
    </w:p>
    <w:p>
      <w:pPr>
        <w:ind w:right="120"/>
        <w:spacing w:after="0" w:line="237" w:lineRule="auto"/>
        <w:rPr>
          <w:sz w:val="20"/>
          <w:szCs w:val="20"/>
          <w:color w:val="auto"/>
        </w:rPr>
      </w:pPr>
      <w:r>
        <w:rPr>
          <w:rFonts w:ascii="Calibri" w:cs="Calibri" w:eastAsia="Calibri" w:hAnsi="Calibri"/>
          <w:sz w:val="20"/>
          <w:szCs w:val="20"/>
          <w:color w:val="auto"/>
        </w:rPr>
        <w:t>Our approach to sustainability and fnancial integrity is built on the foundaton of an efectve corporate governance structure. We integrate transparency and accountability in our corporate governance practces, and incorporate sustainability into our corporate governance objectves. A strong corporate governance framework and associated practces are critcal to earnings, and to retaining the trust of our investors and other stakeholders. We have several resources to illustrate our corporate governance practces—please refer to the highlights and the fact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21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24" w:name="page25"/>
    <w:bookmarkEnd w:id="24"/>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EXECUTIVE OFFICERS OF THE COMPANY</w:t>
      </w:r>
    </w:p>
    <w:p>
      <w:pPr>
        <w:spacing w:after="0" w:line="49"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following table and discussion sets forth certain biographical informaton concerning the Company’s executve ofcers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20" w:type="dxa"/>
            <w:vAlign w:val="bottom"/>
            <w:tcBorders>
              <w:top w:val="single" w:sz="8" w:color="005CA9"/>
            </w:tcBorders>
          </w:tcPr>
          <w:p>
            <w:pPr>
              <w:ind w:left="20"/>
              <w:spacing w:after="0"/>
              <w:rPr>
                <w:sz w:val="20"/>
                <w:szCs w:val="20"/>
                <w:color w:val="auto"/>
              </w:rPr>
            </w:pPr>
            <w:r>
              <w:rPr>
                <w:rFonts w:ascii="Calibri" w:cs="Calibri" w:eastAsia="Calibri" w:hAnsi="Calibri"/>
                <w:sz w:val="20"/>
                <w:szCs w:val="20"/>
                <w:b w:val="1"/>
                <w:bCs w:val="1"/>
                <w:color w:val="auto"/>
              </w:rPr>
              <w:t>Name</w:t>
            </w:r>
          </w:p>
        </w:tc>
        <w:tc>
          <w:tcPr>
            <w:tcW w:w="840" w:type="dxa"/>
            <w:vAlign w:val="bottom"/>
            <w:tcBorders>
              <w:top w:val="single" w:sz="8" w:color="005CA9"/>
            </w:tcBorders>
          </w:tcPr>
          <w:p>
            <w:pPr>
              <w:jc w:val="center"/>
              <w:ind w:left="101"/>
              <w:spacing w:after="0"/>
              <w:rPr>
                <w:sz w:val="20"/>
                <w:szCs w:val="20"/>
                <w:color w:val="auto"/>
              </w:rPr>
            </w:pPr>
            <w:r>
              <w:rPr>
                <w:rFonts w:ascii="Calibri" w:cs="Calibri" w:eastAsia="Calibri" w:hAnsi="Calibri"/>
                <w:sz w:val="20"/>
                <w:szCs w:val="20"/>
                <w:b w:val="1"/>
                <w:bCs w:val="1"/>
                <w:color w:val="auto"/>
              </w:rPr>
              <w:t>Age</w:t>
            </w:r>
          </w:p>
        </w:tc>
        <w:tc>
          <w:tcPr>
            <w:tcW w:w="8180" w:type="dxa"/>
            <w:vAlign w:val="bottom"/>
            <w:tcBorders>
              <w:top w:val="single" w:sz="8" w:color="005CA9"/>
            </w:tcBorders>
          </w:tcPr>
          <w:p>
            <w:pPr>
              <w:ind w:left="160"/>
              <w:spacing w:after="0"/>
              <w:rPr>
                <w:sz w:val="20"/>
                <w:szCs w:val="20"/>
                <w:color w:val="auto"/>
              </w:rPr>
            </w:pPr>
            <w:r>
              <w:rPr>
                <w:rFonts w:ascii="Calibri" w:cs="Calibri" w:eastAsia="Calibri" w:hAnsi="Calibri"/>
                <w:sz w:val="20"/>
                <w:szCs w:val="20"/>
                <w:b w:val="1"/>
                <w:bCs w:val="1"/>
                <w:color w:val="auto"/>
              </w:rPr>
              <w:t>Positon with the Company</w:t>
            </w:r>
          </w:p>
        </w:tc>
      </w:tr>
      <w:tr>
        <w:trPr>
          <w:trHeight w:val="261"/>
        </w:trPr>
        <w:tc>
          <w:tcPr>
            <w:tcW w:w="2220" w:type="dxa"/>
            <w:vAlign w:val="bottom"/>
          </w:tcPr>
          <w:p>
            <w:pPr>
              <w:ind w:left="20"/>
              <w:spacing w:after="0" w:line="261" w:lineRule="exact"/>
              <w:rPr>
                <w:sz w:val="20"/>
                <w:szCs w:val="20"/>
                <w:color w:val="auto"/>
              </w:rPr>
            </w:pPr>
            <w:r>
              <w:rPr>
                <w:rFonts w:ascii="Calibri" w:cs="Calibri" w:eastAsia="Calibri" w:hAnsi="Calibri"/>
                <w:sz w:val="20"/>
                <w:szCs w:val="20"/>
                <w:color w:val="auto"/>
              </w:rPr>
              <w:t>Dr. Keh-Shew Lu</w:t>
            </w:r>
            <w:r>
              <w:rPr>
                <w:rFonts w:ascii="Calibri" w:cs="Calibri" w:eastAsia="Calibri" w:hAnsi="Calibri"/>
                <w:sz w:val="26"/>
                <w:szCs w:val="26"/>
                <w:color w:val="auto"/>
                <w:vertAlign w:val="superscript"/>
              </w:rPr>
              <w:t>(1)</w:t>
            </w:r>
          </w:p>
        </w:tc>
        <w:tc>
          <w:tcPr>
            <w:tcW w:w="840" w:type="dxa"/>
            <w:vAlign w:val="bottom"/>
          </w:tcPr>
          <w:p>
            <w:pPr>
              <w:jc w:val="center"/>
              <w:ind w:left="101"/>
              <w:spacing w:after="0"/>
              <w:rPr>
                <w:sz w:val="20"/>
                <w:szCs w:val="20"/>
                <w:color w:val="auto"/>
              </w:rPr>
            </w:pPr>
            <w:r>
              <w:rPr>
                <w:rFonts w:ascii="Calibri" w:cs="Calibri" w:eastAsia="Calibri" w:hAnsi="Calibri"/>
                <w:sz w:val="20"/>
                <w:szCs w:val="20"/>
                <w:color w:val="auto"/>
                <w:w w:val="98"/>
              </w:rPr>
              <w:t>78</w:t>
            </w:r>
          </w:p>
        </w:tc>
        <w:tc>
          <w:tcPr>
            <w:tcW w:w="8180" w:type="dxa"/>
            <w:vAlign w:val="bottom"/>
          </w:tcPr>
          <w:p>
            <w:pPr>
              <w:ind w:left="160"/>
              <w:spacing w:after="0"/>
              <w:rPr>
                <w:sz w:val="20"/>
                <w:szCs w:val="20"/>
                <w:color w:val="auto"/>
              </w:rPr>
            </w:pPr>
            <w:r>
              <w:rPr>
                <w:rFonts w:ascii="Calibri" w:cs="Calibri" w:eastAsia="Calibri" w:hAnsi="Calibri"/>
                <w:sz w:val="20"/>
                <w:szCs w:val="20"/>
                <w:color w:val="auto"/>
              </w:rPr>
              <w:t>Chairman and Chief Executve Ofcer ("CEO")</w:t>
            </w:r>
          </w:p>
        </w:tc>
      </w:tr>
      <w:tr>
        <w:trPr>
          <w:trHeight w:val="301"/>
        </w:trPr>
        <w:tc>
          <w:tcPr>
            <w:tcW w:w="2220" w:type="dxa"/>
            <w:vAlign w:val="bottom"/>
          </w:tcPr>
          <w:p>
            <w:pPr>
              <w:ind w:left="20"/>
              <w:spacing w:after="0" w:line="301" w:lineRule="exact"/>
              <w:rPr>
                <w:sz w:val="20"/>
                <w:szCs w:val="20"/>
                <w:color w:val="auto"/>
              </w:rPr>
            </w:pPr>
            <w:r>
              <w:rPr>
                <w:rFonts w:ascii="Calibri" w:cs="Calibri" w:eastAsia="Calibri" w:hAnsi="Calibri"/>
                <w:sz w:val="20"/>
                <w:szCs w:val="20"/>
                <w:color w:val="auto"/>
              </w:rPr>
              <w:t>Gary Yu</w:t>
            </w:r>
            <w:r>
              <w:rPr>
                <w:rFonts w:ascii="Calibri" w:cs="Calibri" w:eastAsia="Calibri" w:hAnsi="Calibri"/>
                <w:sz w:val="26"/>
                <w:szCs w:val="26"/>
                <w:color w:val="auto"/>
                <w:vertAlign w:val="superscript"/>
              </w:rPr>
              <w:t>(1)</w:t>
            </w:r>
          </w:p>
        </w:tc>
        <w:tc>
          <w:tcPr>
            <w:tcW w:w="840" w:type="dxa"/>
            <w:vAlign w:val="bottom"/>
          </w:tcPr>
          <w:p>
            <w:pPr>
              <w:jc w:val="center"/>
              <w:ind w:left="101"/>
              <w:spacing w:after="0"/>
              <w:rPr>
                <w:sz w:val="20"/>
                <w:szCs w:val="20"/>
                <w:color w:val="auto"/>
              </w:rPr>
            </w:pPr>
            <w:r>
              <w:rPr>
                <w:rFonts w:ascii="Calibri" w:cs="Calibri" w:eastAsia="Calibri" w:hAnsi="Calibri"/>
                <w:sz w:val="20"/>
                <w:szCs w:val="20"/>
                <w:color w:val="auto"/>
                <w:w w:val="98"/>
              </w:rPr>
              <w:t>52</w:t>
            </w:r>
          </w:p>
        </w:tc>
        <w:tc>
          <w:tcPr>
            <w:tcW w:w="8180" w:type="dxa"/>
            <w:vAlign w:val="bottom"/>
          </w:tcPr>
          <w:p>
            <w:pPr>
              <w:ind w:left="160"/>
              <w:spacing w:after="0"/>
              <w:rPr>
                <w:sz w:val="20"/>
                <w:szCs w:val="20"/>
                <w:color w:val="auto"/>
              </w:rPr>
            </w:pPr>
            <w:r>
              <w:rPr>
                <w:rFonts w:ascii="Calibri" w:cs="Calibri" w:eastAsia="Calibri" w:hAnsi="Calibri"/>
                <w:sz w:val="20"/>
                <w:szCs w:val="20"/>
                <w:color w:val="auto"/>
              </w:rPr>
              <w:t>President</w:t>
            </w:r>
          </w:p>
        </w:tc>
      </w:tr>
      <w:tr>
        <w:trPr>
          <w:trHeight w:val="243"/>
        </w:trPr>
        <w:tc>
          <w:tcPr>
            <w:tcW w:w="222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Bret R. Whitmire</w:t>
            </w:r>
          </w:p>
        </w:tc>
        <w:tc>
          <w:tcPr>
            <w:tcW w:w="840" w:type="dxa"/>
            <w:vAlign w:val="bottom"/>
            <w:shd w:val="clear" w:color="auto" w:fill="CFF0FC"/>
          </w:tcPr>
          <w:p>
            <w:pPr>
              <w:jc w:val="center"/>
              <w:ind w:left="101"/>
              <w:spacing w:after="0" w:line="234" w:lineRule="exact"/>
              <w:rPr>
                <w:sz w:val="20"/>
                <w:szCs w:val="20"/>
                <w:color w:val="auto"/>
              </w:rPr>
            </w:pPr>
            <w:r>
              <w:rPr>
                <w:rFonts w:ascii="Calibri" w:cs="Calibri" w:eastAsia="Calibri" w:hAnsi="Calibri"/>
                <w:sz w:val="20"/>
                <w:szCs w:val="20"/>
                <w:color w:val="auto"/>
                <w:w w:val="98"/>
              </w:rPr>
              <w:t>59</w:t>
            </w:r>
          </w:p>
        </w:tc>
        <w:tc>
          <w:tcPr>
            <w:tcW w:w="818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Chief Financial Ofcer</w:t>
            </w:r>
          </w:p>
        </w:tc>
      </w:tr>
      <w:tr>
        <w:trPr>
          <w:trHeight w:val="239"/>
        </w:trPr>
        <w:tc>
          <w:tcPr>
            <w:tcW w:w="2220" w:type="dxa"/>
            <w:vAlign w:val="bottom"/>
          </w:tcPr>
          <w:p>
            <w:pPr>
              <w:ind w:left="20"/>
              <w:spacing w:after="0" w:line="234" w:lineRule="exact"/>
              <w:rPr>
                <w:sz w:val="20"/>
                <w:szCs w:val="20"/>
                <w:color w:val="auto"/>
              </w:rPr>
            </w:pPr>
            <w:r>
              <w:rPr>
                <w:rFonts w:ascii="Calibri" w:cs="Calibri" w:eastAsia="Calibri" w:hAnsi="Calibri"/>
                <w:sz w:val="20"/>
                <w:szCs w:val="20"/>
                <w:color w:val="auto"/>
              </w:rPr>
              <w:t>Francis Tang</w:t>
            </w:r>
          </w:p>
        </w:tc>
        <w:tc>
          <w:tcPr>
            <w:tcW w:w="840" w:type="dxa"/>
            <w:vAlign w:val="bottom"/>
          </w:tcPr>
          <w:p>
            <w:pPr>
              <w:jc w:val="center"/>
              <w:ind w:left="101"/>
              <w:spacing w:after="0" w:line="234" w:lineRule="exact"/>
              <w:rPr>
                <w:sz w:val="20"/>
                <w:szCs w:val="20"/>
                <w:color w:val="auto"/>
              </w:rPr>
            </w:pPr>
            <w:r>
              <w:rPr>
                <w:rFonts w:ascii="Calibri" w:cs="Calibri" w:eastAsia="Calibri" w:hAnsi="Calibri"/>
                <w:sz w:val="20"/>
                <w:szCs w:val="20"/>
                <w:color w:val="auto"/>
                <w:w w:val="98"/>
              </w:rPr>
              <w:t>70</w:t>
            </w:r>
          </w:p>
        </w:tc>
        <w:tc>
          <w:tcPr>
            <w:tcW w:w="8180" w:type="dxa"/>
            <w:vAlign w:val="bottom"/>
          </w:tcPr>
          <w:p>
            <w:pPr>
              <w:ind w:left="160"/>
              <w:spacing w:after="0" w:line="234" w:lineRule="exact"/>
              <w:rPr>
                <w:sz w:val="20"/>
                <w:szCs w:val="20"/>
                <w:color w:val="auto"/>
              </w:rPr>
            </w:pPr>
            <w:r>
              <w:rPr>
                <w:rFonts w:ascii="Calibri" w:cs="Calibri" w:eastAsia="Calibri" w:hAnsi="Calibri"/>
                <w:sz w:val="20"/>
                <w:szCs w:val="20"/>
                <w:color w:val="auto"/>
              </w:rPr>
              <w:t>Senior Vice President, Worldwide Discrete Products</w:t>
            </w:r>
          </w:p>
        </w:tc>
      </w:tr>
      <w:tr>
        <w:trPr>
          <w:trHeight w:val="247"/>
        </w:trPr>
        <w:tc>
          <w:tcPr>
            <w:tcW w:w="2220" w:type="dxa"/>
            <w:vAlign w:val="bottom"/>
            <w:shd w:val="clear" w:color="auto" w:fill="CFF0FC"/>
          </w:tcPr>
          <w:p>
            <w:pPr>
              <w:ind w:left="20"/>
              <w:spacing w:after="0" w:line="239" w:lineRule="exact"/>
              <w:rPr>
                <w:sz w:val="20"/>
                <w:szCs w:val="20"/>
                <w:color w:val="auto"/>
              </w:rPr>
            </w:pPr>
            <w:r>
              <w:rPr>
                <w:rFonts w:ascii="Calibri" w:cs="Calibri" w:eastAsia="Calibri" w:hAnsi="Calibri"/>
                <w:sz w:val="20"/>
                <w:szCs w:val="20"/>
                <w:color w:val="auto"/>
              </w:rPr>
              <w:t>Andy (Kuo-Ting) Tsong</w:t>
            </w:r>
          </w:p>
        </w:tc>
        <w:tc>
          <w:tcPr>
            <w:tcW w:w="840" w:type="dxa"/>
            <w:vAlign w:val="bottom"/>
            <w:shd w:val="clear" w:color="auto" w:fill="CFF0FC"/>
          </w:tcPr>
          <w:p>
            <w:pPr>
              <w:jc w:val="center"/>
              <w:ind w:left="101"/>
              <w:spacing w:after="0" w:line="239" w:lineRule="exact"/>
              <w:rPr>
                <w:sz w:val="20"/>
                <w:szCs w:val="20"/>
                <w:color w:val="auto"/>
              </w:rPr>
            </w:pPr>
            <w:r>
              <w:rPr>
                <w:rFonts w:ascii="Calibri" w:cs="Calibri" w:eastAsia="Calibri" w:hAnsi="Calibri"/>
                <w:sz w:val="20"/>
                <w:szCs w:val="20"/>
                <w:color w:val="auto"/>
                <w:w w:val="98"/>
              </w:rPr>
              <w:t>57</w:t>
            </w:r>
          </w:p>
        </w:tc>
        <w:tc>
          <w:tcPr>
            <w:tcW w:w="8180" w:type="dxa"/>
            <w:vAlign w:val="bottom"/>
            <w:shd w:val="clear" w:color="auto" w:fill="CFF0FC"/>
          </w:tcPr>
          <w:p>
            <w:pPr>
              <w:ind w:left="160"/>
              <w:spacing w:after="0" w:line="239" w:lineRule="exact"/>
              <w:rPr>
                <w:sz w:val="20"/>
                <w:szCs w:val="20"/>
                <w:color w:val="auto"/>
              </w:rPr>
            </w:pPr>
            <w:r>
              <w:rPr>
                <w:rFonts w:ascii="Calibri" w:cs="Calibri" w:eastAsia="Calibri" w:hAnsi="Calibri"/>
                <w:sz w:val="20"/>
                <w:szCs w:val="20"/>
                <w:color w:val="auto"/>
              </w:rPr>
              <w:t>Senior Vice President, Worldwide Analog Products</w:t>
            </w:r>
          </w:p>
        </w:tc>
      </w:tr>
      <w:tr>
        <w:trPr>
          <w:trHeight w:val="239"/>
        </w:trPr>
        <w:tc>
          <w:tcPr>
            <w:tcW w:w="2220" w:type="dxa"/>
            <w:vAlign w:val="bottom"/>
          </w:tcPr>
          <w:p>
            <w:pPr>
              <w:ind w:left="20"/>
              <w:spacing w:after="0" w:line="234" w:lineRule="exact"/>
              <w:rPr>
                <w:sz w:val="20"/>
                <w:szCs w:val="20"/>
                <w:color w:val="auto"/>
              </w:rPr>
            </w:pPr>
            <w:r>
              <w:rPr>
                <w:rFonts w:ascii="Calibri" w:cs="Calibri" w:eastAsia="Calibri" w:hAnsi="Calibri"/>
                <w:sz w:val="20"/>
                <w:szCs w:val="20"/>
                <w:color w:val="auto"/>
              </w:rPr>
              <w:t>Richard D. White</w:t>
            </w:r>
          </w:p>
        </w:tc>
        <w:tc>
          <w:tcPr>
            <w:tcW w:w="840" w:type="dxa"/>
            <w:vAlign w:val="bottom"/>
          </w:tcPr>
          <w:p>
            <w:pPr>
              <w:jc w:val="center"/>
              <w:ind w:left="101"/>
              <w:spacing w:after="0" w:line="234" w:lineRule="exact"/>
              <w:rPr>
                <w:sz w:val="20"/>
                <w:szCs w:val="20"/>
                <w:color w:val="auto"/>
              </w:rPr>
            </w:pPr>
            <w:r>
              <w:rPr>
                <w:rFonts w:ascii="Calibri" w:cs="Calibri" w:eastAsia="Calibri" w:hAnsi="Calibri"/>
                <w:sz w:val="20"/>
                <w:szCs w:val="20"/>
                <w:color w:val="auto"/>
                <w:w w:val="98"/>
              </w:rPr>
              <w:t>77</w:t>
            </w:r>
          </w:p>
        </w:tc>
        <w:tc>
          <w:tcPr>
            <w:tcW w:w="8180" w:type="dxa"/>
            <w:vAlign w:val="bottom"/>
          </w:tcPr>
          <w:p>
            <w:pPr>
              <w:ind w:left="160"/>
              <w:spacing w:after="0" w:line="234" w:lineRule="exact"/>
              <w:rPr>
                <w:sz w:val="20"/>
                <w:szCs w:val="20"/>
                <w:color w:val="auto"/>
              </w:rPr>
            </w:pPr>
            <w:r>
              <w:rPr>
                <w:rFonts w:ascii="Calibri" w:cs="Calibri" w:eastAsia="Calibri" w:hAnsi="Calibri"/>
                <w:sz w:val="20"/>
                <w:szCs w:val="20"/>
                <w:color w:val="auto"/>
              </w:rPr>
              <w:t>Corporate Secretary and Special Assistant to the Chief Executve Ofcer</w:t>
            </w:r>
          </w:p>
        </w:tc>
      </w:tr>
      <w:tr>
        <w:trPr>
          <w:trHeight w:val="247"/>
        </w:trPr>
        <w:tc>
          <w:tcPr>
            <w:tcW w:w="2220" w:type="dxa"/>
            <w:vAlign w:val="bottom"/>
            <w:shd w:val="clear" w:color="auto" w:fill="CFF0FC"/>
          </w:tcPr>
          <w:p>
            <w:pPr>
              <w:ind w:left="20"/>
              <w:spacing w:after="0" w:line="239" w:lineRule="exact"/>
              <w:rPr>
                <w:sz w:val="20"/>
                <w:szCs w:val="20"/>
                <w:color w:val="auto"/>
              </w:rPr>
            </w:pPr>
            <w:r>
              <w:rPr>
                <w:rFonts w:ascii="Calibri" w:cs="Calibri" w:eastAsia="Calibri" w:hAnsi="Calibri"/>
                <w:sz w:val="20"/>
                <w:szCs w:val="20"/>
                <w:color w:val="auto"/>
              </w:rPr>
              <w:t>Emily Yang</w:t>
            </w:r>
          </w:p>
        </w:tc>
        <w:tc>
          <w:tcPr>
            <w:tcW w:w="840" w:type="dxa"/>
            <w:vAlign w:val="bottom"/>
            <w:shd w:val="clear" w:color="auto" w:fill="CFF0FC"/>
          </w:tcPr>
          <w:p>
            <w:pPr>
              <w:jc w:val="center"/>
              <w:ind w:left="101"/>
              <w:spacing w:after="0" w:line="239" w:lineRule="exact"/>
              <w:rPr>
                <w:sz w:val="20"/>
                <w:szCs w:val="20"/>
                <w:color w:val="auto"/>
              </w:rPr>
            </w:pPr>
            <w:r>
              <w:rPr>
                <w:rFonts w:ascii="Calibri" w:cs="Calibri" w:eastAsia="Calibri" w:hAnsi="Calibri"/>
                <w:sz w:val="20"/>
                <w:szCs w:val="20"/>
                <w:color w:val="auto"/>
                <w:w w:val="98"/>
              </w:rPr>
              <w:t>56</w:t>
            </w:r>
          </w:p>
        </w:tc>
        <w:tc>
          <w:tcPr>
            <w:tcW w:w="8180" w:type="dxa"/>
            <w:vAlign w:val="bottom"/>
            <w:shd w:val="clear" w:color="auto" w:fill="CFF0FC"/>
          </w:tcPr>
          <w:p>
            <w:pPr>
              <w:ind w:left="160"/>
              <w:spacing w:after="0" w:line="239" w:lineRule="exact"/>
              <w:rPr>
                <w:sz w:val="20"/>
                <w:szCs w:val="20"/>
                <w:color w:val="auto"/>
              </w:rPr>
            </w:pPr>
            <w:r>
              <w:rPr>
                <w:rFonts w:ascii="Calibri" w:cs="Calibri" w:eastAsia="Calibri" w:hAnsi="Calibri"/>
                <w:sz w:val="20"/>
                <w:szCs w:val="20"/>
                <w:color w:val="auto"/>
              </w:rPr>
              <w:t>Senior Vice President, Worldwide Sales and Marketng</w:t>
            </w:r>
          </w:p>
        </w:tc>
      </w:tr>
      <w:tr>
        <w:trPr>
          <w:trHeight w:val="234"/>
        </w:trPr>
        <w:tc>
          <w:tcPr>
            <w:tcW w:w="2220" w:type="dxa"/>
            <w:vAlign w:val="bottom"/>
          </w:tcPr>
          <w:p>
            <w:pPr>
              <w:ind w:left="20"/>
              <w:spacing w:after="0" w:line="234" w:lineRule="exact"/>
              <w:rPr>
                <w:sz w:val="20"/>
                <w:szCs w:val="20"/>
                <w:color w:val="auto"/>
              </w:rPr>
            </w:pPr>
            <w:r>
              <w:rPr>
                <w:rFonts w:ascii="Calibri" w:cs="Calibri" w:eastAsia="Calibri" w:hAnsi="Calibri"/>
                <w:sz w:val="20"/>
                <w:szCs w:val="20"/>
                <w:color w:val="auto"/>
              </w:rPr>
              <w:t>Jin Zhao</w:t>
            </w:r>
          </w:p>
        </w:tc>
        <w:tc>
          <w:tcPr>
            <w:tcW w:w="840" w:type="dxa"/>
            <w:vAlign w:val="bottom"/>
          </w:tcPr>
          <w:p>
            <w:pPr>
              <w:jc w:val="center"/>
              <w:ind w:left="101"/>
              <w:spacing w:after="0" w:line="234" w:lineRule="exact"/>
              <w:rPr>
                <w:sz w:val="20"/>
                <w:szCs w:val="20"/>
                <w:color w:val="auto"/>
              </w:rPr>
            </w:pPr>
            <w:r>
              <w:rPr>
                <w:rFonts w:ascii="Calibri" w:cs="Calibri" w:eastAsia="Calibri" w:hAnsi="Calibri"/>
                <w:sz w:val="20"/>
                <w:szCs w:val="20"/>
                <w:color w:val="auto"/>
                <w:w w:val="98"/>
              </w:rPr>
              <w:t>56</w:t>
            </w:r>
          </w:p>
        </w:tc>
        <w:tc>
          <w:tcPr>
            <w:tcW w:w="8180" w:type="dxa"/>
            <w:vAlign w:val="bottom"/>
          </w:tcPr>
          <w:p>
            <w:pPr>
              <w:ind w:left="160"/>
              <w:spacing w:after="0" w:line="234" w:lineRule="exact"/>
              <w:rPr>
                <w:sz w:val="20"/>
                <w:szCs w:val="20"/>
                <w:color w:val="auto"/>
              </w:rPr>
            </w:pPr>
            <w:r>
              <w:rPr>
                <w:rFonts w:ascii="Calibri" w:cs="Calibri" w:eastAsia="Calibri" w:hAnsi="Calibri"/>
                <w:sz w:val="20"/>
                <w:szCs w:val="20"/>
                <w:color w:val="auto"/>
              </w:rPr>
              <w:t>President, Asia Pacifc Region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-1271270</wp:posOffset>
            </wp:positionV>
            <wp:extent cx="7132320"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30" w:lineRule="auto"/>
        <w:rPr>
          <w:sz w:val="20"/>
          <w:szCs w:val="20"/>
          <w:color w:val="auto"/>
        </w:rPr>
      </w:pPr>
      <w:r>
        <w:rPr>
          <w:rFonts w:ascii="Calibri" w:cs="Calibri" w:eastAsia="Calibri" w:hAnsi="Calibri"/>
          <w:sz w:val="14"/>
          <w:szCs w:val="14"/>
          <w:color w:val="auto"/>
        </w:rPr>
        <w:t>(1) See “Proposal One - Electon of Directors” for biographical informaton regarding Dr. Keh-Shew Lu and Mr. Gary Yu.</w:t>
      </w:r>
    </w:p>
    <w:p>
      <w:pPr>
        <w:spacing w:after="0" w:line="9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Bret R. Whitmire </w:t>
      </w:r>
      <w:r>
        <w:rPr>
          <w:rFonts w:ascii="Calibri" w:cs="Calibri" w:eastAsia="Calibri" w:hAnsi="Calibri"/>
          <w:sz w:val="20"/>
          <w:szCs w:val="20"/>
          <w:i w:val="1"/>
          <w:iCs w:val="1"/>
          <w:color w:val="auto"/>
        </w:rPr>
        <w:t>Chief Financial Ofcer</w:t>
      </w:r>
    </w:p>
    <w:p>
      <w:pPr>
        <w:spacing w:after="0" w:line="9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Mr. Whitmire assumed his current positon as the Company’s Chief Financial Ofcer in March 2019. He has 35 years of industry experience and has been with the Company for over 14 years. Prior to being named CFO, he served as the Corporate Controller and Principal Accountng Ofcer of the Company, and previously served as the Director of Global Supply Chain. Mr. Whitmire worked at Freescale Semiconductor as Chief Financial Ofcer for the Analog &amp; Sensors Division. He began his career at Texas Instruments in a variety of fnance and operatons leadership positons including seven years as Vice President while serving as the fnance and operatons executve for the High Volume Analog &amp; Logic Division and the corporate supply chain head. Mr. Whitmire holds both a bachelor's degree in Mechanical Engineering and an MBA from The University of Texas at Austn.</w:t>
      </w:r>
    </w:p>
    <w:p>
      <w:pPr>
        <w:spacing w:after="0" w:line="8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Francis Tang </w:t>
      </w:r>
      <w:r>
        <w:rPr>
          <w:rFonts w:ascii="Calibri" w:cs="Calibri" w:eastAsia="Calibri" w:hAnsi="Calibri"/>
          <w:sz w:val="20"/>
          <w:szCs w:val="20"/>
          <w:i w:val="1"/>
          <w:iCs w:val="1"/>
          <w:color w:val="auto"/>
        </w:rPr>
        <w:t>Senior Vice President, Worldwide Discrete Products</w:t>
      </w:r>
    </w:p>
    <w:p>
      <w:pPr>
        <w:spacing w:after="0" w:line="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Mr. Tang was appointed Vice President, Worldwide Discrete Products in 2006 and Senior Vice President in November 2020. He previously served as the Company’s Global Product Manager since 2005. From 2002 untl joining the Company, Mr. Tang served as general manager of T2 Microelectronics in Shanghai, China where he managed complex mixed-signal SOC product development. From 1996 to 2001, Mr. Tang was the senior strategic marketng director for Acer Labs, Inc. USA, and prior to that, he was employed by Natonal Semiconductor for 17 years, where he held various management positons in analog and mixed-signal circuit design, applicatons and strategic marketng. Mr. Tang holds a master’s degree in Electrical Engineering from University of Missouri – Rolla.</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Andy (Kuo-Ting) Tsong </w:t>
      </w:r>
      <w:r>
        <w:rPr>
          <w:rFonts w:ascii="Calibri" w:cs="Calibri" w:eastAsia="Calibri" w:hAnsi="Calibri"/>
          <w:sz w:val="20"/>
          <w:szCs w:val="20"/>
          <w:i w:val="1"/>
          <w:iCs w:val="1"/>
          <w:color w:val="auto"/>
        </w:rPr>
        <w:t>Senior Vice President, Worldwide Analog Products</w:t>
      </w:r>
    </w:p>
    <w:p>
      <w:pPr>
        <w:spacing w:after="0" w:line="9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Mr. Tsong joined the Company in 2009 as Worldwide Design Engineering Manager for the Analog Business Group. In November 2015, he was assigned to lead the newly-acquired worldwide Pericom business, and held the positon of Division Manager for the Precision Timing and Connectvity organizaton within the Analog Business Group. In November 2021, he was appointed as regional President for the Asia Pacifc region with responsibility over non-Make functons. Prior to joining the Company, Mr. Tsong worked for Texas Instruments for over 15 years where he held several key management roles for new product development including System Engineering Manager for High Speed Interface, Senior Design Manager for Mixed Signal IP Development for ASIC, and Design Manager for High Speed SERDES Development. Mr. Tsong received a bachelor’s degree in Electrical Engineering from Natonal Chiao Tung University in Taiwan, and a master’s degree in Electrical Engineering from University of Michigan, Ann Arbor.</w:t>
      </w:r>
    </w:p>
    <w:p>
      <w:pPr>
        <w:spacing w:after="0" w:line="1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Richard D. White </w:t>
      </w:r>
      <w:r>
        <w:rPr>
          <w:rFonts w:ascii="Calibri" w:cs="Calibri" w:eastAsia="Calibri" w:hAnsi="Calibri"/>
          <w:sz w:val="20"/>
          <w:szCs w:val="20"/>
          <w:i w:val="1"/>
          <w:iCs w:val="1"/>
          <w:color w:val="auto"/>
        </w:rPr>
        <w:t>Corporate Secretary and Special Assistant to the Chief Executve Ofcer</w:t>
      </w:r>
    </w:p>
    <w:p>
      <w:pPr>
        <w:spacing w:after="0" w:line="9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Mr. White was appointed as the Company’s Corporate Secretary and Special Assistant to the Chief Executve Ofcer in February 2019. Mr. White had previously served as the Company's Chief Financial Ofcer and Corporate Secretary since 2009. From 2006 to 2009, he served as Senior Vice President, Finance. Mr. White has over 40 years of senior level fnance experience, including 25 years at Texas Instruments, where he served as Vice President of Finance and Producton Planning for MOS memory, Controller for TI’s Asia Pacifc Division in Singapore, and various other fnancial positons in the United States, France and Germany. From 1999 to 2005, he served as the Chief Financial Ofcer for Optsof, Inc., and from 2005</w:t>
      </w:r>
    </w:p>
    <w:p>
      <w:pPr>
        <w:spacing w:after="0" w:line="34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22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jc w:val="both"/>
        <w:spacing w:after="0" w:line="234" w:lineRule="auto"/>
        <w:rPr>
          <w:sz w:val="20"/>
          <w:szCs w:val="20"/>
          <w:color w:val="auto"/>
        </w:rPr>
      </w:pPr>
      <w:r>
        <w:rPr>
          <w:rFonts w:ascii="Calibri" w:cs="Calibri" w:eastAsia="Calibri" w:hAnsi="Calibri"/>
          <w:sz w:val="20"/>
          <w:szCs w:val="20"/>
          <w:color w:val="auto"/>
        </w:rPr>
        <w:t>to 2006, he served as a Partner of Tatum, LLC. Mr. White, a licensed certfed public accountant, holds a Bachelor’s degree in Electrical Engineering from Oklahoma State University and an MBA from the University of Michigan.</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Emily Yang </w:t>
      </w:r>
      <w:r>
        <w:rPr>
          <w:rFonts w:ascii="Calibri" w:cs="Calibri" w:eastAsia="Calibri" w:hAnsi="Calibri"/>
          <w:sz w:val="20"/>
          <w:szCs w:val="20"/>
          <w:i w:val="1"/>
          <w:iCs w:val="1"/>
          <w:color w:val="auto"/>
        </w:rPr>
        <w:t>Senior Vice President, Worldwide Sales and Marketng</w:t>
      </w:r>
    </w:p>
    <w:p>
      <w:pPr>
        <w:spacing w:after="0" w:line="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Ms. Yang was appointed Vice President of Worldwide Sales and Marketng in 2017 and Senior Vice President in November 2020. Ms. Yang has been with the Company since the acquisiton of Pericom in 2015, where she was Vice President of Global Sales. Prior to that, she held a number of sales management positons with Pericom since 1998, including: VP of Sales, NAEU, Contract Manufacturing Sales Director, Western Regional Sales Director, and Strategic Account Sales Director covering Asia, North America, and Europe. Ms. Yang holds a bachelor’s degree in Economics from the University of Toronto.</w:t>
      </w:r>
    </w:p>
    <w:p>
      <w:pPr>
        <w:spacing w:after="0" w:line="8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Jin Zhao </w:t>
      </w:r>
      <w:r>
        <w:rPr>
          <w:rFonts w:ascii="Calibri" w:cs="Calibri" w:eastAsia="Calibri" w:hAnsi="Calibri"/>
          <w:sz w:val="20"/>
          <w:szCs w:val="20"/>
          <w:i w:val="1"/>
          <w:iCs w:val="1"/>
          <w:color w:val="auto"/>
        </w:rPr>
        <w:t>President, Asia Pacifc Region</w:t>
      </w:r>
    </w:p>
    <w:p>
      <w:pPr>
        <w:spacing w:after="0" w:line="9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Dr. Jin Zhao was appointed to manage the Analog Business Group in November 2020, having previously served as manager of the Company’s Linear, Logic and Power Product Division, within the Analog Business Group. Before joining the Company in 2017, Dr. Zhao had held Vice President and General Manager roles at NXP and Fairchild Semiconductor, respectvely. In these positons, he had been responsible for managing various product lines, including analog interface ICs and high voltage discrete products. Prior to this, Dr. Zhao was employed by Texas Instruments, where he managed the integrated PMIC and over-voltage protecton product lines. He also previously worked at AMD’s fab in Austn, Texas. Dr. Zhao holds a Ph.D. in Chemistry from the State University of New York (in Bufalo) and an MBA from the University of Texas (in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auto"/>
        </w:rPr>
        <w:t>The Report of the Audit Commitee of the Board does not consttute solicitng material and shall not be deemed incorporated by reference by any general statement incorporatng by reference this Proxy Statement into any fling under the Securites Act of 1933 or under the Securites Exchange Act of 1934, except to the extent that the Company specifcally incorporates this informaton by reference, and shall not otherwise be deemed fled under such Acts.</w:t>
      </w:r>
    </w:p>
    <w:p>
      <w:pPr>
        <w:spacing w:after="0" w:line="157" w:lineRule="exact"/>
        <w:rPr>
          <w:sz w:val="20"/>
          <w:szCs w:val="20"/>
          <w:color w:val="auto"/>
        </w:rPr>
      </w:pPr>
    </w:p>
    <w:p>
      <w:pPr>
        <w:jc w:val="center"/>
        <w:ind w:right="60"/>
        <w:spacing w:after="0"/>
        <w:rPr>
          <w:sz w:val="20"/>
          <w:szCs w:val="20"/>
          <w:color w:val="auto"/>
        </w:rPr>
      </w:pPr>
      <w:r>
        <w:rPr>
          <w:rFonts w:ascii="Calibri" w:cs="Calibri" w:eastAsia="Calibri" w:hAnsi="Calibri"/>
          <w:sz w:val="25"/>
          <w:szCs w:val="25"/>
          <w:b w:val="1"/>
          <w:bCs w:val="1"/>
          <w:color w:val="005CA9"/>
        </w:rPr>
        <w:t>AUDIT COMMITTEE REPORT</w:t>
      </w:r>
    </w:p>
    <w:p>
      <w:pPr>
        <w:spacing w:after="0" w:line="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Board maintains an Audit Commitee composed of three of the Company’s directors, Elizabeth Bull (Chair), Robert E. Feiger, and Christna Wen-Chi Sung. Each member of the Audit Commitee meets the independence and experience requirements of Nasdaq and the independence requirements of the SEC. Ms. Bull qualifes as an “audit commitee fnancial expert” as defned under the rules of the SEC. The Audit Commitee assists the Board in monitoring the accountng, auditng and fnancial reportng practces of the Company. Ms. Sung will cease to serve on the Audit Commitee upon her retrement from the Board at the Meetng. The Board will name Ms. Sung's replacement to the Audit Commitee promptly following the Meetng.</w:t>
      </w:r>
    </w:p>
    <w:p>
      <w:pPr>
        <w:spacing w:after="0" w:line="120"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Management is responsible for the preparaton of the Company’s fnancial statements and fnancial reportng process, including evaluatng the efectveness of its system of internal controls. In fulflling its oversight responsibilites, the Audit Commitee:</w:t>
      </w:r>
    </w:p>
    <w:p>
      <w:pPr>
        <w:spacing w:after="0" w:line="131" w:lineRule="exact"/>
        <w:rPr>
          <w:sz w:val="20"/>
          <w:szCs w:val="20"/>
          <w:color w:val="auto"/>
        </w:rPr>
      </w:pPr>
    </w:p>
    <w:p>
      <w:pPr>
        <w:ind w:left="1020" w:hanging="503"/>
        <w:spacing w:after="0" w:line="234" w:lineRule="auto"/>
        <w:tabs>
          <w:tab w:leader="none" w:pos="1020" w:val="left"/>
        </w:tabs>
        <w:numPr>
          <w:ilvl w:val="0"/>
          <w:numId w:val="18"/>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reviewed and discussed with management the audited fnancial statements contained in the Company’s Annual Report on Form 10-K for fscal 2024; and</w:t>
      </w:r>
    </w:p>
    <w:p>
      <w:pPr>
        <w:spacing w:after="0" w:line="131"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18"/>
        </w:numPr>
        <w:rPr>
          <w:rFonts w:ascii="Times New Roman" w:cs="Times New Roman" w:eastAsia="Times New Roman" w:hAnsi="Times New Roman"/>
          <w:sz w:val="20"/>
          <w:szCs w:val="20"/>
          <w:color w:val="auto"/>
        </w:rPr>
      </w:pPr>
      <w:r>
        <w:rPr>
          <w:rFonts w:ascii="Calibri" w:cs="Calibri" w:eastAsia="Calibri" w:hAnsi="Calibri"/>
          <w:sz w:val="20"/>
          <w:szCs w:val="20"/>
          <w:color w:val="auto"/>
        </w:rPr>
        <w:t>obtained from management their representaton that the Company’s fnancial statements have been prepared in accordance with accountng principles generally accepted in the United States.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independent registered public accountng frm is responsible for performing an audit of the Company’s fnancial statements in accordance with the auditng standards of the Public Company Accountng Oversight Board and expressing an opinion on whether the Company’s fnancial statements present fairly, in all material respects, the Company’s fnancial positon and results of operatons for the periods presented and conform with accountng principles generally accepted</w:t>
      </w: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23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6" w:name="page27"/>
    <w:bookmarkEnd w:id="26"/>
    <w:p>
      <w:pPr>
        <w:ind w:right="20"/>
        <w:spacing w:after="0" w:line="234" w:lineRule="auto"/>
        <w:rPr>
          <w:sz w:val="20"/>
          <w:szCs w:val="20"/>
          <w:color w:val="auto"/>
        </w:rPr>
      </w:pPr>
      <w:r>
        <w:rPr>
          <w:rFonts w:ascii="Calibri" w:cs="Calibri" w:eastAsia="Calibri" w:hAnsi="Calibri"/>
          <w:sz w:val="20"/>
          <w:szCs w:val="20"/>
          <w:color w:val="auto"/>
        </w:rPr>
        <w:t>in the United States and the efectveness of the Company’s internal control over fnancial reportng. In fulflling its oversight responsibilites, the Audit Commitee:</w:t>
      </w:r>
    </w:p>
    <w:p>
      <w:pPr>
        <w:spacing w:after="0" w:line="131" w:lineRule="exact"/>
        <w:rPr>
          <w:sz w:val="20"/>
          <w:szCs w:val="20"/>
          <w:color w:val="auto"/>
        </w:rPr>
      </w:pPr>
    </w:p>
    <w:p>
      <w:pPr>
        <w:ind w:left="1020" w:right="20" w:hanging="503"/>
        <w:spacing w:after="0" w:line="234" w:lineRule="auto"/>
        <w:tabs>
          <w:tab w:leader="none" w:pos="102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discussed with the independent registered public accountng frm the maters required to be discussed by Auditng Standard No. 1301 (“Communicatons with Audit Commitees”);</w:t>
      </w:r>
    </w:p>
    <w:p>
      <w:pPr>
        <w:spacing w:after="0" w:line="131" w:lineRule="exact"/>
        <w:rPr>
          <w:rFonts w:ascii="Times New Roman" w:cs="Times New Roman" w:eastAsia="Times New Roman" w:hAnsi="Times New Roman"/>
          <w:sz w:val="20"/>
          <w:szCs w:val="20"/>
          <w:color w:val="auto"/>
        </w:rPr>
      </w:pPr>
    </w:p>
    <w:p>
      <w:pPr>
        <w:jc w:val="both"/>
        <w:ind w:left="1020" w:hanging="503"/>
        <w:spacing w:after="0" w:line="236" w:lineRule="auto"/>
        <w:tabs>
          <w:tab w:leader="none" w:pos="102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has received the writen disclosures and the leter from the independent registered public accountng frm required by the applicable requirements of the Public Company Accountng Oversight Board, regarding the independent registered public accountng frm’s communicatons with the Audit Commitee concerning independence, and has discussed with Moss Adams LLP the frm’s independence; and;</w:t>
      </w:r>
    </w:p>
    <w:p>
      <w:pPr>
        <w:spacing w:after="0" w:line="133" w:lineRule="exact"/>
        <w:rPr>
          <w:rFonts w:ascii="Times New Roman" w:cs="Times New Roman" w:eastAsia="Times New Roman" w:hAnsi="Times New Roman"/>
          <w:sz w:val="20"/>
          <w:szCs w:val="20"/>
          <w:color w:val="auto"/>
        </w:rPr>
      </w:pPr>
    </w:p>
    <w:p>
      <w:pPr>
        <w:jc w:val="both"/>
        <w:ind w:left="1020" w:hanging="503"/>
        <w:spacing w:after="0"/>
        <w:tabs>
          <w:tab w:leader="none" w:pos="102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reviewed and discussed with management, the internal auditor, and the independent registered public accountng frm management’s assessment of the efectveness of the Company’s internal control over fnancial reportng and the independent registered public accountng frm’s opinion about the efectveness of the Company’s internal control over fnancial reportng.</w:t>
      </w:r>
    </w:p>
    <w:p>
      <w:pPr>
        <w:spacing w:after="0" w:line="34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Audit Commitee operates under a writen charter, which was adopted by the Board and is assessed annually for adequacy by the Audit Commitee. The Audit Commitee held seven (7) meetngs during fscal 2024.</w:t>
      </w:r>
    </w:p>
    <w:p>
      <w:pPr>
        <w:spacing w:after="0" w:line="118"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In performing its functons, the Audit Commitee acts only in an oversight capacity. It is not the responsibility of the Audit Commitee to determine that the Company’s fnancial statements are complete and accurate, are presented in accordance with accountng principles generally accepted in the United States, or present fairly the results of operatons of the Company for the periods presented, or that the Company maintains appropriate internal controls. Nor is it the duty of the Audit Commitee to determine that the audit of the Company’s fnancial statements has been carried out in accordance with the generally accepted auditng standards of the Public Company Accountng Oversight Board (United States) or that the Company’s auditors are independent. Based upon the reviews and discussions described above, and the report of the independent registered public accountng frm, the Audit Commitee has recommended to the Board, and the Board has approved, that the audited fnancial statements be included in the Company’s Annual Report on Form 10-K for the fscal year ended December 31, 2024 for fling with the SEC. The Audit Commitee also has recommended, and the Board also has approved, the selecton of Moss Adams LLP as the Company’s independent registered public accountng frm for the fscal year ending December 31, 2025.</w:t>
      </w:r>
    </w:p>
    <w:p>
      <w:pPr>
        <w:spacing w:after="0" w:line="397" w:lineRule="exact"/>
        <w:rPr>
          <w:sz w:val="20"/>
          <w:szCs w:val="20"/>
          <w:color w:val="auto"/>
        </w:rPr>
      </w:pPr>
    </w:p>
    <w:p>
      <w:pPr>
        <w:ind w:left="3360"/>
        <w:spacing w:after="0"/>
        <w:rPr>
          <w:sz w:val="20"/>
          <w:szCs w:val="20"/>
          <w:color w:val="auto"/>
        </w:rPr>
      </w:pPr>
      <w:r>
        <w:rPr>
          <w:rFonts w:ascii="Calibri" w:cs="Calibri" w:eastAsia="Calibri" w:hAnsi="Calibri"/>
          <w:sz w:val="20"/>
          <w:szCs w:val="20"/>
          <w:color w:val="auto"/>
        </w:rPr>
        <w:t>THE AUDIT COMMITTEE</w:t>
      </w:r>
    </w:p>
    <w:p>
      <w:pPr>
        <w:ind w:left="3360"/>
        <w:spacing w:after="0" w:line="238" w:lineRule="auto"/>
        <w:rPr>
          <w:sz w:val="20"/>
          <w:szCs w:val="20"/>
          <w:color w:val="auto"/>
        </w:rPr>
      </w:pPr>
      <w:r>
        <w:rPr>
          <w:rFonts w:ascii="Calibri" w:cs="Calibri" w:eastAsia="Calibri" w:hAnsi="Calibri"/>
          <w:sz w:val="20"/>
          <w:szCs w:val="20"/>
          <w:color w:val="auto"/>
        </w:rPr>
        <w:t>Elizabeth Bull, Chair</w:t>
      </w:r>
    </w:p>
    <w:p>
      <w:pPr>
        <w:ind w:left="3360"/>
        <w:spacing w:after="0"/>
        <w:rPr>
          <w:sz w:val="20"/>
          <w:szCs w:val="20"/>
          <w:color w:val="auto"/>
        </w:rPr>
      </w:pPr>
      <w:r>
        <w:rPr>
          <w:rFonts w:ascii="Calibri" w:cs="Calibri" w:eastAsia="Calibri" w:hAnsi="Calibri"/>
          <w:sz w:val="20"/>
          <w:szCs w:val="20"/>
          <w:color w:val="auto"/>
        </w:rPr>
        <w:t>Robert E. Feiger</w:t>
      </w:r>
    </w:p>
    <w:p>
      <w:pPr>
        <w:ind w:left="3360"/>
        <w:spacing w:after="0" w:line="238" w:lineRule="auto"/>
        <w:rPr>
          <w:sz w:val="20"/>
          <w:szCs w:val="20"/>
          <w:color w:val="auto"/>
        </w:rPr>
      </w:pPr>
      <w:r>
        <w:rPr>
          <w:rFonts w:ascii="Calibri" w:cs="Calibri" w:eastAsia="Calibri" w:hAnsi="Calibri"/>
          <w:sz w:val="20"/>
          <w:szCs w:val="20"/>
          <w:color w:val="auto"/>
        </w:rPr>
        <w:t>Christna Wen-Chi Sung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24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7" w:name="page28"/>
    <w:bookmarkEnd w:id="27"/>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CODE OF ETHICS</w:t>
      </w:r>
    </w:p>
    <w:p>
      <w:pPr>
        <w:spacing w:after="0" w:line="3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has adopted a Code of Ethics applicable to the principal executve ofcer, principal fnancial ofcer, principal accountng ofcer, or persons performing similar functons, and all members of the fnance department of the Company. The Code of Ethics is available on the Company’s website at www.diodes.com, in the “Investors – Corporate Governance” secton. The Company intends to disclose future amendments to, or waivers from, certain provisions of the Code of Ethics on the Company’s website within four business days following the date of such amendment or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-757555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CERTAIN RELATIONSHIPS AND RELATED PERSON TRANSACTIONS</w:t>
      </w:r>
    </w:p>
    <w:p>
      <w:pPr>
        <w:spacing w:after="0" w:line="3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Policy Regarding Related Person Transactons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Audit Commitee has adopted a writen policy (the “Policy”) to review any transacton in which the Company was, or is to be, a partcipant and in which any director, executve ofcer, or benefcial owner of more than fve percent (5%) of the outstanding shares of Common Stock of the Company, or any immediate family member of any such person, has a direct or indirect material interest (a “related person transacton”). The Policy requires the following:</w:t>
      </w:r>
    </w:p>
    <w:p>
      <w:pPr>
        <w:spacing w:after="0" w:line="133" w:lineRule="exact"/>
        <w:rPr>
          <w:sz w:val="20"/>
          <w:szCs w:val="20"/>
          <w:color w:val="auto"/>
        </w:rPr>
      </w:pPr>
    </w:p>
    <w:p>
      <w:pPr>
        <w:ind w:left="1020" w:right="20" w:hanging="503"/>
        <w:spacing w:after="0" w:line="234" w:lineRule="auto"/>
        <w:tabs>
          <w:tab w:leader="none" w:pos="102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Audit Commitee shall review, as needed, any agreements or arrangements relatng to a related person transacton or series of related person transactons;</w:t>
      </w:r>
    </w:p>
    <w:p>
      <w:pPr>
        <w:spacing w:after="0" w:line="131"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Audit Commitee shall determine whether the transactons covered by such agreements or arrangements are on terms no less favorable to the Company than could be obtained from an unrelated third party (“fair to the Company”);</w:t>
      </w:r>
    </w:p>
    <w:p>
      <w:pPr>
        <w:spacing w:after="0" w:line="131" w:lineRule="exact"/>
        <w:rPr>
          <w:rFonts w:ascii="Times New Roman" w:cs="Times New Roman" w:eastAsia="Times New Roman" w:hAnsi="Times New Roman"/>
          <w:sz w:val="20"/>
          <w:szCs w:val="20"/>
          <w:color w:val="auto"/>
        </w:rPr>
      </w:pPr>
    </w:p>
    <w:p>
      <w:pPr>
        <w:jc w:val="both"/>
        <w:ind w:left="1020" w:hanging="503"/>
        <w:spacing w:after="0"/>
        <w:tabs>
          <w:tab w:leader="none" w:pos="102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on an ongoing basis, the Company’s internal audit department shall report to the Audit Commitee whether the transactons covered by such agreement or arrangement are fair to the Company under the standards established by the Audit Commitee;</w:t>
      </w:r>
    </w:p>
    <w:p>
      <w:pPr>
        <w:spacing w:after="0" w:line="362"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Audit Commitee shall make all reasonable eforts (taking into account the cost thereof to the Company) to cancel or to renegotate any such agreement or arrangement which is not so determined to be fair to the Company; and</w:t>
      </w:r>
    </w:p>
    <w:p>
      <w:pPr>
        <w:spacing w:after="0" w:line="131"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Company shall disclose any related person transactons required to be disclosed by the rules promulgated by the SEC, in the manner so required.</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Relatonships and Transactons</w:t>
      </w:r>
    </w:p>
    <w:p>
      <w:pPr>
        <w:spacing w:after="0" w:line="113"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The Audit Commitee reviews all related person transactons for potental confict of interest situatons on an ongoing basis, in accordance with such procedures as the Audit Commitee may adopt from tme to tme. We believe that all related person transactons are on terms no less favorable to us than could be obtained from unafliated third partes.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We conduct business with the following related partes: Keylink Internatonal (B.V.I.) Inc. and its subsidiaries and afliates (“Keylink”), Nuvoton Technology Corporaton (“Nuvoton”), Jiyuan Crystal Photoelectric Frequency Technology Ltd. (“JCP”), and Atlas Magnetcs, Co ("Atlas").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Keylink is our 5% joint venture partner in our Shanghai assembly and test facilites. We sell products to, and purchase inventory from, companies owned by Keylink. We sold products to companies owned by Keylink, totaling approximately $3.5 million and $12.6 million for the 12 month periods ended December 31, 2024 and 2023, respectvely. In additon, our subsidiaries in China lease their manufacturing facilites in Shanghai from, and subcontract a porton of our manufacturing process (metal platng and environmental services) to Keylink. We also pay a consultng fee to Keylink. The aggregate amounts paid to Keylink for the 12 month periods ended December 31, 2024 and 2023 were approximately $15.0 million and $16.9 million, respectvely.</w:t>
      </w: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25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8" w:name="page29"/>
    <w:bookmarkEnd w:id="28"/>
    <w:p>
      <w:pPr>
        <w:jc w:val="both"/>
        <w:spacing w:after="0" w:line="237" w:lineRule="auto"/>
        <w:rPr>
          <w:sz w:val="20"/>
          <w:szCs w:val="20"/>
          <w:color w:val="auto"/>
        </w:rPr>
      </w:pPr>
      <w:r>
        <w:rPr>
          <w:rFonts w:ascii="Calibri" w:cs="Calibri" w:eastAsia="Calibri" w:hAnsi="Calibri"/>
          <w:sz w:val="20"/>
          <w:szCs w:val="20"/>
          <w:color w:val="auto"/>
        </w:rPr>
        <w:t>We purchase wafers from Nuvoton for use in our producton process and consider our relatonship with Nuvoton to be mutually benefcial. We plan to contnue our strategic alliance with Nuvoton. We purchased silicon wafers from Nuvoton that we use in the producton of fnished goods, totaling $7.1 million and $10.5 million for the twelve month periods ended December 31, 2024 and 2023, respectvely. We have an agreement to purchase approximately $9.4 million of wafers from Nuvoton through the second quarter of 2027. Warren Chen, a member of the Company's board of directors, serves as a member of the Nuvoton board of directors.</w:t>
      </w:r>
    </w:p>
    <w:p>
      <w:pPr>
        <w:spacing w:after="0" w:line="118"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We also purchase materials from JCP, a frequency control product manufacturing company in which we have made an equity investment and account for using the equity method of accountng, and from Atlas an early stage privately held fabless wafer design company in which the Company holds a majority interest. The Company determined that Atlas is a variable interest entty and the Company does not have the power to direct the actvites that most signifcantly impact Atlas. The Company has therefore determined that the Company is not the primary benefciary. For additonal informaton related to Atlas see Note 19 - Equity Investments - Variable Interest Enttes, in the Company’s Annual Report on Form 10-K fled with the SEC on February 14, 2025 for additonal informaton. below.</w:t>
      </w:r>
    </w:p>
    <w:p>
      <w:pPr>
        <w:spacing w:after="0" w:line="34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See also “Risk Factors – One of our external suppliers is also a related party. The loss of this supplier could harm our business, operatng results and fnancial conditon.” in Part I, Item 1A, and Note 15 - “Related Party Transactons,” in each case, in the Company’s Annual Report on Form 10-K fled with the SEC on February 14, 2024 for additonal informaton.</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Mr. Gary Yu, the Company's President and Director, is married to the niece of Dr. Keh-Shew Lu, the Company's Chairman and Chief Executve Ofcer. Mr. Yu has been an employee since 2008. Details of Mr. Yu’s compensaton are provided below in the Summary Compensaton Table. Kevin Chou is the son-in-law of Dr. Keh-Shew Lu, and is employed by the Company as Vice President of Internal Audit. Mr. Chou has been an employee since 2009. For 2024, Mr. Chou’s total cash compensaton was approximately $374,250, and his total equity compensaton was 1,700 RSUs, which vest in four equal annual installments.</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Mr. Robert E. Feiger, an independent director, and his law frm, Friedman &amp; Feiger, LLP, have provided legal representaton to Dr. Keh-Shew Lu on maters unrelated to Dr. Lu’s services to the Company. In additon, Friedman &amp; Feiger, LLP previously provided legal representaton to the Company from 2007 through March 2020. In connecton with his nominaton to serve as a director, Mr. Feiger has agreed that while serving on the Board, neither Mr. Feiger nor Friedman &amp; Feiger, LLP, will provide legal services to the Company or its directors or employees, including Dr. Lu, without the prior writen approval of the Board, which will allow the Board to consider in advance whether the provision of any requested services would compromise Mr. Feiger’s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Under Secton 16(a) of the Exchange Act, the Company’s directors, executve ofcers, and any persons holding ten percent or more of the Common Stock are required to report their ownership of Common Stock and any changes in that ownership to the SEC and to furnish the Company with copies of such reports.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Specifc due dates for these reports have been established by the SEC, and the Company is required to report any failure to fle on a tmely basis. Based solely upon review of copies of reports fled by the Company’s directors and executve ofcers with the SEC during the most recent fscal year ended December 31, 2024, (i) one Form 4, representng one transacton for Andy Tsong and (ii) one Form 4 representng one transacton for Richard D. White were not fled tmely.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STOCKHOLDERS SHARING THE SAME LAST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To reduce the expense of delivering duplicate proxy materials to stockholders who may have more than one account holding Diodes stock but who share the same address, we have adopted an SEC-approved procedure called “householding.” Under this procedure, certain stockholders of record who have the same address and last name, and who do not partcipate in electronic delivery of proxy materials, will receive a single copy of our Notce of Internet Availability of Proxy Materials and, as applicable, any additonal proxy materials that are delivered untl such tme as one or more of these stockholders notfy us that they want to receive separate copies. This procedure reduces duplicate mailings and saves printng costs and postage fees, as well as natural resources. Stockholders who partcipate in householding will contnue to have access to and utlize separate proxy votng instructons. If you receive a single set of proxy materials as a</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26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9" w:name="page30"/>
    <w:bookmarkEnd w:id="29"/>
    <w:p>
      <w:pPr>
        <w:jc w:val="both"/>
        <w:spacing w:after="0"/>
        <w:rPr>
          <w:sz w:val="20"/>
          <w:szCs w:val="20"/>
          <w:color w:val="auto"/>
        </w:rPr>
      </w:pPr>
      <w:r>
        <w:rPr>
          <w:rFonts w:ascii="Calibri" w:cs="Calibri" w:eastAsia="Calibri" w:hAnsi="Calibri"/>
          <w:sz w:val="20"/>
          <w:szCs w:val="20"/>
          <w:color w:val="auto"/>
        </w:rPr>
        <w:t>result of householding and you would like to have separate copies of our Notce of Internet Availability of Proxy Materials, annual report, or proxy statement mailed to you, please submit a request to the Secretary of the Company at the Company’s ofce at 4949 Hedgcoxe Road, Suite 200, Plano, Texas 75024, and we will promptly send you the requested materials. However, please note that if you want to receive a paper proxy or votng instructon form or other proxy materials for this year’s annual meetng, you will need to follow the instructons included in the Notce of Internet Availability of Proxy Materials that was sent to you. If you are a benefcial stockholder and you share an address with other benefcial stockholders, your broker, bank, or other insttuton is permited to deliver a single copy of the proxy materials and Notce of Internet Availability of Proxy Materials to your address, unless you otherwise request separate copies.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27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0" w:name="page31"/>
    <w:bookmarkEnd w:id="30"/>
    <w:p>
      <w:pPr>
        <w:jc w:val="center"/>
        <w:ind w:right="-19"/>
        <w:spacing w:after="0"/>
        <w:rPr>
          <w:sz w:val="20"/>
          <w:szCs w:val="20"/>
          <w:color w:val="auto"/>
        </w:rPr>
      </w:pPr>
      <w:r>
        <w:rPr>
          <w:rFonts w:ascii="Calibri" w:cs="Calibri" w:eastAsia="Calibri" w:hAnsi="Calibri"/>
          <w:sz w:val="43"/>
          <w:szCs w:val="43"/>
          <w:color w:val="005CA9"/>
        </w:rPr>
        <w:t>PROPOSAL TWO</w:t>
      </w:r>
    </w:p>
    <w:p>
      <w:pPr>
        <w:spacing w:after="0" w:line="83" w:lineRule="exact"/>
        <w:rPr>
          <w:sz w:val="20"/>
          <w:szCs w:val="20"/>
          <w:color w:val="auto"/>
        </w:rPr>
      </w:pPr>
    </w:p>
    <w:p>
      <w:pPr>
        <w:jc w:val="center"/>
        <w:ind w:right="-19"/>
        <w:spacing w:after="0"/>
        <w:rPr>
          <w:sz w:val="20"/>
          <w:szCs w:val="20"/>
          <w:color w:val="auto"/>
        </w:rPr>
      </w:pPr>
      <w:r>
        <w:rPr>
          <w:rFonts w:ascii="Calibri" w:cs="Calibri" w:eastAsia="Calibri" w:hAnsi="Calibri"/>
          <w:sz w:val="43"/>
          <w:szCs w:val="43"/>
          <w:color w:val="005CA9"/>
        </w:rPr>
        <w:t>APPROVAL OF EXECUTIVE COMPENSATION</w:t>
      </w:r>
    </w:p>
    <w:p>
      <w:pPr>
        <w:spacing w:after="0" w:line="13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At the Meetng, the stockholders are being asked to approve the compensaton of the NEOs as disclosed below pursuant to Secton 14A of the Exchange Act (which was added by the Dodd-Frank Wall Street Reform and Consumer Protecton Act) and the other compensaton disclosure rules of the SEC, including the informaton in “Compensaton Discussion and Analysis” and in the Summary Compensaton Table and other related tables and narratve disclosure below in “Executve Compensaton.”</w:t>
      </w:r>
    </w:p>
    <w:p>
      <w:pPr>
        <w:spacing w:after="0" w:line="120"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At the Company’s 2023 annual meetng of the stockholders, the Company’s stockholders voted in favor of providing stockholders an advisory vote on the approval of the compensaton of the Company’s NEOs on an annual basis.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As discussed below, our executve compensaton programs are designed to atract, retain, and motvate executves who are critcal to our long-term growth and proftability. Under these programs, our executves are incentvized to achieve Company performance goals and individual objectves established by the Compensaton Commitee, without encouraging undue or unreasonable risk-taking.</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Compensaton Commitee reviews our executve compensaton programs annually to ensure they align executve compensaton with the interests of our stockholders and current market practces. See “Compensaton Discussion and Analysis” and “Executve Compensaton” for informaton about our executve compensaton programs, including informaton about the fscal 2024 compensaton of the NEOs.</w:t>
      </w:r>
    </w:p>
    <w:p>
      <w:pPr>
        <w:spacing w:after="0" w:line="34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This proposal, commonly known as a “say-on-pay” proposal, gives our stockholders the opportunity to express their views on the compensaton of our NEOs. This vote is not intended to address any specifc item of compensaton, but rather the overall compensaton of our NEOs and the executve compensaton philosophy and decisions described in “Compensaton Discussion and Analysis” and “Executve Compensaton.”</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Approval of the compensaton paid to the NEOs, as disclosed below pursuant to the compensaton disclosure rules of the SEC, requires the afrmatve vote of the holders of a majority of the outstanding shares of the Common Stock present, in person via the Internet or by proxy, and enttled to vote on the proposal at the Meetng.</w:t>
      </w:r>
    </w:p>
    <w:p>
      <w:pPr>
        <w:spacing w:after="0" w:line="117"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This vote is advisory and is not binding on the Company, the Board or the Compensaton Commitee. However, the Board and the Compensaton Commitee value the opinions of our stockholders and will review the result of the vote and take it into consideraton when making future decisions regarding executve compensaton.</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Accordingly, our stockholders are being asked to vote on the following resoluton at the Meetng:</w:t>
      </w:r>
    </w:p>
    <w:p>
      <w:pPr>
        <w:spacing w:after="0" w:line="117" w:lineRule="exact"/>
        <w:rPr>
          <w:sz w:val="20"/>
          <w:szCs w:val="20"/>
          <w:color w:val="auto"/>
        </w:rPr>
      </w:pPr>
    </w:p>
    <w:p>
      <w:pPr>
        <w:jc w:val="both"/>
        <w:ind w:left="300" w:right="300"/>
        <w:spacing w:after="0" w:line="236" w:lineRule="auto"/>
        <w:rPr>
          <w:sz w:val="20"/>
          <w:szCs w:val="20"/>
          <w:color w:val="auto"/>
        </w:rPr>
      </w:pPr>
      <w:r>
        <w:rPr>
          <w:rFonts w:ascii="Calibri" w:cs="Calibri" w:eastAsia="Calibri" w:hAnsi="Calibri"/>
          <w:sz w:val="20"/>
          <w:szCs w:val="20"/>
          <w:color w:val="auto"/>
        </w:rPr>
        <w:t>“RESOLVED, that the compensaton paid to the Company's NEOs, as disclosed in this Proxy Statement pursuant to the SEC’s executve compensaton disclosure rules, including Compensaton Discussion and Analysis, compensaton tables and narratve discussion, is hereby APPROVED.”</w:t>
      </w:r>
    </w:p>
    <w:p>
      <w:pPr>
        <w:spacing w:after="0" w:line="117" w:lineRule="exact"/>
        <w:rPr>
          <w:sz w:val="20"/>
          <w:szCs w:val="20"/>
          <w:color w:val="auto"/>
        </w:rPr>
      </w:pPr>
    </w:p>
    <w:p>
      <w:pPr>
        <w:spacing w:after="0" w:line="234" w:lineRule="auto"/>
        <w:rPr>
          <w:sz w:val="20"/>
          <w:szCs w:val="20"/>
          <w:color w:val="auto"/>
        </w:rPr>
      </w:pPr>
      <w:r>
        <w:rPr>
          <w:rFonts w:ascii="Calibri" w:cs="Calibri" w:eastAsia="Calibri" w:hAnsi="Calibri"/>
          <w:sz w:val="20"/>
          <w:szCs w:val="20"/>
          <w:b w:val="1"/>
          <w:bCs w:val="1"/>
          <w:color w:val="auto"/>
        </w:rPr>
        <w:t>THE BOARD UNANIMOUSLY RECOMMENDS A VOTE “FOR” THE APPROVAL OF THE COMPENSATION OF OUR NEOS AS DISCLOSED IN “COMPENSATION DISCUSSION AND ANALYSIS” AND “EXECUTIVE COMPENSATION.”</w:t>
      </w:r>
    </w:p>
    <w:p>
      <w:pPr>
        <w:spacing w:after="0" w:line="23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28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1" w:name="page32"/>
    <w:bookmarkEnd w:id="31"/>
    <w:p>
      <w:pPr>
        <w:jc w:val="center"/>
        <w:spacing w:after="0"/>
        <w:rPr>
          <w:sz w:val="20"/>
          <w:szCs w:val="20"/>
          <w:color w:val="auto"/>
        </w:rPr>
      </w:pPr>
      <w:r>
        <w:rPr>
          <w:rFonts w:ascii="Calibri" w:cs="Calibri" w:eastAsia="Calibri" w:hAnsi="Calibri"/>
          <w:sz w:val="43"/>
          <w:szCs w:val="43"/>
          <w:color w:val="005CA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INTRODUCTION</w:t>
      </w:r>
    </w:p>
    <w:p>
      <w:pPr>
        <w:spacing w:after="0" w:line="4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This Compensaton Discussion and Analysis (“CD&amp;A”) explains the design and operaton of the Company’s compensaton program for (i) anyone who served during the fscal year as our Chief Executve Ofcer or our Chief Financial Ofcer and (ii) our three other most highly compensated executve ofcers in the fscal year (collectvely,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Calibri" w:cs="Calibri" w:eastAsia="Calibri" w:hAnsi="Calibri"/>
          <w:sz w:val="20"/>
          <w:szCs w:val="20"/>
          <w:color w:val="auto"/>
        </w:rPr>
        <w:t>Our NEOs for fscal 2024 were: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80" w:type="dxa"/>
            <w:vAlign w:val="bottom"/>
            <w:tcBorders>
              <w:top w:val="single" w:sz="8" w:color="005CA9"/>
            </w:tcBorders>
          </w:tcPr>
          <w:p>
            <w:pPr>
              <w:ind w:left="20"/>
              <w:spacing w:after="0"/>
              <w:rPr>
                <w:sz w:val="20"/>
                <w:szCs w:val="20"/>
                <w:color w:val="auto"/>
              </w:rPr>
            </w:pPr>
            <w:r>
              <w:rPr>
                <w:rFonts w:ascii="Calibri" w:cs="Calibri" w:eastAsia="Calibri" w:hAnsi="Calibri"/>
                <w:sz w:val="20"/>
                <w:szCs w:val="20"/>
                <w:b w:val="1"/>
                <w:bCs w:val="1"/>
                <w:color w:val="auto"/>
              </w:rPr>
              <w:t>Name</w:t>
            </w:r>
          </w:p>
        </w:tc>
        <w:tc>
          <w:tcPr>
            <w:tcW w:w="9260" w:type="dxa"/>
            <w:vAlign w:val="bottom"/>
            <w:tcBorders>
              <w:top w:val="single" w:sz="8" w:color="005CA9"/>
            </w:tcBorders>
          </w:tcPr>
          <w:p>
            <w:pPr>
              <w:ind w:left="520"/>
              <w:spacing w:after="0"/>
              <w:rPr>
                <w:sz w:val="20"/>
                <w:szCs w:val="20"/>
                <w:color w:val="auto"/>
              </w:rPr>
            </w:pPr>
            <w:r>
              <w:rPr>
                <w:rFonts w:ascii="Calibri" w:cs="Calibri" w:eastAsia="Calibri" w:hAnsi="Calibri"/>
                <w:sz w:val="20"/>
                <w:szCs w:val="20"/>
                <w:b w:val="1"/>
                <w:bCs w:val="1"/>
                <w:color w:val="auto"/>
              </w:rPr>
              <w:t>Positon with the Company</w:t>
            </w:r>
          </w:p>
        </w:tc>
      </w:tr>
      <w:tr>
        <w:trPr>
          <w:trHeight w:val="72"/>
        </w:trPr>
        <w:tc>
          <w:tcPr>
            <w:tcW w:w="1980" w:type="dxa"/>
            <w:vAlign w:val="bottom"/>
            <w:shd w:val="clear" w:color="auto" w:fill="005CA9"/>
          </w:tcPr>
          <w:p>
            <w:pPr>
              <w:spacing w:after="0"/>
              <w:rPr>
                <w:sz w:val="6"/>
                <w:szCs w:val="6"/>
                <w:color w:val="auto"/>
              </w:rPr>
            </w:pPr>
          </w:p>
        </w:tc>
        <w:tc>
          <w:tcPr>
            <w:tcW w:w="9260" w:type="dxa"/>
            <w:vAlign w:val="bottom"/>
            <w:shd w:val="clear" w:color="auto" w:fill="005CA9"/>
          </w:tcPr>
          <w:p>
            <w:pPr>
              <w:spacing w:after="0"/>
              <w:rPr>
                <w:sz w:val="6"/>
                <w:szCs w:val="6"/>
                <w:color w:val="auto"/>
              </w:rPr>
            </w:pPr>
          </w:p>
        </w:tc>
      </w:tr>
      <w:tr>
        <w:trPr>
          <w:trHeight w:val="243"/>
        </w:trPr>
        <w:tc>
          <w:tcPr>
            <w:tcW w:w="198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Dr. Keh-Shew Lu</w:t>
            </w:r>
          </w:p>
        </w:tc>
        <w:tc>
          <w:tcPr>
            <w:tcW w:w="9260" w:type="dxa"/>
            <w:vAlign w:val="bottom"/>
            <w:shd w:val="clear" w:color="auto" w:fill="CFF0FC"/>
          </w:tcPr>
          <w:p>
            <w:pPr>
              <w:ind w:left="520"/>
              <w:spacing w:after="0" w:line="234" w:lineRule="exact"/>
              <w:rPr>
                <w:sz w:val="20"/>
                <w:szCs w:val="20"/>
                <w:color w:val="auto"/>
              </w:rPr>
            </w:pPr>
            <w:r>
              <w:rPr>
                <w:rFonts w:ascii="Calibri" w:cs="Calibri" w:eastAsia="Calibri" w:hAnsi="Calibri"/>
                <w:sz w:val="20"/>
                <w:szCs w:val="20"/>
                <w:color w:val="auto"/>
              </w:rPr>
              <w:t>Chairman and Chief Executve Ofcer ("CEO")</w:t>
            </w:r>
          </w:p>
        </w:tc>
      </w:tr>
      <w:tr>
        <w:trPr>
          <w:trHeight w:val="239"/>
        </w:trPr>
        <w:tc>
          <w:tcPr>
            <w:tcW w:w="1980" w:type="dxa"/>
            <w:vAlign w:val="bottom"/>
          </w:tcPr>
          <w:p>
            <w:pPr>
              <w:ind w:left="20"/>
              <w:spacing w:after="0" w:line="234" w:lineRule="exact"/>
              <w:rPr>
                <w:sz w:val="20"/>
                <w:szCs w:val="20"/>
                <w:color w:val="auto"/>
              </w:rPr>
            </w:pPr>
            <w:r>
              <w:rPr>
                <w:rFonts w:ascii="Calibri" w:cs="Calibri" w:eastAsia="Calibri" w:hAnsi="Calibri"/>
                <w:sz w:val="20"/>
                <w:szCs w:val="20"/>
                <w:color w:val="auto"/>
              </w:rPr>
              <w:t>Bret R. Whitmire</w:t>
            </w:r>
          </w:p>
        </w:tc>
        <w:tc>
          <w:tcPr>
            <w:tcW w:w="9260" w:type="dxa"/>
            <w:vAlign w:val="bottom"/>
          </w:tcPr>
          <w:p>
            <w:pPr>
              <w:ind w:left="520"/>
              <w:spacing w:after="0" w:line="234" w:lineRule="exact"/>
              <w:rPr>
                <w:sz w:val="20"/>
                <w:szCs w:val="20"/>
                <w:color w:val="auto"/>
              </w:rPr>
            </w:pPr>
            <w:r>
              <w:rPr>
                <w:rFonts w:ascii="Calibri" w:cs="Calibri" w:eastAsia="Calibri" w:hAnsi="Calibri"/>
                <w:sz w:val="20"/>
                <w:szCs w:val="20"/>
                <w:color w:val="auto"/>
              </w:rPr>
              <w:t>Chief Financial Ofcer</w:t>
            </w:r>
          </w:p>
        </w:tc>
      </w:tr>
      <w:tr>
        <w:trPr>
          <w:trHeight w:val="247"/>
        </w:trPr>
        <w:tc>
          <w:tcPr>
            <w:tcW w:w="1980" w:type="dxa"/>
            <w:vAlign w:val="bottom"/>
            <w:shd w:val="clear" w:color="auto" w:fill="CFF0FC"/>
          </w:tcPr>
          <w:p>
            <w:pPr>
              <w:ind w:left="20"/>
              <w:spacing w:after="0" w:line="239" w:lineRule="exact"/>
              <w:rPr>
                <w:sz w:val="20"/>
                <w:szCs w:val="20"/>
                <w:color w:val="auto"/>
              </w:rPr>
            </w:pPr>
            <w:r>
              <w:rPr>
                <w:rFonts w:ascii="Calibri" w:cs="Calibri" w:eastAsia="Calibri" w:hAnsi="Calibri"/>
                <w:sz w:val="20"/>
                <w:szCs w:val="20"/>
                <w:color w:val="auto"/>
              </w:rPr>
              <w:t>Gary Yu</w:t>
            </w:r>
          </w:p>
        </w:tc>
        <w:tc>
          <w:tcPr>
            <w:tcW w:w="9260" w:type="dxa"/>
            <w:vAlign w:val="bottom"/>
            <w:shd w:val="clear" w:color="auto" w:fill="CFF0FC"/>
          </w:tcPr>
          <w:p>
            <w:pPr>
              <w:ind w:left="520"/>
              <w:spacing w:after="0" w:line="239" w:lineRule="exact"/>
              <w:rPr>
                <w:sz w:val="20"/>
                <w:szCs w:val="20"/>
                <w:color w:val="auto"/>
              </w:rPr>
            </w:pPr>
            <w:r>
              <w:rPr>
                <w:rFonts w:ascii="Calibri" w:cs="Calibri" w:eastAsia="Calibri" w:hAnsi="Calibri"/>
                <w:sz w:val="20"/>
                <w:szCs w:val="20"/>
                <w:color w:val="auto"/>
              </w:rPr>
              <w:t>President</w:t>
            </w:r>
          </w:p>
        </w:tc>
      </w:tr>
      <w:tr>
        <w:trPr>
          <w:trHeight w:val="239"/>
        </w:trPr>
        <w:tc>
          <w:tcPr>
            <w:tcW w:w="1980" w:type="dxa"/>
            <w:vAlign w:val="bottom"/>
          </w:tcPr>
          <w:p>
            <w:pPr>
              <w:ind w:left="20"/>
              <w:spacing w:after="0" w:line="234" w:lineRule="exact"/>
              <w:rPr>
                <w:sz w:val="20"/>
                <w:szCs w:val="20"/>
                <w:color w:val="auto"/>
              </w:rPr>
            </w:pPr>
            <w:r>
              <w:rPr>
                <w:rFonts w:ascii="Calibri" w:cs="Calibri" w:eastAsia="Calibri" w:hAnsi="Calibri"/>
                <w:sz w:val="20"/>
                <w:szCs w:val="20"/>
                <w:color w:val="auto"/>
              </w:rPr>
              <w:t>Francis Tang</w:t>
            </w:r>
          </w:p>
        </w:tc>
        <w:tc>
          <w:tcPr>
            <w:tcW w:w="9260" w:type="dxa"/>
            <w:vAlign w:val="bottom"/>
          </w:tcPr>
          <w:p>
            <w:pPr>
              <w:ind w:left="520"/>
              <w:spacing w:after="0" w:line="234" w:lineRule="exact"/>
              <w:rPr>
                <w:sz w:val="20"/>
                <w:szCs w:val="20"/>
                <w:color w:val="auto"/>
              </w:rPr>
            </w:pPr>
            <w:r>
              <w:rPr>
                <w:rFonts w:ascii="Calibri" w:cs="Calibri" w:eastAsia="Calibri" w:hAnsi="Calibri"/>
                <w:sz w:val="20"/>
                <w:szCs w:val="20"/>
                <w:color w:val="auto"/>
              </w:rPr>
              <w:t>Senior Vice President, Worldwide Discrete Products</w:t>
            </w:r>
          </w:p>
        </w:tc>
      </w:tr>
      <w:tr>
        <w:trPr>
          <w:trHeight w:val="254"/>
        </w:trPr>
        <w:tc>
          <w:tcPr>
            <w:tcW w:w="1980" w:type="dxa"/>
            <w:vAlign w:val="bottom"/>
            <w:tcBorders>
              <w:bottom w:val="single" w:sz="8" w:color="005CA9"/>
            </w:tcBorders>
            <w:shd w:val="clear" w:color="auto" w:fill="CFF0FC"/>
          </w:tcPr>
          <w:p>
            <w:pPr>
              <w:ind w:left="20"/>
              <w:spacing w:after="0" w:line="239" w:lineRule="exact"/>
              <w:rPr>
                <w:sz w:val="20"/>
                <w:szCs w:val="20"/>
                <w:color w:val="auto"/>
              </w:rPr>
            </w:pPr>
            <w:r>
              <w:rPr>
                <w:rFonts w:ascii="Calibri" w:cs="Calibri" w:eastAsia="Calibri" w:hAnsi="Calibri"/>
                <w:sz w:val="20"/>
                <w:szCs w:val="20"/>
                <w:color w:val="auto"/>
              </w:rPr>
              <w:t>Emily Yang</w:t>
            </w:r>
          </w:p>
        </w:tc>
        <w:tc>
          <w:tcPr>
            <w:tcW w:w="9260" w:type="dxa"/>
            <w:vAlign w:val="bottom"/>
            <w:tcBorders>
              <w:bottom w:val="single" w:sz="8" w:color="005CA9"/>
            </w:tcBorders>
            <w:shd w:val="clear" w:color="auto" w:fill="CFF0FC"/>
          </w:tcPr>
          <w:p>
            <w:pPr>
              <w:ind w:left="520"/>
              <w:spacing w:after="0" w:line="239" w:lineRule="exact"/>
              <w:rPr>
                <w:sz w:val="20"/>
                <w:szCs w:val="20"/>
                <w:color w:val="auto"/>
              </w:rPr>
            </w:pPr>
            <w:r>
              <w:rPr>
                <w:rFonts w:ascii="Calibri" w:cs="Calibri" w:eastAsia="Calibri" w:hAnsi="Calibri"/>
                <w:sz w:val="20"/>
                <w:szCs w:val="20"/>
                <w:color w:val="auto"/>
              </w:rPr>
              <w:t>Senior Vice President, Worldwide Sales and Marketng</w:t>
            </w:r>
          </w:p>
        </w:tc>
      </w:tr>
    </w:tbl>
    <w:p>
      <w:pPr>
        <w:spacing w:after="0" w:line="22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65F91"/>
        </w:rPr>
        <w:t>“Say-on-Pay” Vote Summary</w:t>
      </w:r>
    </w:p>
    <w:p>
      <w:pPr>
        <w:spacing w:after="0" w:line="1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At our 2024 annual meetng of stockholders, our stockholders approved, by a vote of approximately 98% of the shares present in person or by proxy and enttled to vote on the proposal (not countng abstentons and broker non-votes), the compensaton paid to our NEOs for services rendered in 2023 as presented in the proxy statement for the 2024 annual meetng of stockholders. In light of this favorable “say on pay” vote and our stockholder engagement, the Compensaton Commitee did not materially adjust the Company’s compensaton program for 2024 or 2025.</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We have engaged with our stockholders to understand their perspectves on our Company, including our strategies, performance, governance, and executve compensaton. This ongoing dialogue has helped inform the Board's decision-making and ensure our interests remain well-aligned with those of our stockholders.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has a record of adoptng provisions or modifying practces to refect stockholder input. Examples include the Company's majority vote policy which was strengthened and documented at the request of our stockholders, as well as the 2017 redesign of our executve compensaton program and external reviews of the Company's peer group and executve compensaton program in 2020 and 2022.</w:t>
      </w:r>
    </w:p>
    <w:p>
      <w:pPr>
        <w:spacing w:after="0" w:line="11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65F91"/>
        </w:rPr>
        <w:t>2024 Business Summary</w:t>
      </w:r>
    </w:p>
    <w:p>
      <w:pPr>
        <w:spacing w:after="0" w:line="101" w:lineRule="exact"/>
        <w:rPr>
          <w:sz w:val="20"/>
          <w:szCs w:val="20"/>
          <w:color w:val="auto"/>
        </w:rPr>
      </w:pPr>
    </w:p>
    <w:p>
      <w:pPr>
        <w:spacing w:after="0"/>
        <w:rPr>
          <w:sz w:val="20"/>
          <w:szCs w:val="20"/>
          <w:color w:val="auto"/>
        </w:rPr>
      </w:pPr>
      <w:r>
        <w:rPr>
          <w:rFonts w:ascii="Calibri" w:cs="Calibri" w:eastAsia="Calibri" w:hAnsi="Calibri"/>
          <w:sz w:val="20"/>
          <w:szCs w:val="20"/>
          <w:color w:val="auto"/>
        </w:rPr>
        <w:t>Below is a summary of our 2024 fnancial results:</w:t>
      </w:r>
    </w:p>
    <w:p>
      <w:pPr>
        <w:spacing w:after="0" w:line="120" w:lineRule="exact"/>
        <w:rPr>
          <w:sz w:val="20"/>
          <w:szCs w:val="20"/>
          <w:color w:val="auto"/>
        </w:rPr>
      </w:pPr>
    </w:p>
    <w:p>
      <w:pPr>
        <w:ind w:left="1220" w:hanging="459"/>
        <w:spacing w:after="0"/>
        <w:tabs>
          <w:tab w:leader="none" w:pos="122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Net sales for fscal 2024 were $1.3 billion, a decrease of 21.1% from the $1.7 billion in fscal 2023;</w:t>
      </w:r>
    </w:p>
    <w:p>
      <w:pPr>
        <w:spacing w:after="0" w:line="66" w:lineRule="exact"/>
        <w:rPr>
          <w:rFonts w:ascii="Times New Roman" w:cs="Times New Roman" w:eastAsia="Times New Roman" w:hAnsi="Times New Roman"/>
          <w:sz w:val="20"/>
          <w:szCs w:val="20"/>
          <w:color w:val="auto"/>
        </w:rPr>
      </w:pPr>
    </w:p>
    <w:p>
      <w:pPr>
        <w:ind w:left="1220" w:hanging="459"/>
        <w:spacing w:after="0"/>
        <w:tabs>
          <w:tab w:leader="none" w:pos="122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Gross proft for fscal 2024 was $435.9 million, a decrease of 33.8% from the $658.2 million in fscal 2023;</w:t>
      </w:r>
    </w:p>
    <w:p>
      <w:pPr>
        <w:spacing w:after="0" w:line="66" w:lineRule="exact"/>
        <w:rPr>
          <w:rFonts w:ascii="Times New Roman" w:cs="Times New Roman" w:eastAsia="Times New Roman" w:hAnsi="Times New Roman"/>
          <w:sz w:val="20"/>
          <w:szCs w:val="20"/>
          <w:color w:val="auto"/>
        </w:rPr>
      </w:pPr>
    </w:p>
    <w:p>
      <w:pPr>
        <w:ind w:left="1220" w:hanging="459"/>
        <w:spacing w:after="0"/>
        <w:tabs>
          <w:tab w:leader="none" w:pos="122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Gross proft margin for fscal 2024 was 33.2% compared to 39.6% for fscal 2023;</w:t>
      </w:r>
    </w:p>
    <w:p>
      <w:pPr>
        <w:spacing w:after="0" w:line="76" w:lineRule="exact"/>
        <w:rPr>
          <w:rFonts w:ascii="Times New Roman" w:cs="Times New Roman" w:eastAsia="Times New Roman" w:hAnsi="Times New Roman"/>
          <w:sz w:val="20"/>
          <w:szCs w:val="20"/>
          <w:color w:val="auto"/>
        </w:rPr>
      </w:pPr>
    </w:p>
    <w:p>
      <w:pPr>
        <w:ind w:left="1220" w:right="860" w:hanging="459"/>
        <w:spacing w:after="0" w:line="234" w:lineRule="auto"/>
        <w:tabs>
          <w:tab w:leader="none" w:pos="122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Operatng income for fscal 2024 decreased 79.9% to $50.4 million, or 3.8% of revenue, compared to $250.6 million, or 15.1% of revenue in fscal 2023;</w:t>
      </w:r>
    </w:p>
    <w:p>
      <w:pPr>
        <w:spacing w:after="0" w:line="77" w:lineRule="exact"/>
        <w:rPr>
          <w:rFonts w:ascii="Times New Roman" w:cs="Times New Roman" w:eastAsia="Times New Roman" w:hAnsi="Times New Roman"/>
          <w:sz w:val="20"/>
          <w:szCs w:val="20"/>
          <w:color w:val="auto"/>
        </w:rPr>
      </w:pPr>
    </w:p>
    <w:p>
      <w:pPr>
        <w:ind w:left="1220" w:right="860" w:hanging="459"/>
        <w:spacing w:after="0" w:line="234" w:lineRule="auto"/>
        <w:tabs>
          <w:tab w:leader="none" w:pos="122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Net income for fscal 2024 was $44.0 million, or $0.95 per diluted share, compared to $227.2 million, or $4.91 per diluted share, in fscal 2023;</w:t>
      </w:r>
    </w:p>
    <w:p>
      <w:pPr>
        <w:spacing w:after="0" w:line="77" w:lineRule="exact"/>
        <w:rPr>
          <w:rFonts w:ascii="Times New Roman" w:cs="Times New Roman" w:eastAsia="Times New Roman" w:hAnsi="Times New Roman"/>
          <w:sz w:val="20"/>
          <w:szCs w:val="20"/>
          <w:color w:val="auto"/>
        </w:rPr>
      </w:pPr>
    </w:p>
    <w:p>
      <w:pPr>
        <w:jc w:val="both"/>
        <w:ind w:left="1220" w:right="860" w:hanging="459"/>
        <w:spacing w:after="0" w:line="236" w:lineRule="auto"/>
        <w:tabs>
          <w:tab w:leader="none" w:pos="122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We achieved $119.4 million of cash fow from operatons in fscal 2024. We had cash capital expenditures of $73.0 million, or 5.6% of net sales. Net cash fow was a negatve $3.8 million, which includes the net pay-down of $7.6 million of total debt; and</w:t>
      </w:r>
    </w:p>
    <w:p>
      <w:pPr>
        <w:spacing w:after="0" w:line="76" w:lineRule="exact"/>
        <w:rPr>
          <w:rFonts w:ascii="Times New Roman" w:cs="Times New Roman" w:eastAsia="Times New Roman" w:hAnsi="Times New Roman"/>
          <w:sz w:val="20"/>
          <w:szCs w:val="20"/>
          <w:color w:val="auto"/>
        </w:rPr>
      </w:pPr>
    </w:p>
    <w:p>
      <w:pPr>
        <w:jc w:val="both"/>
        <w:ind w:left="1220" w:right="860" w:hanging="459"/>
        <w:spacing w:after="0" w:line="236" w:lineRule="auto"/>
        <w:tabs>
          <w:tab w:leader="none" w:pos="1220" w:val="left"/>
        </w:tabs>
        <w:numPr>
          <w:ilvl w:val="0"/>
          <w:numId w:val="2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 of December 31, 2024, the Company had approximately $322.2 million in cash and cash equivalents, restricted cash, and short-term investments. Total debt (including long-term and short-term) amounted to approximately $52.1 million, and working capital was approximately $848.6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-2249805</wp:posOffset>
            </wp:positionV>
            <wp:extent cx="641223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-1889760</wp:posOffset>
            </wp:positionV>
            <wp:extent cx="641223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2230" cy="19685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-1341120</wp:posOffset>
            </wp:positionV>
            <wp:extent cx="6412230" cy="351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3511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-483870</wp:posOffset>
            </wp:positionV>
            <wp:extent cx="6412230" cy="5054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12230" cy="50546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29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32" w:name="page33"/>
    <w:bookmarkEnd w:id="32"/>
    <w:p>
      <w:pPr>
        <w:spacing w:after="0"/>
        <w:rPr>
          <w:sz w:val="20"/>
          <w:szCs w:val="20"/>
          <w:color w:val="auto"/>
        </w:rPr>
      </w:pPr>
      <w:r>
        <w:rPr>
          <w:rFonts w:ascii="Calibri" w:cs="Calibri" w:eastAsia="Calibri" w:hAnsi="Calibri"/>
          <w:sz w:val="20"/>
          <w:szCs w:val="20"/>
          <w:color w:val="auto"/>
        </w:rPr>
        <w:t>The following table provides additonal informaton concerning our performance in fscal 2024 compared to fscal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80" w:type="dxa"/>
            <w:vAlign w:val="bottom"/>
            <w:tcBorders>
              <w:top w:val="single" w:sz="8" w:color="005CA9"/>
            </w:tcBorders>
          </w:tcPr>
          <w:p>
            <w:pPr>
              <w:ind w:left="20"/>
              <w:spacing w:after="0"/>
              <w:rPr>
                <w:sz w:val="20"/>
                <w:szCs w:val="20"/>
                <w:color w:val="auto"/>
              </w:rPr>
            </w:pPr>
            <w:r>
              <w:rPr>
                <w:rFonts w:ascii="Calibri" w:cs="Calibri" w:eastAsia="Calibri" w:hAnsi="Calibri"/>
                <w:sz w:val="20"/>
                <w:szCs w:val="20"/>
                <w:b w:val="1"/>
                <w:bCs w:val="1"/>
                <w:color w:val="auto"/>
              </w:rPr>
              <w:t xml:space="preserve">Descripton </w:t>
            </w:r>
            <w:r>
              <w:rPr>
                <w:rFonts w:ascii="Calibri" w:cs="Calibri" w:eastAsia="Calibri" w:hAnsi="Calibri"/>
                <w:sz w:val="16"/>
                <w:szCs w:val="16"/>
                <w:b w:val="1"/>
                <w:bCs w:val="1"/>
                <w:color w:val="auto"/>
              </w:rPr>
              <w:t>(in millions, except per share amounts)</w:t>
            </w:r>
          </w:p>
        </w:tc>
        <w:tc>
          <w:tcPr>
            <w:tcW w:w="380" w:type="dxa"/>
            <w:vAlign w:val="bottom"/>
            <w:tcBorders>
              <w:top w:val="single" w:sz="8" w:color="005CA9"/>
            </w:tcBorders>
          </w:tcPr>
          <w:p>
            <w:pPr>
              <w:spacing w:after="0"/>
              <w:rPr>
                <w:sz w:val="21"/>
                <w:szCs w:val="21"/>
                <w:color w:val="auto"/>
              </w:rPr>
            </w:pPr>
          </w:p>
        </w:tc>
        <w:tc>
          <w:tcPr>
            <w:tcW w:w="320" w:type="dxa"/>
            <w:vAlign w:val="bottom"/>
            <w:tcBorders>
              <w:top w:val="single" w:sz="8" w:color="005CA9"/>
            </w:tcBorders>
          </w:tcPr>
          <w:p>
            <w:pPr>
              <w:spacing w:after="0"/>
              <w:rPr>
                <w:sz w:val="21"/>
                <w:szCs w:val="21"/>
                <w:color w:val="auto"/>
              </w:rPr>
            </w:pPr>
          </w:p>
        </w:tc>
        <w:tc>
          <w:tcPr>
            <w:tcW w:w="1260" w:type="dxa"/>
            <w:vAlign w:val="bottom"/>
            <w:tcBorders>
              <w:top w:val="single" w:sz="8" w:color="005CA9"/>
            </w:tcBorders>
          </w:tcPr>
          <w:p>
            <w:pPr>
              <w:jc w:val="right"/>
              <w:ind w:right="41"/>
              <w:spacing w:after="0"/>
              <w:rPr>
                <w:sz w:val="20"/>
                <w:szCs w:val="20"/>
                <w:color w:val="auto"/>
              </w:rPr>
            </w:pPr>
            <w:r>
              <w:rPr>
                <w:rFonts w:ascii="Calibri" w:cs="Calibri" w:eastAsia="Calibri" w:hAnsi="Calibri"/>
                <w:sz w:val="20"/>
                <w:szCs w:val="20"/>
                <w:b w:val="1"/>
                <w:bCs w:val="1"/>
                <w:color w:val="auto"/>
              </w:rPr>
              <w:t>2024</w:t>
            </w:r>
          </w:p>
        </w:tc>
        <w:tc>
          <w:tcPr>
            <w:tcW w:w="140" w:type="dxa"/>
            <w:vAlign w:val="bottom"/>
            <w:tcBorders>
              <w:top w:val="single" w:sz="8" w:color="005CA9"/>
            </w:tcBorders>
          </w:tcPr>
          <w:p>
            <w:pPr>
              <w:spacing w:after="0"/>
              <w:rPr>
                <w:sz w:val="21"/>
                <w:szCs w:val="21"/>
                <w:color w:val="auto"/>
              </w:rPr>
            </w:pPr>
          </w:p>
        </w:tc>
        <w:tc>
          <w:tcPr>
            <w:tcW w:w="180" w:type="dxa"/>
            <w:vAlign w:val="bottom"/>
            <w:tcBorders>
              <w:top w:val="single" w:sz="8" w:color="005CA9"/>
            </w:tcBorders>
          </w:tcPr>
          <w:p>
            <w:pPr>
              <w:spacing w:after="0"/>
              <w:rPr>
                <w:sz w:val="21"/>
                <w:szCs w:val="21"/>
                <w:color w:val="auto"/>
              </w:rPr>
            </w:pPr>
          </w:p>
        </w:tc>
        <w:tc>
          <w:tcPr>
            <w:tcW w:w="320" w:type="dxa"/>
            <w:vAlign w:val="bottom"/>
            <w:tcBorders>
              <w:top w:val="single" w:sz="8" w:color="005CA9"/>
            </w:tcBorders>
          </w:tcPr>
          <w:p>
            <w:pPr>
              <w:spacing w:after="0"/>
              <w:rPr>
                <w:sz w:val="21"/>
                <w:szCs w:val="21"/>
                <w:color w:val="auto"/>
              </w:rPr>
            </w:pPr>
          </w:p>
        </w:tc>
        <w:tc>
          <w:tcPr>
            <w:tcW w:w="1260" w:type="dxa"/>
            <w:vAlign w:val="bottom"/>
            <w:tcBorders>
              <w:top w:val="single" w:sz="8" w:color="005CA9"/>
            </w:tcBorders>
          </w:tcPr>
          <w:p>
            <w:pPr>
              <w:jc w:val="right"/>
              <w:ind w:right="101"/>
              <w:spacing w:after="0"/>
              <w:rPr>
                <w:sz w:val="20"/>
                <w:szCs w:val="20"/>
                <w:color w:val="auto"/>
              </w:rPr>
            </w:pPr>
            <w:r>
              <w:rPr>
                <w:rFonts w:ascii="Calibri" w:cs="Calibri" w:eastAsia="Calibri" w:hAnsi="Calibri"/>
                <w:sz w:val="20"/>
                <w:szCs w:val="20"/>
                <w:b w:val="1"/>
                <w:bCs w:val="1"/>
                <w:color w:val="auto"/>
              </w:rPr>
              <w:t>2023</w:t>
            </w:r>
          </w:p>
        </w:tc>
      </w:tr>
      <w:tr>
        <w:trPr>
          <w:trHeight w:val="72"/>
        </w:trPr>
        <w:tc>
          <w:tcPr>
            <w:tcW w:w="7380" w:type="dxa"/>
            <w:vAlign w:val="bottom"/>
            <w:shd w:val="clear" w:color="auto" w:fill="4F81BD"/>
          </w:tcPr>
          <w:p>
            <w:pPr>
              <w:spacing w:after="0"/>
              <w:rPr>
                <w:sz w:val="6"/>
                <w:szCs w:val="6"/>
                <w:color w:val="auto"/>
              </w:rPr>
            </w:pPr>
          </w:p>
        </w:tc>
        <w:tc>
          <w:tcPr>
            <w:tcW w:w="380" w:type="dxa"/>
            <w:vAlign w:val="bottom"/>
            <w:shd w:val="clear" w:color="auto" w:fill="4F81BD"/>
          </w:tcPr>
          <w:p>
            <w:pPr>
              <w:spacing w:after="0"/>
              <w:rPr>
                <w:sz w:val="6"/>
                <w:szCs w:val="6"/>
                <w:color w:val="auto"/>
              </w:rPr>
            </w:pPr>
          </w:p>
        </w:tc>
        <w:tc>
          <w:tcPr>
            <w:tcW w:w="320" w:type="dxa"/>
            <w:vAlign w:val="bottom"/>
            <w:shd w:val="clear" w:color="auto" w:fill="4F81BD"/>
          </w:tcPr>
          <w:p>
            <w:pPr>
              <w:spacing w:after="0"/>
              <w:rPr>
                <w:sz w:val="6"/>
                <w:szCs w:val="6"/>
                <w:color w:val="auto"/>
              </w:rPr>
            </w:pPr>
          </w:p>
        </w:tc>
        <w:tc>
          <w:tcPr>
            <w:tcW w:w="1260" w:type="dxa"/>
            <w:vAlign w:val="bottom"/>
            <w:shd w:val="clear" w:color="auto" w:fill="4F81BD"/>
          </w:tcPr>
          <w:p>
            <w:pPr>
              <w:spacing w:after="0"/>
              <w:rPr>
                <w:sz w:val="6"/>
                <w:szCs w:val="6"/>
                <w:color w:val="auto"/>
              </w:rPr>
            </w:pPr>
          </w:p>
        </w:tc>
        <w:tc>
          <w:tcPr>
            <w:tcW w:w="140" w:type="dxa"/>
            <w:vAlign w:val="bottom"/>
            <w:shd w:val="clear" w:color="auto" w:fill="4F81BD"/>
          </w:tcPr>
          <w:p>
            <w:pPr>
              <w:spacing w:after="0"/>
              <w:rPr>
                <w:sz w:val="6"/>
                <w:szCs w:val="6"/>
                <w:color w:val="auto"/>
              </w:rPr>
            </w:pPr>
          </w:p>
        </w:tc>
        <w:tc>
          <w:tcPr>
            <w:tcW w:w="180" w:type="dxa"/>
            <w:vAlign w:val="bottom"/>
            <w:shd w:val="clear" w:color="auto" w:fill="4F81BD"/>
          </w:tcPr>
          <w:p>
            <w:pPr>
              <w:spacing w:after="0"/>
              <w:rPr>
                <w:sz w:val="6"/>
                <w:szCs w:val="6"/>
                <w:color w:val="auto"/>
              </w:rPr>
            </w:pPr>
          </w:p>
        </w:tc>
        <w:tc>
          <w:tcPr>
            <w:tcW w:w="320" w:type="dxa"/>
            <w:vAlign w:val="bottom"/>
            <w:shd w:val="clear" w:color="auto" w:fill="4F81BD"/>
          </w:tcPr>
          <w:p>
            <w:pPr>
              <w:spacing w:after="0"/>
              <w:rPr>
                <w:sz w:val="6"/>
                <w:szCs w:val="6"/>
                <w:color w:val="auto"/>
              </w:rPr>
            </w:pPr>
          </w:p>
        </w:tc>
        <w:tc>
          <w:tcPr>
            <w:tcW w:w="1260" w:type="dxa"/>
            <w:vAlign w:val="bottom"/>
            <w:shd w:val="clear" w:color="auto" w:fill="4F81BD"/>
          </w:tcPr>
          <w:p>
            <w:pPr>
              <w:spacing w:after="0"/>
              <w:rPr>
                <w:sz w:val="6"/>
                <w:szCs w:val="6"/>
                <w:color w:val="auto"/>
              </w:rPr>
            </w:pPr>
          </w:p>
        </w:tc>
      </w:tr>
      <w:tr>
        <w:trPr>
          <w:trHeight w:val="243"/>
        </w:trPr>
        <w:tc>
          <w:tcPr>
            <w:tcW w:w="738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Net sales</w:t>
            </w:r>
          </w:p>
        </w:tc>
        <w:tc>
          <w:tcPr>
            <w:tcW w:w="700" w:type="dxa"/>
            <w:vAlign w:val="bottom"/>
            <w:gridSpan w:val="2"/>
            <w:shd w:val="clear" w:color="auto" w:fill="CFF0FC"/>
          </w:tcPr>
          <w:p>
            <w:pPr>
              <w:jc w:val="right"/>
              <w:ind w:right="221"/>
              <w:spacing w:after="0" w:line="234" w:lineRule="exact"/>
              <w:rPr>
                <w:sz w:val="20"/>
                <w:szCs w:val="20"/>
                <w:color w:val="auto"/>
              </w:rPr>
            </w:pPr>
            <w:r>
              <w:rPr>
                <w:rFonts w:ascii="Calibri" w:cs="Calibri" w:eastAsia="Calibri" w:hAnsi="Calibri"/>
                <w:sz w:val="20"/>
                <w:szCs w:val="20"/>
                <w:color w:val="auto"/>
              </w:rPr>
              <w:t>$</w:t>
            </w:r>
          </w:p>
        </w:tc>
        <w:tc>
          <w:tcPr>
            <w:tcW w:w="1260" w:type="dxa"/>
            <w:vAlign w:val="bottom"/>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rPr>
              <w:t>1,311.1</w:t>
            </w:r>
          </w:p>
        </w:tc>
        <w:tc>
          <w:tcPr>
            <w:tcW w:w="1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80"/>
              <w:spacing w:after="0" w:line="234" w:lineRule="exact"/>
              <w:rPr>
                <w:sz w:val="20"/>
                <w:szCs w:val="20"/>
                <w:color w:val="auto"/>
              </w:rPr>
            </w:pPr>
            <w:r>
              <w:rPr>
                <w:rFonts w:ascii="Calibri" w:cs="Calibri" w:eastAsia="Calibri" w:hAnsi="Calibri"/>
                <w:sz w:val="20"/>
                <w:szCs w:val="20"/>
                <w:color w:val="auto"/>
              </w:rPr>
              <w:t>$</w:t>
            </w:r>
          </w:p>
        </w:tc>
        <w:tc>
          <w:tcPr>
            <w:tcW w:w="1260" w:type="dxa"/>
            <w:vAlign w:val="bottom"/>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rPr>
              <w:t>1,661.7</w:t>
            </w:r>
          </w:p>
        </w:tc>
      </w:tr>
      <w:tr>
        <w:trPr>
          <w:trHeight w:val="239"/>
        </w:trPr>
        <w:tc>
          <w:tcPr>
            <w:tcW w:w="7380" w:type="dxa"/>
            <w:vAlign w:val="bottom"/>
          </w:tcPr>
          <w:p>
            <w:pPr>
              <w:ind w:left="120"/>
              <w:spacing w:after="0" w:line="234" w:lineRule="exact"/>
              <w:rPr>
                <w:sz w:val="20"/>
                <w:szCs w:val="20"/>
                <w:color w:val="auto"/>
              </w:rPr>
            </w:pPr>
            <w:r>
              <w:rPr>
                <w:rFonts w:ascii="Calibri" w:cs="Calibri" w:eastAsia="Calibri" w:hAnsi="Calibri"/>
                <w:sz w:val="20"/>
                <w:szCs w:val="20"/>
                <w:color w:val="auto"/>
              </w:rPr>
              <w:t>Gross proft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1"/>
              <w:spacing w:after="0" w:line="234" w:lineRule="exact"/>
              <w:rPr>
                <w:sz w:val="20"/>
                <w:szCs w:val="20"/>
                <w:color w:val="auto"/>
              </w:rPr>
            </w:pPr>
            <w:r>
              <w:rPr>
                <w:rFonts w:ascii="Calibri" w:cs="Calibri" w:eastAsia="Calibri" w:hAnsi="Calibri"/>
                <w:sz w:val="20"/>
                <w:szCs w:val="20"/>
                <w:color w:val="auto"/>
              </w:rPr>
              <w:t>435.9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658.2</w:t>
            </w:r>
          </w:p>
        </w:tc>
      </w:tr>
      <w:tr>
        <w:trPr>
          <w:trHeight w:val="247"/>
        </w:trPr>
        <w:tc>
          <w:tcPr>
            <w:tcW w:w="7380" w:type="dxa"/>
            <w:vAlign w:val="bottom"/>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Gross proft margin</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00"/>
              <w:spacing w:after="0" w:line="239" w:lineRule="exact"/>
              <w:rPr>
                <w:sz w:val="20"/>
                <w:szCs w:val="20"/>
                <w:color w:val="auto"/>
              </w:rPr>
            </w:pPr>
            <w:r>
              <w:rPr>
                <w:rFonts w:ascii="Calibri" w:cs="Calibri" w:eastAsia="Calibri" w:hAnsi="Calibri"/>
                <w:sz w:val="20"/>
                <w:szCs w:val="20"/>
                <w:color w:val="auto"/>
              </w:rPr>
              <w:t>33.2 %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line="239" w:lineRule="exact"/>
              <w:rPr>
                <w:sz w:val="20"/>
                <w:szCs w:val="20"/>
                <w:color w:val="auto"/>
              </w:rPr>
            </w:pPr>
            <w:r>
              <w:rPr>
                <w:rFonts w:ascii="Calibri" w:cs="Calibri" w:eastAsia="Calibri" w:hAnsi="Calibri"/>
                <w:sz w:val="20"/>
                <w:szCs w:val="20"/>
                <w:color w:val="auto"/>
              </w:rPr>
              <w:t>39.6 %</w:t>
            </w:r>
          </w:p>
        </w:tc>
      </w:tr>
      <w:tr>
        <w:trPr>
          <w:trHeight w:val="239"/>
        </w:trPr>
        <w:tc>
          <w:tcPr>
            <w:tcW w:w="7380" w:type="dxa"/>
            <w:vAlign w:val="bottom"/>
          </w:tcPr>
          <w:p>
            <w:pPr>
              <w:ind w:left="120"/>
              <w:spacing w:after="0" w:line="234" w:lineRule="exact"/>
              <w:rPr>
                <w:sz w:val="20"/>
                <w:szCs w:val="20"/>
                <w:color w:val="auto"/>
              </w:rPr>
            </w:pPr>
            <w:r>
              <w:rPr>
                <w:rFonts w:ascii="Calibri" w:cs="Calibri" w:eastAsia="Calibri" w:hAnsi="Calibri"/>
                <w:sz w:val="20"/>
                <w:szCs w:val="20"/>
                <w:color w:val="auto"/>
              </w:rPr>
              <w:t>Income from operatons</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1"/>
              <w:spacing w:after="0" w:line="234" w:lineRule="exact"/>
              <w:rPr>
                <w:sz w:val="20"/>
                <w:szCs w:val="20"/>
                <w:color w:val="auto"/>
              </w:rPr>
            </w:pPr>
            <w:r>
              <w:rPr>
                <w:rFonts w:ascii="Calibri" w:cs="Calibri" w:eastAsia="Calibri" w:hAnsi="Calibri"/>
                <w:sz w:val="20"/>
                <w:szCs w:val="20"/>
                <w:color w:val="auto"/>
              </w:rPr>
              <w:t>50.5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250.6</w:t>
            </w:r>
          </w:p>
        </w:tc>
      </w:tr>
      <w:tr>
        <w:trPr>
          <w:trHeight w:val="247"/>
        </w:trPr>
        <w:tc>
          <w:tcPr>
            <w:tcW w:w="7380" w:type="dxa"/>
            <w:vAlign w:val="bottom"/>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Diluted net income per share</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41"/>
              <w:spacing w:after="0" w:line="239" w:lineRule="exact"/>
              <w:rPr>
                <w:sz w:val="20"/>
                <w:szCs w:val="20"/>
                <w:color w:val="auto"/>
              </w:rPr>
            </w:pPr>
            <w:r>
              <w:rPr>
                <w:rFonts w:ascii="Calibri" w:cs="Calibri" w:eastAsia="Calibri" w:hAnsi="Calibri"/>
                <w:sz w:val="20"/>
                <w:szCs w:val="20"/>
                <w:color w:val="auto"/>
              </w:rPr>
              <w:t>0.95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01"/>
              <w:spacing w:after="0" w:line="239" w:lineRule="exact"/>
              <w:rPr>
                <w:sz w:val="20"/>
                <w:szCs w:val="20"/>
                <w:color w:val="auto"/>
              </w:rPr>
            </w:pPr>
            <w:r>
              <w:rPr>
                <w:rFonts w:ascii="Calibri" w:cs="Calibri" w:eastAsia="Calibri" w:hAnsi="Calibri"/>
                <w:sz w:val="20"/>
                <w:szCs w:val="20"/>
                <w:color w:val="auto"/>
              </w:rPr>
              <w:t>4.91</w:t>
            </w:r>
          </w:p>
        </w:tc>
      </w:tr>
      <w:tr>
        <w:trPr>
          <w:trHeight w:val="239"/>
        </w:trPr>
        <w:tc>
          <w:tcPr>
            <w:tcW w:w="7380" w:type="dxa"/>
            <w:vAlign w:val="bottom"/>
          </w:tcPr>
          <w:p>
            <w:pPr>
              <w:ind w:left="120"/>
              <w:spacing w:after="0" w:line="234" w:lineRule="exact"/>
              <w:rPr>
                <w:sz w:val="20"/>
                <w:szCs w:val="20"/>
                <w:color w:val="auto"/>
              </w:rPr>
            </w:pPr>
            <w:r>
              <w:rPr>
                <w:rFonts w:ascii="Calibri" w:cs="Calibri" w:eastAsia="Calibri" w:hAnsi="Calibri"/>
                <w:sz w:val="20"/>
                <w:szCs w:val="20"/>
                <w:color w:val="auto"/>
              </w:rPr>
              <w:t>Stock price at fscal year end</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1"/>
              <w:spacing w:after="0" w:line="234" w:lineRule="exact"/>
              <w:rPr>
                <w:sz w:val="20"/>
                <w:szCs w:val="20"/>
                <w:color w:val="auto"/>
              </w:rPr>
            </w:pPr>
            <w:r>
              <w:rPr>
                <w:rFonts w:ascii="Calibri" w:cs="Calibri" w:eastAsia="Calibri" w:hAnsi="Calibri"/>
                <w:sz w:val="20"/>
                <w:szCs w:val="20"/>
                <w:color w:val="auto"/>
              </w:rPr>
              <w:t>61.67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80.52</w:t>
            </w:r>
          </w:p>
        </w:tc>
      </w:tr>
      <w:tr>
        <w:trPr>
          <w:trHeight w:val="243"/>
        </w:trPr>
        <w:tc>
          <w:tcPr>
            <w:tcW w:w="7380" w:type="dxa"/>
            <w:vAlign w:val="bottom"/>
            <w:tcBorders>
              <w:bottom w:val="single" w:sz="8" w:color="005CA9"/>
            </w:tcBorders>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Adjusted earnings per share - common stockholders (Non-GAAP)</w:t>
            </w:r>
          </w:p>
        </w:tc>
        <w:tc>
          <w:tcPr>
            <w:tcW w:w="380" w:type="dxa"/>
            <w:vAlign w:val="bottom"/>
            <w:tcBorders>
              <w:bottom w:val="single" w:sz="8" w:color="005CA9"/>
            </w:tcBorders>
            <w:shd w:val="clear" w:color="auto" w:fill="CFF0FC"/>
          </w:tcPr>
          <w:p>
            <w:pPr>
              <w:spacing w:after="0"/>
              <w:rPr>
                <w:sz w:val="21"/>
                <w:szCs w:val="21"/>
                <w:color w:val="auto"/>
              </w:rPr>
            </w:pPr>
          </w:p>
        </w:tc>
        <w:tc>
          <w:tcPr>
            <w:tcW w:w="320" w:type="dxa"/>
            <w:vAlign w:val="bottom"/>
            <w:tcBorders>
              <w:bottom w:val="single" w:sz="8" w:color="005CA9"/>
            </w:tcBorders>
            <w:shd w:val="clear" w:color="auto" w:fill="CFF0FC"/>
          </w:tcPr>
          <w:p>
            <w:pPr>
              <w:spacing w:after="0"/>
              <w:rPr>
                <w:sz w:val="21"/>
                <w:szCs w:val="21"/>
                <w:color w:val="auto"/>
              </w:rPr>
            </w:pPr>
          </w:p>
        </w:tc>
        <w:tc>
          <w:tcPr>
            <w:tcW w:w="1260" w:type="dxa"/>
            <w:vAlign w:val="bottom"/>
            <w:tcBorders>
              <w:bottom w:val="single" w:sz="8" w:color="005CA9"/>
            </w:tcBorders>
            <w:shd w:val="clear" w:color="auto" w:fill="CFF0FC"/>
          </w:tcPr>
          <w:p>
            <w:pPr>
              <w:jc w:val="right"/>
              <w:ind w:right="41"/>
              <w:spacing w:after="0" w:line="239" w:lineRule="exact"/>
              <w:rPr>
                <w:sz w:val="20"/>
                <w:szCs w:val="20"/>
                <w:color w:val="auto"/>
              </w:rPr>
            </w:pPr>
            <w:r>
              <w:rPr>
                <w:rFonts w:ascii="Calibri" w:cs="Calibri" w:eastAsia="Calibri" w:hAnsi="Calibri"/>
                <w:sz w:val="20"/>
                <w:szCs w:val="20"/>
                <w:color w:val="auto"/>
              </w:rPr>
              <w:t>1.31</w:t>
            </w:r>
          </w:p>
        </w:tc>
        <w:tc>
          <w:tcPr>
            <w:tcW w:w="140" w:type="dxa"/>
            <w:vAlign w:val="bottom"/>
            <w:tcBorders>
              <w:bottom w:val="single" w:sz="8" w:color="005CA9"/>
            </w:tcBorders>
            <w:shd w:val="clear" w:color="auto" w:fill="CFF0FC"/>
          </w:tcPr>
          <w:p>
            <w:pPr>
              <w:spacing w:after="0"/>
              <w:rPr>
                <w:sz w:val="21"/>
                <w:szCs w:val="21"/>
                <w:color w:val="auto"/>
              </w:rPr>
            </w:pPr>
          </w:p>
        </w:tc>
        <w:tc>
          <w:tcPr>
            <w:tcW w:w="180" w:type="dxa"/>
            <w:vAlign w:val="bottom"/>
            <w:tcBorders>
              <w:bottom w:val="single" w:sz="8" w:color="005CA9"/>
            </w:tcBorders>
            <w:shd w:val="clear" w:color="auto" w:fill="CFF0FC"/>
          </w:tcPr>
          <w:p>
            <w:pPr>
              <w:spacing w:after="0"/>
              <w:rPr>
                <w:sz w:val="21"/>
                <w:szCs w:val="21"/>
                <w:color w:val="auto"/>
              </w:rPr>
            </w:pPr>
          </w:p>
        </w:tc>
        <w:tc>
          <w:tcPr>
            <w:tcW w:w="320" w:type="dxa"/>
            <w:vAlign w:val="bottom"/>
            <w:tcBorders>
              <w:bottom w:val="single" w:sz="8" w:color="005CA9"/>
            </w:tcBorders>
            <w:shd w:val="clear" w:color="auto" w:fill="CFF0FC"/>
          </w:tcPr>
          <w:p>
            <w:pPr>
              <w:spacing w:after="0"/>
              <w:rPr>
                <w:sz w:val="21"/>
                <w:szCs w:val="21"/>
                <w:color w:val="auto"/>
              </w:rPr>
            </w:pPr>
          </w:p>
        </w:tc>
        <w:tc>
          <w:tcPr>
            <w:tcW w:w="1260" w:type="dxa"/>
            <w:vAlign w:val="bottom"/>
            <w:tcBorders>
              <w:bottom w:val="single" w:sz="8" w:color="005CA9"/>
            </w:tcBorders>
            <w:shd w:val="clear" w:color="auto" w:fill="CFF0FC"/>
          </w:tcPr>
          <w:p>
            <w:pPr>
              <w:jc w:val="right"/>
              <w:ind w:right="101"/>
              <w:spacing w:after="0" w:line="239" w:lineRule="exact"/>
              <w:rPr>
                <w:sz w:val="20"/>
                <w:szCs w:val="20"/>
                <w:color w:val="auto"/>
              </w:rPr>
            </w:pPr>
            <w:r>
              <w:rPr>
                <w:rFonts w:ascii="Calibri" w:cs="Calibri" w:eastAsia="Calibri" w:hAnsi="Calibri"/>
                <w:sz w:val="20"/>
                <w:szCs w:val="20"/>
                <w:color w:val="auto"/>
              </w:rPr>
              <w:t>4.81</w:t>
            </w:r>
          </w:p>
        </w:tc>
      </w:tr>
      <w:tr>
        <w:trPr>
          <w:trHeight w:val="173"/>
        </w:trPr>
        <w:tc>
          <w:tcPr>
            <w:tcW w:w="7760" w:type="dxa"/>
            <w:vAlign w:val="bottom"/>
            <w:tcBorders>
              <w:bottom w:val="single" w:sz="8" w:color="005CA9"/>
            </w:tcBorders>
            <w:gridSpan w:val="2"/>
          </w:tcPr>
          <w:p>
            <w:pPr>
              <w:spacing w:after="0"/>
              <w:rPr>
                <w:sz w:val="15"/>
                <w:szCs w:val="15"/>
                <w:color w:val="auto"/>
              </w:rPr>
            </w:pPr>
          </w:p>
        </w:tc>
        <w:tc>
          <w:tcPr>
            <w:tcW w:w="1580" w:type="dxa"/>
            <w:vAlign w:val="bottom"/>
            <w:tcBorders>
              <w:bottom w:val="single" w:sz="8" w:color="005CA9"/>
            </w:tcBorders>
            <w:gridSpan w:val="2"/>
          </w:tcPr>
          <w:p>
            <w:pPr>
              <w:spacing w:after="0"/>
              <w:rPr>
                <w:sz w:val="15"/>
                <w:szCs w:val="15"/>
                <w:color w:val="auto"/>
              </w:rPr>
            </w:pPr>
          </w:p>
        </w:tc>
        <w:tc>
          <w:tcPr>
            <w:tcW w:w="140" w:type="dxa"/>
            <w:vAlign w:val="bottom"/>
            <w:tcBorders>
              <w:bottom w:val="single" w:sz="8" w:color="005CA9"/>
            </w:tcBorders>
          </w:tcPr>
          <w:p>
            <w:pPr>
              <w:spacing w:after="0"/>
              <w:rPr>
                <w:sz w:val="15"/>
                <w:szCs w:val="15"/>
                <w:color w:val="auto"/>
              </w:rPr>
            </w:pPr>
          </w:p>
        </w:tc>
        <w:tc>
          <w:tcPr>
            <w:tcW w:w="180" w:type="dxa"/>
            <w:vAlign w:val="bottom"/>
            <w:tcBorders>
              <w:bottom w:val="single" w:sz="8" w:color="005CA9"/>
            </w:tcBorders>
          </w:tcPr>
          <w:p>
            <w:pPr>
              <w:spacing w:after="0"/>
              <w:rPr>
                <w:sz w:val="15"/>
                <w:szCs w:val="15"/>
                <w:color w:val="auto"/>
              </w:rPr>
            </w:pPr>
          </w:p>
        </w:tc>
        <w:tc>
          <w:tcPr>
            <w:tcW w:w="320" w:type="dxa"/>
            <w:vAlign w:val="bottom"/>
            <w:tcBorders>
              <w:bottom w:val="single" w:sz="8" w:color="005CA9"/>
            </w:tcBorders>
          </w:tcPr>
          <w:p>
            <w:pPr>
              <w:spacing w:after="0"/>
              <w:rPr>
                <w:sz w:val="15"/>
                <w:szCs w:val="15"/>
                <w:color w:val="auto"/>
              </w:rPr>
            </w:pPr>
          </w:p>
        </w:tc>
        <w:tc>
          <w:tcPr>
            <w:tcW w:w="1260" w:type="dxa"/>
            <w:vAlign w:val="bottom"/>
            <w:tcBorders>
              <w:bottom w:val="single" w:sz="8" w:color="005CA9"/>
            </w:tcBorders>
          </w:tcPr>
          <w:p>
            <w:pPr>
              <w:spacing w:after="0"/>
              <w:rPr>
                <w:sz w:val="15"/>
                <w:szCs w:val="15"/>
                <w:color w:val="auto"/>
              </w:rPr>
            </w:pPr>
          </w:p>
        </w:tc>
      </w:tr>
      <w:tr>
        <w:trPr>
          <w:trHeight w:val="232"/>
        </w:trPr>
        <w:tc>
          <w:tcPr>
            <w:tcW w:w="9480" w:type="dxa"/>
            <w:vAlign w:val="bottom"/>
            <w:gridSpan w:val="5"/>
          </w:tcPr>
          <w:p>
            <w:pPr>
              <w:jc w:val="center"/>
              <w:ind w:left="1561"/>
              <w:spacing w:after="0" w:line="232" w:lineRule="exact"/>
              <w:rPr>
                <w:sz w:val="20"/>
                <w:szCs w:val="20"/>
                <w:color w:val="auto"/>
              </w:rPr>
            </w:pPr>
            <w:r>
              <w:rPr>
                <w:rFonts w:ascii="Calibri" w:cs="Calibri" w:eastAsia="Calibri" w:hAnsi="Calibri"/>
                <w:sz w:val="20"/>
                <w:szCs w:val="20"/>
                <w:b w:val="1"/>
                <w:bCs w:val="1"/>
                <w:color w:val="auto"/>
              </w:rPr>
              <w:t>CONSOLIDATED RECONCILIATION OF NET INCOME TO ADJUSTED NET INCOME</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7"/>
        </w:trPr>
        <w:tc>
          <w:tcPr>
            <w:tcW w:w="7380" w:type="dxa"/>
            <w:vAlign w:val="bottom"/>
            <w:shd w:val="clear" w:color="auto" w:fill="CFF0FC"/>
          </w:tcPr>
          <w:p>
            <w:pPr>
              <w:jc w:val="center"/>
              <w:ind w:left="3661"/>
              <w:spacing w:after="0" w:line="239" w:lineRule="exact"/>
              <w:rPr>
                <w:sz w:val="20"/>
                <w:szCs w:val="20"/>
                <w:color w:val="auto"/>
              </w:rPr>
            </w:pPr>
            <w:r>
              <w:rPr>
                <w:rFonts w:ascii="Calibri" w:cs="Calibri" w:eastAsia="Calibri" w:hAnsi="Calibri"/>
                <w:sz w:val="20"/>
                <w:szCs w:val="20"/>
                <w:color w:val="auto"/>
              </w:rPr>
              <w:t>(unaudited)</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39"/>
        </w:trPr>
        <w:tc>
          <w:tcPr>
            <w:tcW w:w="7380" w:type="dxa"/>
            <w:vAlign w:val="bottom"/>
          </w:tcPr>
          <w:p>
            <w:pPr>
              <w:jc w:val="center"/>
              <w:ind w:left="3661"/>
              <w:spacing w:after="0" w:line="234" w:lineRule="exact"/>
              <w:rPr>
                <w:sz w:val="20"/>
                <w:szCs w:val="20"/>
                <w:color w:val="auto"/>
              </w:rPr>
            </w:pPr>
            <w:r>
              <w:rPr>
                <w:rFonts w:ascii="Calibri" w:cs="Calibri" w:eastAsia="Calibri" w:hAnsi="Calibri"/>
                <w:sz w:val="20"/>
                <w:szCs w:val="20"/>
                <w:color w:val="auto"/>
              </w:rPr>
              <w:t>(in thousands, except per share data)</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73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3480" w:type="dxa"/>
            <w:vAlign w:val="bottom"/>
            <w:tcBorders>
              <w:bottom w:val="single" w:sz="8" w:color="auto"/>
            </w:tcBorders>
            <w:gridSpan w:val="6"/>
            <w:shd w:val="clear" w:color="auto" w:fill="CFF0FC"/>
          </w:tcPr>
          <w:p>
            <w:pPr>
              <w:ind w:left="20"/>
              <w:spacing w:after="0" w:line="239" w:lineRule="exact"/>
              <w:rPr>
                <w:sz w:val="20"/>
                <w:szCs w:val="20"/>
                <w:color w:val="auto"/>
              </w:rPr>
            </w:pPr>
            <w:r>
              <w:rPr>
                <w:rFonts w:ascii="Calibri" w:cs="Calibri" w:eastAsia="Calibri" w:hAnsi="Calibri"/>
                <w:sz w:val="20"/>
                <w:szCs w:val="20"/>
                <w:b w:val="1"/>
                <w:bCs w:val="1"/>
                <w:color w:val="auto"/>
              </w:rPr>
              <w:t>For the 12 Months Ended December 31,</w:t>
            </w:r>
          </w:p>
        </w:tc>
      </w:tr>
      <w:tr>
        <w:trPr>
          <w:trHeight w:val="237"/>
        </w:trPr>
        <w:tc>
          <w:tcPr>
            <w:tcW w:w="7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41"/>
              <w:spacing w:after="0" w:line="234" w:lineRule="exact"/>
              <w:rPr>
                <w:sz w:val="20"/>
                <w:szCs w:val="20"/>
                <w:color w:val="auto"/>
              </w:rPr>
            </w:pPr>
            <w:r>
              <w:rPr>
                <w:rFonts w:ascii="Calibri" w:cs="Calibri" w:eastAsia="Calibri" w:hAnsi="Calibri"/>
                <w:sz w:val="20"/>
                <w:szCs w:val="20"/>
                <w:b w:val="1"/>
                <w:bCs w:val="1"/>
                <w:color w:val="auto"/>
              </w:rPr>
              <w:t>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41"/>
              <w:spacing w:after="0" w:line="234" w:lineRule="exact"/>
              <w:rPr>
                <w:sz w:val="20"/>
                <w:szCs w:val="20"/>
                <w:color w:val="auto"/>
              </w:rPr>
            </w:pPr>
            <w:r>
              <w:rPr>
                <w:rFonts w:ascii="Calibri" w:cs="Calibri" w:eastAsia="Calibri" w:hAnsi="Calibri"/>
                <w:sz w:val="20"/>
                <w:szCs w:val="20"/>
                <w:b w:val="1"/>
                <w:bCs w:val="1"/>
                <w:color w:val="auto"/>
              </w:rPr>
              <w:t>2023</w:t>
            </w:r>
          </w:p>
        </w:tc>
      </w:tr>
      <w:tr>
        <w:trPr>
          <w:trHeight w:val="241"/>
        </w:trPr>
        <w:tc>
          <w:tcPr>
            <w:tcW w:w="73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43"/>
        </w:trPr>
        <w:tc>
          <w:tcPr>
            <w:tcW w:w="7380" w:type="dxa"/>
            <w:vAlign w:val="bottom"/>
          </w:tcPr>
          <w:p>
            <w:pPr>
              <w:ind w:left="20"/>
              <w:spacing w:after="0" w:line="243" w:lineRule="exact"/>
              <w:rPr>
                <w:sz w:val="20"/>
                <w:szCs w:val="20"/>
                <w:color w:val="auto"/>
              </w:rPr>
            </w:pPr>
            <w:r>
              <w:rPr>
                <w:rFonts w:ascii="Calibri" w:cs="Calibri" w:eastAsia="Calibri" w:hAnsi="Calibri"/>
                <w:sz w:val="20"/>
                <w:szCs w:val="20"/>
                <w:color w:val="auto"/>
              </w:rPr>
              <w:t>GAAP net income - common stockholders</w:t>
            </w:r>
          </w:p>
        </w:tc>
        <w:tc>
          <w:tcPr>
            <w:tcW w:w="700" w:type="dxa"/>
            <w:vAlign w:val="bottom"/>
            <w:gridSpan w:val="2"/>
          </w:tcPr>
          <w:p>
            <w:pPr>
              <w:ind w:left="400"/>
              <w:spacing w:after="0" w:line="234" w:lineRule="exact"/>
              <w:rPr>
                <w:sz w:val="20"/>
                <w:szCs w:val="20"/>
                <w:color w:val="auto"/>
              </w:rPr>
            </w:pPr>
            <w:r>
              <w:rPr>
                <w:rFonts w:ascii="Calibri" w:cs="Calibri" w:eastAsia="Calibri" w:hAnsi="Calibri"/>
                <w:sz w:val="20"/>
                <w:szCs w:val="20"/>
                <w:color w:val="auto"/>
              </w:rPr>
              <w:t>$</w:t>
            </w: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44,024</w:t>
            </w:r>
          </w:p>
        </w:tc>
        <w:tc>
          <w:tcPr>
            <w:tcW w:w="140" w:type="dxa"/>
            <w:vAlign w:val="bottom"/>
          </w:tcPr>
          <w:p>
            <w:pPr>
              <w:spacing w:after="0"/>
              <w:rPr>
                <w:sz w:val="21"/>
                <w:szCs w:val="21"/>
                <w:color w:val="auto"/>
              </w:rPr>
            </w:pPr>
          </w:p>
        </w:tc>
        <w:tc>
          <w:tcPr>
            <w:tcW w:w="50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w:t>
            </w: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227,182</w:t>
            </w:r>
          </w:p>
        </w:tc>
      </w:tr>
      <w:tr>
        <w:trPr>
          <w:trHeight w:val="20"/>
        </w:trPr>
        <w:tc>
          <w:tcPr>
            <w:tcW w:w="7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38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GAAP earnings per share - common stockholders</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43"/>
        </w:trPr>
        <w:tc>
          <w:tcPr>
            <w:tcW w:w="7380" w:type="dxa"/>
            <w:vAlign w:val="bottom"/>
          </w:tcPr>
          <w:p>
            <w:pPr>
              <w:ind w:left="120"/>
              <w:spacing w:after="0" w:line="243" w:lineRule="exact"/>
              <w:rPr>
                <w:sz w:val="20"/>
                <w:szCs w:val="20"/>
                <w:color w:val="auto"/>
              </w:rPr>
            </w:pPr>
            <w:r>
              <w:rPr>
                <w:rFonts w:ascii="Calibri" w:cs="Calibri" w:eastAsia="Calibri" w:hAnsi="Calibri"/>
                <w:sz w:val="20"/>
                <w:szCs w:val="20"/>
                <w:color w:val="auto"/>
              </w:rPr>
              <w:t>Diluted</w:t>
            </w:r>
          </w:p>
        </w:tc>
        <w:tc>
          <w:tcPr>
            <w:tcW w:w="700" w:type="dxa"/>
            <w:vAlign w:val="bottom"/>
            <w:gridSpan w:val="2"/>
          </w:tcPr>
          <w:p>
            <w:pPr>
              <w:ind w:left="400"/>
              <w:spacing w:after="0" w:line="234" w:lineRule="exact"/>
              <w:rPr>
                <w:sz w:val="20"/>
                <w:szCs w:val="20"/>
                <w:color w:val="auto"/>
              </w:rPr>
            </w:pPr>
            <w:r>
              <w:rPr>
                <w:rFonts w:ascii="Calibri" w:cs="Calibri" w:eastAsia="Calibri" w:hAnsi="Calibri"/>
                <w:sz w:val="20"/>
                <w:szCs w:val="20"/>
                <w:color w:val="auto"/>
              </w:rPr>
              <w:t>$</w:t>
            </w: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0.95</w:t>
            </w:r>
          </w:p>
        </w:tc>
        <w:tc>
          <w:tcPr>
            <w:tcW w:w="140" w:type="dxa"/>
            <w:vAlign w:val="bottom"/>
          </w:tcPr>
          <w:p>
            <w:pPr>
              <w:spacing w:after="0"/>
              <w:rPr>
                <w:sz w:val="21"/>
                <w:szCs w:val="21"/>
                <w:color w:val="auto"/>
              </w:rPr>
            </w:pPr>
          </w:p>
        </w:tc>
        <w:tc>
          <w:tcPr>
            <w:tcW w:w="50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w:t>
            </w: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4.91</w:t>
            </w:r>
          </w:p>
        </w:tc>
      </w:tr>
      <w:tr>
        <w:trPr>
          <w:trHeight w:val="20"/>
        </w:trPr>
        <w:tc>
          <w:tcPr>
            <w:tcW w:w="7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8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Adjustments to reconcile net income - common stockholders</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39"/>
        </w:trPr>
        <w:tc>
          <w:tcPr>
            <w:tcW w:w="7380" w:type="dxa"/>
            <w:vAlign w:val="bottom"/>
          </w:tcPr>
          <w:p>
            <w:pPr>
              <w:ind w:left="20"/>
              <w:spacing w:after="0" w:line="234" w:lineRule="exact"/>
              <w:rPr>
                <w:sz w:val="20"/>
                <w:szCs w:val="20"/>
                <w:color w:val="auto"/>
              </w:rPr>
            </w:pPr>
            <w:r>
              <w:rPr>
                <w:rFonts w:ascii="Calibri" w:cs="Calibri" w:eastAsia="Calibri" w:hAnsi="Calibri"/>
                <w:sz w:val="20"/>
                <w:szCs w:val="20"/>
                <w:color w:val="auto"/>
              </w:rPr>
              <w:t>to adjusted net income - common stockholders, net of tax:</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7"/>
        </w:trPr>
        <w:tc>
          <w:tcPr>
            <w:tcW w:w="7380" w:type="dxa"/>
            <w:vAlign w:val="bottom"/>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Amortzaton of acquisiton-related intangible assets</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13,487</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12,479</w:t>
            </w:r>
          </w:p>
        </w:tc>
      </w:tr>
      <w:tr>
        <w:trPr>
          <w:trHeight w:val="239"/>
        </w:trPr>
        <w:tc>
          <w:tcPr>
            <w:tcW w:w="7380" w:type="dxa"/>
            <w:vAlign w:val="bottom"/>
          </w:tcPr>
          <w:p>
            <w:pPr>
              <w:ind w:left="120"/>
              <w:spacing w:after="0" w:line="234" w:lineRule="exact"/>
              <w:rPr>
                <w:sz w:val="20"/>
                <w:szCs w:val="20"/>
                <w:color w:val="auto"/>
              </w:rPr>
            </w:pPr>
            <w:r>
              <w:rPr>
                <w:rFonts w:ascii="Calibri" w:cs="Calibri" w:eastAsia="Calibri" w:hAnsi="Calibri"/>
                <w:sz w:val="20"/>
                <w:szCs w:val="20"/>
                <w:color w:val="auto"/>
              </w:rPr>
              <w:t>Ofcer retrement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509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2,217</w:t>
            </w:r>
          </w:p>
        </w:tc>
      </w:tr>
      <w:tr>
        <w:trPr>
          <w:trHeight w:val="247"/>
        </w:trPr>
        <w:tc>
          <w:tcPr>
            <w:tcW w:w="7380" w:type="dxa"/>
            <w:vAlign w:val="bottom"/>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Restructuring costs</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7,545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1,187</w:t>
            </w:r>
          </w:p>
        </w:tc>
      </w:tr>
      <w:tr>
        <w:trPr>
          <w:trHeight w:val="239"/>
        </w:trPr>
        <w:tc>
          <w:tcPr>
            <w:tcW w:w="7380" w:type="dxa"/>
            <w:vAlign w:val="bottom"/>
          </w:tcPr>
          <w:p>
            <w:pPr>
              <w:ind w:left="120"/>
              <w:spacing w:after="0" w:line="234" w:lineRule="exact"/>
              <w:rPr>
                <w:sz w:val="20"/>
                <w:szCs w:val="20"/>
                <w:color w:val="auto"/>
              </w:rPr>
            </w:pPr>
            <w:r>
              <w:rPr>
                <w:rFonts w:ascii="Calibri" w:cs="Calibri" w:eastAsia="Calibri" w:hAnsi="Calibri"/>
                <w:sz w:val="20"/>
                <w:szCs w:val="20"/>
                <w:color w:val="auto"/>
              </w:rPr>
              <w:t>Non-cash market-to-market investment value adjustments</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257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line="234" w:lineRule="exact"/>
              <w:rPr>
                <w:sz w:val="20"/>
                <w:szCs w:val="20"/>
                <w:color w:val="auto"/>
              </w:rPr>
            </w:pPr>
            <w:r>
              <w:rPr>
                <w:rFonts w:ascii="Calibri" w:cs="Calibri" w:eastAsia="Calibri" w:hAnsi="Calibri"/>
                <w:sz w:val="20"/>
                <w:szCs w:val="20"/>
                <w:color w:val="auto"/>
              </w:rPr>
              <w:t>(16,577 )</w:t>
            </w:r>
          </w:p>
        </w:tc>
      </w:tr>
      <w:tr>
        <w:trPr>
          <w:trHeight w:val="247"/>
        </w:trPr>
        <w:tc>
          <w:tcPr>
            <w:tcW w:w="7380" w:type="dxa"/>
            <w:vAlign w:val="bottom"/>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Insurance recovery for manufacturing facility</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line="239" w:lineRule="exact"/>
              <w:rPr>
                <w:sz w:val="20"/>
                <w:szCs w:val="20"/>
                <w:color w:val="auto"/>
              </w:rPr>
            </w:pPr>
            <w:r>
              <w:rPr>
                <w:rFonts w:ascii="Calibri" w:cs="Calibri" w:eastAsia="Calibri" w:hAnsi="Calibri"/>
                <w:sz w:val="20"/>
                <w:szCs w:val="20"/>
                <w:color w:val="auto"/>
              </w:rPr>
              <w:t>(5,714 )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w:t>
            </w:r>
          </w:p>
        </w:tc>
      </w:tr>
      <w:tr>
        <w:trPr>
          <w:trHeight w:val="239"/>
        </w:trPr>
        <w:tc>
          <w:tcPr>
            <w:tcW w:w="7380" w:type="dxa"/>
            <w:vAlign w:val="bottom"/>
          </w:tcPr>
          <w:p>
            <w:pPr>
              <w:ind w:left="120"/>
              <w:spacing w:after="0" w:line="234" w:lineRule="exact"/>
              <w:rPr>
                <w:sz w:val="20"/>
                <w:szCs w:val="20"/>
                <w:color w:val="auto"/>
              </w:rPr>
            </w:pPr>
            <w:r>
              <w:rPr>
                <w:rFonts w:ascii="Calibri" w:cs="Calibri" w:eastAsia="Calibri" w:hAnsi="Calibri"/>
                <w:sz w:val="20"/>
                <w:szCs w:val="20"/>
                <w:color w:val="auto"/>
              </w:rPr>
              <w:t>Acquisiton-related costs</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837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w:t>
            </w:r>
          </w:p>
        </w:tc>
      </w:tr>
      <w:tr>
        <w:trPr>
          <w:trHeight w:val="243"/>
        </w:trPr>
        <w:tc>
          <w:tcPr>
            <w:tcW w:w="7380" w:type="dxa"/>
            <w:vAlign w:val="bottom"/>
            <w:tcBorders>
              <w:bottom w:val="single" w:sz="8" w:color="CFF0FC"/>
            </w:tcBorders>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Investment gain</w:t>
            </w:r>
          </w:p>
        </w:tc>
        <w:tc>
          <w:tcPr>
            <w:tcW w:w="3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line="239" w:lineRule="exact"/>
              <w:rPr>
                <w:sz w:val="20"/>
                <w:szCs w:val="20"/>
                <w:color w:val="auto"/>
              </w:rPr>
            </w:pPr>
            <w:r>
              <w:rPr>
                <w:rFonts w:ascii="Calibri" w:cs="Calibri" w:eastAsia="Calibri" w:hAnsi="Calibri"/>
                <w:sz w:val="20"/>
                <w:szCs w:val="20"/>
                <w:color w:val="auto"/>
              </w:rPr>
              <w:t>(3,704 )</w:t>
            </w:r>
          </w:p>
        </w:tc>
      </w:tr>
      <w:tr>
        <w:trPr>
          <w:trHeight w:val="241"/>
        </w:trPr>
        <w:tc>
          <w:tcPr>
            <w:tcW w:w="7380" w:type="dxa"/>
            <w:vAlign w:val="bottom"/>
          </w:tcPr>
          <w:p>
            <w:pPr>
              <w:ind w:left="20"/>
              <w:spacing w:after="0" w:line="241" w:lineRule="exact"/>
              <w:rPr>
                <w:sz w:val="20"/>
                <w:szCs w:val="20"/>
                <w:color w:val="auto"/>
              </w:rPr>
            </w:pPr>
            <w:r>
              <w:rPr>
                <w:rFonts w:ascii="Calibri" w:cs="Calibri" w:eastAsia="Calibri" w:hAnsi="Calibri"/>
                <w:sz w:val="20"/>
                <w:szCs w:val="20"/>
                <w:color w:val="auto"/>
              </w:rPr>
              <w:t xml:space="preserve">Adjusted net income - common stockholders (Non-GAAP) </w:t>
            </w:r>
            <w:r>
              <w:rPr>
                <w:rFonts w:ascii="Calibri" w:cs="Calibri" w:eastAsia="Calibri" w:hAnsi="Calibri"/>
                <w:sz w:val="26"/>
                <w:szCs w:val="26"/>
                <w:color w:val="auto"/>
                <w:vertAlign w:val="superscript"/>
              </w:rPr>
              <w:t>(1)</w:t>
            </w:r>
          </w:p>
        </w:tc>
        <w:tc>
          <w:tcPr>
            <w:tcW w:w="700" w:type="dxa"/>
            <w:vAlign w:val="bottom"/>
            <w:gridSpan w:val="2"/>
          </w:tcPr>
          <w:p>
            <w:pPr>
              <w:ind w:left="400"/>
              <w:spacing w:after="0" w:line="234" w:lineRule="exact"/>
              <w:rPr>
                <w:sz w:val="20"/>
                <w:szCs w:val="20"/>
                <w:color w:val="auto"/>
              </w:rPr>
            </w:pPr>
            <w:r>
              <w:rPr>
                <w:rFonts w:ascii="Calibri" w:cs="Calibri" w:eastAsia="Calibri" w:hAnsi="Calibri"/>
                <w:sz w:val="20"/>
                <w:szCs w:val="20"/>
                <w:color w:val="auto"/>
              </w:rPr>
              <w:t>$</w:t>
            </w: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60,945</w:t>
            </w:r>
          </w:p>
        </w:tc>
        <w:tc>
          <w:tcPr>
            <w:tcW w:w="140" w:type="dxa"/>
            <w:vAlign w:val="bottom"/>
          </w:tcPr>
          <w:p>
            <w:pPr>
              <w:spacing w:after="0"/>
              <w:rPr>
                <w:sz w:val="20"/>
                <w:szCs w:val="20"/>
                <w:color w:val="auto"/>
              </w:rPr>
            </w:pPr>
          </w:p>
        </w:tc>
        <w:tc>
          <w:tcPr>
            <w:tcW w:w="50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w:t>
            </w: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222,784</w:t>
            </w:r>
          </w:p>
        </w:tc>
      </w:tr>
      <w:tr>
        <w:trPr>
          <w:trHeight w:val="20"/>
        </w:trPr>
        <w:tc>
          <w:tcPr>
            <w:tcW w:w="7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43"/>
        </w:trPr>
        <w:tc>
          <w:tcPr>
            <w:tcW w:w="7380" w:type="dxa"/>
            <w:vAlign w:val="bottom"/>
          </w:tcPr>
          <w:p>
            <w:pPr>
              <w:ind w:left="120"/>
              <w:spacing w:after="0" w:line="243" w:lineRule="exact"/>
              <w:rPr>
                <w:sz w:val="20"/>
                <w:szCs w:val="20"/>
                <w:color w:val="auto"/>
              </w:rPr>
            </w:pPr>
            <w:r>
              <w:rPr>
                <w:rFonts w:ascii="Calibri" w:cs="Calibri" w:eastAsia="Calibri" w:hAnsi="Calibri"/>
                <w:sz w:val="20"/>
                <w:szCs w:val="20"/>
                <w:color w:val="auto"/>
              </w:rPr>
              <w:t>Diluted shares used in computng earnings per share</w:t>
            </w:r>
          </w:p>
        </w:tc>
        <w:tc>
          <w:tcPr>
            <w:tcW w:w="3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46,408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46,311</w:t>
            </w:r>
          </w:p>
        </w:tc>
      </w:tr>
      <w:tr>
        <w:trPr>
          <w:trHeight w:val="20"/>
        </w:trPr>
        <w:tc>
          <w:tcPr>
            <w:tcW w:w="7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738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Adjusted earnings per share - common stockholders (Non-GAAP)</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43"/>
        </w:trPr>
        <w:tc>
          <w:tcPr>
            <w:tcW w:w="7380" w:type="dxa"/>
            <w:vAlign w:val="bottom"/>
          </w:tcPr>
          <w:p>
            <w:pPr>
              <w:ind w:left="120"/>
              <w:spacing w:after="0" w:line="243" w:lineRule="exact"/>
              <w:rPr>
                <w:sz w:val="20"/>
                <w:szCs w:val="20"/>
                <w:color w:val="auto"/>
              </w:rPr>
            </w:pPr>
            <w:r>
              <w:rPr>
                <w:rFonts w:ascii="Calibri" w:cs="Calibri" w:eastAsia="Calibri" w:hAnsi="Calibri"/>
                <w:sz w:val="20"/>
                <w:szCs w:val="20"/>
                <w:color w:val="auto"/>
              </w:rPr>
              <w:t xml:space="preserve">Diluted </w:t>
            </w:r>
            <w:r>
              <w:rPr>
                <w:rFonts w:ascii="Calibri" w:cs="Calibri" w:eastAsia="Calibri" w:hAnsi="Calibri"/>
                <w:sz w:val="26"/>
                <w:szCs w:val="26"/>
                <w:color w:val="auto"/>
                <w:vertAlign w:val="superscript"/>
              </w:rPr>
              <w:t>(1)</w:t>
            </w:r>
          </w:p>
        </w:tc>
        <w:tc>
          <w:tcPr>
            <w:tcW w:w="700" w:type="dxa"/>
            <w:vAlign w:val="bottom"/>
            <w:gridSpan w:val="2"/>
          </w:tcPr>
          <w:p>
            <w:pPr>
              <w:ind w:left="400"/>
              <w:spacing w:after="0" w:line="234" w:lineRule="exact"/>
              <w:rPr>
                <w:sz w:val="20"/>
                <w:szCs w:val="20"/>
                <w:color w:val="auto"/>
              </w:rPr>
            </w:pPr>
            <w:r>
              <w:rPr>
                <w:rFonts w:ascii="Calibri" w:cs="Calibri" w:eastAsia="Calibri" w:hAnsi="Calibri"/>
                <w:sz w:val="20"/>
                <w:szCs w:val="20"/>
                <w:color w:val="auto"/>
              </w:rPr>
              <w:t>$</w:t>
            </w: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1.31</w:t>
            </w:r>
          </w:p>
        </w:tc>
        <w:tc>
          <w:tcPr>
            <w:tcW w:w="140" w:type="dxa"/>
            <w:vAlign w:val="bottom"/>
          </w:tcPr>
          <w:p>
            <w:pPr>
              <w:spacing w:after="0"/>
              <w:rPr>
                <w:sz w:val="21"/>
                <w:szCs w:val="21"/>
                <w:color w:val="auto"/>
              </w:rPr>
            </w:pPr>
          </w:p>
        </w:tc>
        <w:tc>
          <w:tcPr>
            <w:tcW w:w="50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w:t>
            </w:r>
          </w:p>
        </w:tc>
        <w:tc>
          <w:tcPr>
            <w:tcW w:w="126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4.81</w:t>
            </w:r>
          </w:p>
        </w:tc>
      </w:tr>
      <w:tr>
        <w:trPr>
          <w:trHeight w:val="20"/>
        </w:trPr>
        <w:tc>
          <w:tcPr>
            <w:tcW w:w="7380" w:type="dxa"/>
            <w:vAlign w:val="bottom"/>
            <w:tcBorders>
              <w:bottom w:val="single" w:sz="8" w:color="005CA9"/>
            </w:tcBorders>
          </w:tcPr>
          <w:p>
            <w:pPr>
              <w:spacing w:after="0" w:line="20" w:lineRule="exact"/>
              <w:rPr>
                <w:sz w:val="1"/>
                <w:szCs w:val="1"/>
                <w:color w:val="auto"/>
              </w:rPr>
            </w:pPr>
          </w:p>
        </w:tc>
        <w:tc>
          <w:tcPr>
            <w:tcW w:w="380" w:type="dxa"/>
            <w:vAlign w:val="bottom"/>
            <w:tcBorders>
              <w:bottom w:val="single" w:sz="8" w:color="005CA9"/>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005CA9"/>
            </w:tcBorders>
          </w:tcPr>
          <w:p>
            <w:pPr>
              <w:spacing w:after="0" w:line="20" w:lineRule="exact"/>
              <w:rPr>
                <w:sz w:val="1"/>
                <w:szCs w:val="1"/>
                <w:color w:val="auto"/>
              </w:rPr>
            </w:pPr>
          </w:p>
        </w:tc>
        <w:tc>
          <w:tcPr>
            <w:tcW w:w="180" w:type="dxa"/>
            <w:vAlign w:val="bottom"/>
            <w:tcBorders>
              <w:bottom w:val="single" w:sz="8" w:color="005CA9"/>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-856615</wp:posOffset>
            </wp:positionV>
            <wp:extent cx="2057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ind w:firstLine="8"/>
        <w:spacing w:after="0" w:line="232" w:lineRule="auto"/>
        <w:tabs>
          <w:tab w:leader="none" w:pos="214"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See Exhibit 99.1 to the Current Report on Form 8-K fled with the SEC on February 11, 2025 for a descripton of the adjustments used to calculate Adjusted net income – common stockholders (Non-GAAP) and Adjusted earnings per share – common stockholders (Non-GAAP) Diluted.</w:t>
      </w:r>
    </w:p>
    <w:p>
      <w:pPr>
        <w:spacing w:after="0" w:line="32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30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3" w:name="page34"/>
    <w:bookmarkEnd w:id="33"/>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OVERVIEW OF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p>
      <w:pPr>
        <w:spacing w:after="0" w:line="15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65F91"/>
        </w:rPr>
        <w:t>Compensaton Philosophy</w:t>
      </w:r>
    </w:p>
    <w:p>
      <w:pPr>
        <w:spacing w:after="0" w:line="113"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Our executve compensaton program is designed to atract, retain, and motvate experienced executves to achieve sustainable proftable growth and generate positve cash fow. Our compensaton philosophy is driven by the following 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107315</wp:posOffset>
            </wp:positionV>
            <wp:extent cx="6172200" cy="3317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2200"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31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22"/>
          <w:szCs w:val="22"/>
          <w:b w:val="1"/>
          <w:bCs w:val="1"/>
          <w:color w:val="365F91"/>
        </w:rPr>
        <w:t>Best-Practce Compensaton Governance Features</w:t>
      </w:r>
    </w:p>
    <w:p>
      <w:pPr>
        <w:spacing w:after="0" w:line="101" w:lineRule="exact"/>
        <w:rPr>
          <w:sz w:val="20"/>
          <w:szCs w:val="20"/>
          <w:color w:val="auto"/>
        </w:rPr>
      </w:pPr>
    </w:p>
    <w:p>
      <w:pPr>
        <w:spacing w:after="0"/>
        <w:rPr>
          <w:sz w:val="20"/>
          <w:szCs w:val="20"/>
          <w:color w:val="auto"/>
        </w:rPr>
      </w:pPr>
      <w:r>
        <w:rPr>
          <w:rFonts w:ascii="Calibri" w:cs="Calibri" w:eastAsia="Calibri" w:hAnsi="Calibri"/>
          <w:sz w:val="20"/>
          <w:szCs w:val="20"/>
          <w:color w:val="auto"/>
        </w:rPr>
        <w:t>Our executve compensaton program is based upon best-practces.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60" w:type="dxa"/>
            <w:vAlign w:val="bottom"/>
            <w:tcBorders>
              <w:top w:val="single" w:sz="8" w:color="4F81BD"/>
            </w:tcBorders>
            <w:gridSpan w:val="2"/>
          </w:tcPr>
          <w:p>
            <w:pPr>
              <w:ind w:left="140"/>
              <w:spacing w:after="0"/>
              <w:rPr>
                <w:sz w:val="20"/>
                <w:szCs w:val="20"/>
                <w:color w:val="auto"/>
              </w:rPr>
            </w:pPr>
            <w:r>
              <w:rPr>
                <w:rFonts w:ascii="Calibri" w:cs="Calibri" w:eastAsia="Calibri" w:hAnsi="Calibri"/>
                <w:sz w:val="20"/>
                <w:szCs w:val="20"/>
                <w:b w:val="1"/>
                <w:bCs w:val="1"/>
                <w:color w:val="auto"/>
              </w:rPr>
              <w:t>What We Do</w:t>
            </w:r>
          </w:p>
        </w:tc>
        <w:tc>
          <w:tcPr>
            <w:tcW w:w="6180" w:type="dxa"/>
            <w:vAlign w:val="bottom"/>
            <w:tcBorders>
              <w:top w:val="single" w:sz="8" w:color="4F81BD"/>
            </w:tcBorders>
          </w:tcPr>
          <w:p>
            <w:pPr>
              <w:ind w:left="100"/>
              <w:spacing w:after="0"/>
              <w:rPr>
                <w:sz w:val="20"/>
                <w:szCs w:val="20"/>
                <w:color w:val="auto"/>
              </w:rPr>
            </w:pPr>
            <w:r>
              <w:rPr>
                <w:rFonts w:ascii="Calibri" w:cs="Calibri" w:eastAsia="Calibri" w:hAnsi="Calibri"/>
                <w:sz w:val="20"/>
                <w:szCs w:val="20"/>
                <w:b w:val="1"/>
                <w:bCs w:val="1"/>
                <w:color w:val="auto"/>
              </w:rPr>
              <w:t>What We Don’t Do</w:t>
            </w:r>
          </w:p>
        </w:tc>
      </w:tr>
      <w:tr>
        <w:trPr>
          <w:trHeight w:val="70"/>
        </w:trPr>
        <w:tc>
          <w:tcPr>
            <w:tcW w:w="480" w:type="dxa"/>
            <w:vAlign w:val="bottom"/>
            <w:tcBorders>
              <w:bottom w:val="single" w:sz="8" w:color="4F81BD"/>
            </w:tcBorders>
          </w:tcPr>
          <w:p>
            <w:pPr>
              <w:spacing w:after="0"/>
              <w:rPr>
                <w:sz w:val="6"/>
                <w:szCs w:val="6"/>
                <w:color w:val="auto"/>
              </w:rPr>
            </w:pPr>
          </w:p>
        </w:tc>
        <w:tc>
          <w:tcPr>
            <w:tcW w:w="4580" w:type="dxa"/>
            <w:vAlign w:val="bottom"/>
            <w:tcBorders>
              <w:bottom w:val="single" w:sz="8" w:color="4F81BD"/>
            </w:tcBorders>
          </w:tcPr>
          <w:p>
            <w:pPr>
              <w:spacing w:after="0"/>
              <w:rPr>
                <w:sz w:val="6"/>
                <w:szCs w:val="6"/>
                <w:color w:val="auto"/>
              </w:rPr>
            </w:pPr>
          </w:p>
        </w:tc>
        <w:tc>
          <w:tcPr>
            <w:tcW w:w="6180" w:type="dxa"/>
            <w:vAlign w:val="bottom"/>
            <w:tcBorders>
              <w:bottom w:val="single" w:sz="8" w:color="4F81BD"/>
            </w:tcBorders>
          </w:tcPr>
          <w:p>
            <w:pPr>
              <w:spacing w:after="0"/>
              <w:rPr>
                <w:sz w:val="6"/>
                <w:szCs w:val="6"/>
                <w:color w:val="auto"/>
              </w:rPr>
            </w:pPr>
          </w:p>
        </w:tc>
      </w:tr>
      <w:tr>
        <w:trPr>
          <w:trHeight w:val="219"/>
        </w:trPr>
        <w:tc>
          <w:tcPr>
            <w:tcW w:w="480" w:type="dxa"/>
            <w:vAlign w:val="bottom"/>
            <w:shd w:val="clear" w:color="auto" w:fill="CFF0FC"/>
          </w:tcPr>
          <w:p>
            <w:pPr>
              <w:ind w:left="140"/>
              <w:spacing w:after="0" w:line="218" w:lineRule="exact"/>
              <w:rPr>
                <w:sz w:val="20"/>
                <w:szCs w:val="20"/>
                <w:color w:val="auto"/>
              </w:rPr>
            </w:pPr>
            <w:r>
              <w:rPr>
                <w:rFonts w:ascii="Wingdings" w:cs="Wingdings" w:eastAsia="Wingdings" w:hAnsi="Wingdings"/>
                <w:sz w:val="20"/>
                <w:szCs w:val="20"/>
                <w:b w:val="1"/>
                <w:bCs w:val="1"/>
                <w:color w:val="auto"/>
                <w:highlight w:val="black"/>
              </w:rPr>
              <w:t></w:t>
            </w:r>
          </w:p>
        </w:tc>
        <w:tc>
          <w:tcPr>
            <w:tcW w:w="4580" w:type="dxa"/>
            <w:vAlign w:val="bottom"/>
            <w:shd w:val="clear" w:color="auto" w:fill="CFF0FC"/>
          </w:tcPr>
          <w:p>
            <w:pPr>
              <w:ind w:left="200"/>
              <w:spacing w:after="0" w:line="218" w:lineRule="exact"/>
              <w:rPr>
                <w:sz w:val="20"/>
                <w:szCs w:val="20"/>
                <w:color w:val="auto"/>
              </w:rPr>
            </w:pPr>
            <w:r>
              <w:rPr>
                <w:rFonts w:ascii="Calibri" w:cs="Calibri" w:eastAsia="Calibri" w:hAnsi="Calibri"/>
                <w:sz w:val="20"/>
                <w:szCs w:val="20"/>
                <w:color w:val="auto"/>
              </w:rPr>
              <w:t>Place  heavy  emphasis  on  performance-based</w:t>
            </w:r>
          </w:p>
        </w:tc>
        <w:tc>
          <w:tcPr>
            <w:tcW w:w="6180" w:type="dxa"/>
            <w:vAlign w:val="bottom"/>
            <w:shd w:val="clear" w:color="auto" w:fill="CFF0FC"/>
          </w:tcPr>
          <w:p>
            <w:pPr>
              <w:ind w:left="160"/>
              <w:spacing w:after="0" w:line="218" w:lineRule="exact"/>
              <w:rPr>
                <w:sz w:val="20"/>
                <w:szCs w:val="20"/>
                <w:color w:val="auto"/>
              </w:rPr>
            </w:pPr>
            <w:r>
              <w:rPr>
                <w:rFonts w:ascii="Calibri" w:cs="Calibri" w:eastAsia="Calibri" w:hAnsi="Calibri"/>
                <w:sz w:val="20"/>
                <w:szCs w:val="20"/>
                <w:b w:val="1"/>
                <w:bCs w:val="1"/>
                <w:color w:val="auto"/>
              </w:rPr>
              <w:t xml:space="preserve">X  </w:t>
            </w:r>
            <w:r>
              <w:rPr>
                <w:rFonts w:ascii="Calibri" w:cs="Calibri" w:eastAsia="Calibri" w:hAnsi="Calibri"/>
                <w:sz w:val="20"/>
                <w:szCs w:val="20"/>
                <w:color w:val="auto"/>
              </w:rPr>
              <w:t>Allow opton backdatng, cash out of underwater optons, or</w:t>
            </w:r>
          </w:p>
        </w:tc>
      </w:tr>
      <w:tr>
        <w:trPr>
          <w:trHeight w:val="234"/>
        </w:trPr>
        <w:tc>
          <w:tcPr>
            <w:tcW w:w="480" w:type="dxa"/>
            <w:vAlign w:val="bottom"/>
            <w:shd w:val="clear" w:color="auto" w:fill="CFF0FC"/>
          </w:tcPr>
          <w:p>
            <w:pPr>
              <w:spacing w:after="0"/>
              <w:rPr>
                <w:sz w:val="20"/>
                <w:szCs w:val="20"/>
                <w:color w:val="auto"/>
              </w:rPr>
            </w:pPr>
          </w:p>
        </w:tc>
        <w:tc>
          <w:tcPr>
            <w:tcW w:w="4580" w:type="dxa"/>
            <w:vAlign w:val="bottom"/>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variable compensaton. Generally the Company sets</w:t>
            </w:r>
          </w:p>
        </w:tc>
        <w:tc>
          <w:tcPr>
            <w:tcW w:w="6180" w:type="dxa"/>
            <w:vAlign w:val="bottom"/>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opton repricing</w:t>
            </w:r>
          </w:p>
        </w:tc>
      </w:tr>
      <w:tr>
        <w:trPr>
          <w:trHeight w:val="243"/>
        </w:trPr>
        <w:tc>
          <w:tcPr>
            <w:tcW w:w="480" w:type="dxa"/>
            <w:vAlign w:val="bottom"/>
            <w:shd w:val="clear" w:color="auto" w:fill="CFF0FC"/>
          </w:tcPr>
          <w:p>
            <w:pPr>
              <w:spacing w:after="0"/>
              <w:rPr>
                <w:sz w:val="21"/>
                <w:szCs w:val="21"/>
                <w:color w:val="auto"/>
              </w:rPr>
            </w:pPr>
          </w:p>
        </w:tc>
        <w:tc>
          <w:tcPr>
            <w:tcW w:w="4580" w:type="dxa"/>
            <w:vAlign w:val="bottom"/>
            <w:shd w:val="clear" w:color="auto" w:fill="CFF0FC"/>
          </w:tcPr>
          <w:p>
            <w:pPr>
              <w:ind w:left="200"/>
              <w:spacing w:after="0" w:line="243" w:lineRule="exact"/>
              <w:rPr>
                <w:sz w:val="20"/>
                <w:szCs w:val="20"/>
                <w:color w:val="auto"/>
              </w:rPr>
            </w:pPr>
            <w:r>
              <w:rPr>
                <w:rFonts w:ascii="Calibri" w:cs="Calibri" w:eastAsia="Calibri" w:hAnsi="Calibri"/>
                <w:sz w:val="20"/>
                <w:szCs w:val="20"/>
                <w:color w:val="auto"/>
              </w:rPr>
              <w:t>performance objectves for annual bonuses and</w:t>
            </w:r>
          </w:p>
        </w:tc>
        <w:tc>
          <w:tcPr>
            <w:tcW w:w="6180" w:type="dxa"/>
            <w:vAlign w:val="bottom"/>
            <w:shd w:val="clear" w:color="auto" w:fill="CFF0FC"/>
          </w:tcPr>
          <w:p>
            <w:pPr>
              <w:spacing w:after="0"/>
              <w:rPr>
                <w:sz w:val="21"/>
                <w:szCs w:val="21"/>
                <w:color w:val="auto"/>
              </w:rPr>
            </w:pPr>
          </w:p>
        </w:tc>
      </w:tr>
      <w:tr>
        <w:trPr>
          <w:trHeight w:val="243"/>
        </w:trPr>
        <w:tc>
          <w:tcPr>
            <w:tcW w:w="480" w:type="dxa"/>
            <w:vAlign w:val="bottom"/>
            <w:shd w:val="clear" w:color="auto" w:fill="CFF0FC"/>
          </w:tcPr>
          <w:p>
            <w:pPr>
              <w:spacing w:after="0"/>
              <w:rPr>
                <w:sz w:val="21"/>
                <w:szCs w:val="21"/>
                <w:color w:val="auto"/>
              </w:rPr>
            </w:pPr>
          </w:p>
        </w:tc>
        <w:tc>
          <w:tcPr>
            <w:tcW w:w="4580" w:type="dxa"/>
            <w:vAlign w:val="bottom"/>
            <w:shd w:val="clear" w:color="auto" w:fill="CFF0FC"/>
          </w:tcPr>
          <w:p>
            <w:pPr>
              <w:ind w:left="200"/>
              <w:spacing w:after="0" w:line="243" w:lineRule="exact"/>
              <w:rPr>
                <w:sz w:val="20"/>
                <w:szCs w:val="20"/>
                <w:color w:val="auto"/>
              </w:rPr>
            </w:pPr>
            <w:r>
              <w:rPr>
                <w:rFonts w:ascii="Calibri" w:cs="Calibri" w:eastAsia="Calibri" w:hAnsi="Calibri"/>
                <w:sz w:val="20"/>
                <w:szCs w:val="20"/>
                <w:color w:val="auto"/>
              </w:rPr>
              <w:t>long-term equity incentves higher year-over-year</w:t>
            </w:r>
          </w:p>
        </w:tc>
        <w:tc>
          <w:tcPr>
            <w:tcW w:w="6180" w:type="dxa"/>
            <w:vAlign w:val="bottom"/>
            <w:shd w:val="clear" w:color="auto" w:fill="CFF0FC"/>
          </w:tcPr>
          <w:p>
            <w:pPr>
              <w:spacing w:after="0"/>
              <w:rPr>
                <w:sz w:val="21"/>
                <w:szCs w:val="21"/>
                <w:color w:val="auto"/>
              </w:rPr>
            </w:pPr>
          </w:p>
        </w:tc>
      </w:tr>
      <w:tr>
        <w:trPr>
          <w:trHeight w:val="243"/>
        </w:trPr>
        <w:tc>
          <w:tcPr>
            <w:tcW w:w="480" w:type="dxa"/>
            <w:vAlign w:val="bottom"/>
            <w:shd w:val="clear" w:color="auto" w:fill="CFF0FC"/>
          </w:tcPr>
          <w:p>
            <w:pPr>
              <w:spacing w:after="0"/>
              <w:rPr>
                <w:sz w:val="21"/>
                <w:szCs w:val="21"/>
                <w:color w:val="auto"/>
              </w:rPr>
            </w:pPr>
          </w:p>
        </w:tc>
        <w:tc>
          <w:tcPr>
            <w:tcW w:w="4580" w:type="dxa"/>
            <w:vAlign w:val="bottom"/>
            <w:shd w:val="clear" w:color="auto" w:fill="CFF0FC"/>
          </w:tcPr>
          <w:p>
            <w:pPr>
              <w:ind w:left="200"/>
              <w:spacing w:after="0" w:line="243" w:lineRule="exact"/>
              <w:rPr>
                <w:sz w:val="20"/>
                <w:szCs w:val="20"/>
                <w:color w:val="auto"/>
              </w:rPr>
            </w:pPr>
            <w:r>
              <w:rPr>
                <w:rFonts w:ascii="Calibri" w:cs="Calibri" w:eastAsia="Calibri" w:hAnsi="Calibri"/>
                <w:sz w:val="20"/>
                <w:szCs w:val="20"/>
                <w:color w:val="auto"/>
              </w:rPr>
              <w:t>to establish challenging goals and thereby align the</w:t>
            </w:r>
          </w:p>
        </w:tc>
        <w:tc>
          <w:tcPr>
            <w:tcW w:w="6180" w:type="dxa"/>
            <w:vAlign w:val="bottom"/>
            <w:shd w:val="clear" w:color="auto" w:fill="CFF0FC"/>
          </w:tcPr>
          <w:p>
            <w:pPr>
              <w:spacing w:after="0"/>
              <w:rPr>
                <w:sz w:val="21"/>
                <w:szCs w:val="21"/>
                <w:color w:val="auto"/>
              </w:rPr>
            </w:pPr>
          </w:p>
        </w:tc>
      </w:tr>
      <w:tr>
        <w:trPr>
          <w:trHeight w:val="243"/>
        </w:trPr>
        <w:tc>
          <w:tcPr>
            <w:tcW w:w="480" w:type="dxa"/>
            <w:vAlign w:val="bottom"/>
            <w:shd w:val="clear" w:color="auto" w:fill="CFF0FC"/>
          </w:tcPr>
          <w:p>
            <w:pPr>
              <w:spacing w:after="0"/>
              <w:rPr>
                <w:sz w:val="21"/>
                <w:szCs w:val="21"/>
                <w:color w:val="auto"/>
              </w:rPr>
            </w:pPr>
          </w:p>
        </w:tc>
        <w:tc>
          <w:tcPr>
            <w:tcW w:w="4580" w:type="dxa"/>
            <w:vAlign w:val="bottom"/>
            <w:shd w:val="clear" w:color="auto" w:fill="CFF0FC"/>
          </w:tcPr>
          <w:p>
            <w:pPr>
              <w:ind w:left="200"/>
              <w:spacing w:after="0" w:line="243" w:lineRule="exact"/>
              <w:rPr>
                <w:sz w:val="20"/>
                <w:szCs w:val="20"/>
                <w:color w:val="auto"/>
              </w:rPr>
            </w:pPr>
            <w:r>
              <w:rPr>
                <w:rFonts w:ascii="Calibri" w:cs="Calibri" w:eastAsia="Calibri" w:hAnsi="Calibri"/>
                <w:sz w:val="20"/>
                <w:szCs w:val="20"/>
                <w:color w:val="auto"/>
              </w:rPr>
              <w:t>interests of our executves with the interests of our</w:t>
            </w:r>
          </w:p>
        </w:tc>
        <w:tc>
          <w:tcPr>
            <w:tcW w:w="6180" w:type="dxa"/>
            <w:vAlign w:val="bottom"/>
            <w:shd w:val="clear" w:color="auto" w:fill="CFF0FC"/>
          </w:tcPr>
          <w:p>
            <w:pPr>
              <w:spacing w:after="0"/>
              <w:rPr>
                <w:sz w:val="21"/>
                <w:szCs w:val="21"/>
                <w:color w:val="auto"/>
              </w:rPr>
            </w:pPr>
          </w:p>
        </w:tc>
      </w:tr>
      <w:tr>
        <w:trPr>
          <w:trHeight w:val="243"/>
        </w:trPr>
        <w:tc>
          <w:tcPr>
            <w:tcW w:w="480" w:type="dxa"/>
            <w:vAlign w:val="bottom"/>
            <w:shd w:val="clear" w:color="auto" w:fill="CFF0FC"/>
          </w:tcPr>
          <w:p>
            <w:pPr>
              <w:spacing w:after="0"/>
              <w:rPr>
                <w:sz w:val="21"/>
                <w:szCs w:val="21"/>
                <w:color w:val="auto"/>
              </w:rPr>
            </w:pPr>
          </w:p>
        </w:tc>
        <w:tc>
          <w:tcPr>
            <w:tcW w:w="4580" w:type="dxa"/>
            <w:vAlign w:val="bottom"/>
            <w:shd w:val="clear" w:color="auto" w:fill="CFF0FC"/>
          </w:tcPr>
          <w:p>
            <w:pPr>
              <w:ind w:left="200"/>
              <w:spacing w:after="0" w:line="243" w:lineRule="exact"/>
              <w:rPr>
                <w:sz w:val="20"/>
                <w:szCs w:val="20"/>
                <w:color w:val="auto"/>
              </w:rPr>
            </w:pPr>
            <w:r>
              <w:rPr>
                <w:rFonts w:ascii="Calibri" w:cs="Calibri" w:eastAsia="Calibri" w:hAnsi="Calibri"/>
                <w:sz w:val="20"/>
                <w:szCs w:val="20"/>
                <w:color w:val="auto"/>
              </w:rPr>
              <w:t>stockholders</w:t>
            </w:r>
          </w:p>
        </w:tc>
        <w:tc>
          <w:tcPr>
            <w:tcW w:w="6180" w:type="dxa"/>
            <w:vAlign w:val="bottom"/>
            <w:shd w:val="clear" w:color="auto" w:fill="CFF0FC"/>
          </w:tcPr>
          <w:p>
            <w:pPr>
              <w:spacing w:after="0"/>
              <w:rPr>
                <w:sz w:val="21"/>
                <w:szCs w:val="21"/>
                <w:color w:val="auto"/>
              </w:rPr>
            </w:pPr>
          </w:p>
        </w:tc>
      </w:tr>
      <w:tr>
        <w:trPr>
          <w:trHeight w:val="73"/>
        </w:trPr>
        <w:tc>
          <w:tcPr>
            <w:tcW w:w="480" w:type="dxa"/>
            <w:vAlign w:val="bottom"/>
            <w:shd w:val="clear" w:color="auto" w:fill="CFF0FC"/>
          </w:tcPr>
          <w:p>
            <w:pPr>
              <w:spacing w:after="0"/>
              <w:rPr>
                <w:sz w:val="6"/>
                <w:szCs w:val="6"/>
                <w:color w:val="auto"/>
              </w:rPr>
            </w:pPr>
          </w:p>
        </w:tc>
        <w:tc>
          <w:tcPr>
            <w:tcW w:w="4580" w:type="dxa"/>
            <w:vAlign w:val="bottom"/>
            <w:shd w:val="clear" w:color="auto" w:fill="CFF0FC"/>
          </w:tcPr>
          <w:p>
            <w:pPr>
              <w:spacing w:after="0"/>
              <w:rPr>
                <w:sz w:val="6"/>
                <w:szCs w:val="6"/>
                <w:color w:val="auto"/>
              </w:rPr>
            </w:pPr>
          </w:p>
        </w:tc>
        <w:tc>
          <w:tcPr>
            <w:tcW w:w="6180" w:type="dxa"/>
            <w:vAlign w:val="bottom"/>
            <w:shd w:val="clear" w:color="auto" w:fill="CFF0FC"/>
          </w:tcPr>
          <w:p>
            <w:pPr>
              <w:spacing w:after="0"/>
              <w:rPr>
                <w:sz w:val="6"/>
                <w:szCs w:val="6"/>
                <w:color w:val="auto"/>
              </w:rPr>
            </w:pPr>
          </w:p>
        </w:tc>
      </w:tr>
      <w:tr>
        <w:trPr>
          <w:trHeight w:val="219"/>
        </w:trPr>
        <w:tc>
          <w:tcPr>
            <w:tcW w:w="480" w:type="dxa"/>
            <w:vAlign w:val="bottom"/>
          </w:tcPr>
          <w:p>
            <w:pPr>
              <w:ind w:left="140"/>
              <w:spacing w:after="0" w:line="218" w:lineRule="exact"/>
              <w:rPr>
                <w:sz w:val="20"/>
                <w:szCs w:val="20"/>
                <w:color w:val="auto"/>
              </w:rPr>
            </w:pPr>
            <w:r>
              <w:rPr>
                <w:rFonts w:ascii="Wingdings" w:cs="Wingdings" w:eastAsia="Wingdings" w:hAnsi="Wingdings"/>
                <w:sz w:val="20"/>
                <w:szCs w:val="20"/>
                <w:b w:val="1"/>
                <w:bCs w:val="1"/>
                <w:color w:val="auto"/>
                <w:highlight w:val="black"/>
              </w:rPr>
              <w:t></w:t>
            </w:r>
          </w:p>
        </w:tc>
        <w:tc>
          <w:tcPr>
            <w:tcW w:w="4580" w:type="dxa"/>
            <w:vAlign w:val="bottom"/>
          </w:tcPr>
          <w:p>
            <w:pPr>
              <w:ind w:left="200"/>
              <w:spacing w:after="0" w:line="218" w:lineRule="exact"/>
              <w:rPr>
                <w:sz w:val="20"/>
                <w:szCs w:val="20"/>
                <w:color w:val="auto"/>
              </w:rPr>
            </w:pPr>
            <w:r>
              <w:rPr>
                <w:rFonts w:ascii="Calibri" w:cs="Calibri" w:eastAsia="Calibri" w:hAnsi="Calibri"/>
                <w:sz w:val="20"/>
                <w:szCs w:val="20"/>
                <w:color w:val="auto"/>
              </w:rPr>
              <w:t>Emphasize long-term equity awards in executve</w:t>
            </w:r>
          </w:p>
        </w:tc>
        <w:tc>
          <w:tcPr>
            <w:tcW w:w="6180" w:type="dxa"/>
            <w:vAlign w:val="bottom"/>
          </w:tcPr>
          <w:p>
            <w:pPr>
              <w:ind w:left="160"/>
              <w:spacing w:after="0" w:line="218" w:lineRule="exact"/>
              <w:rPr>
                <w:sz w:val="20"/>
                <w:szCs w:val="20"/>
                <w:color w:val="auto"/>
              </w:rPr>
            </w:pPr>
            <w:r>
              <w:rPr>
                <w:rFonts w:ascii="Calibri" w:cs="Calibri" w:eastAsia="Calibri" w:hAnsi="Calibri"/>
                <w:sz w:val="20"/>
                <w:szCs w:val="20"/>
                <w:b w:val="1"/>
                <w:bCs w:val="1"/>
                <w:color w:val="auto"/>
              </w:rPr>
              <w:t xml:space="preserve">X  </w:t>
            </w:r>
            <w:r>
              <w:rPr>
                <w:rFonts w:ascii="Calibri" w:cs="Calibri" w:eastAsia="Calibri" w:hAnsi="Calibri"/>
                <w:sz w:val="20"/>
                <w:szCs w:val="20"/>
                <w:color w:val="auto"/>
              </w:rPr>
              <w:t>Gross up excise taxes upon a change in control</w:t>
            </w:r>
          </w:p>
        </w:tc>
      </w:tr>
      <w:tr>
        <w:trPr>
          <w:trHeight w:val="234"/>
        </w:trPr>
        <w:tc>
          <w:tcPr>
            <w:tcW w:w="480" w:type="dxa"/>
            <w:vAlign w:val="bottom"/>
          </w:tcPr>
          <w:p>
            <w:pPr>
              <w:spacing w:after="0"/>
              <w:rPr>
                <w:sz w:val="20"/>
                <w:szCs w:val="20"/>
                <w:color w:val="auto"/>
              </w:rPr>
            </w:pPr>
          </w:p>
        </w:tc>
        <w:tc>
          <w:tcPr>
            <w:tcW w:w="4580" w:type="dxa"/>
            <w:vAlign w:val="bottom"/>
          </w:tcPr>
          <w:p>
            <w:pPr>
              <w:ind w:left="200"/>
              <w:spacing w:after="0" w:line="234" w:lineRule="exact"/>
              <w:rPr>
                <w:sz w:val="20"/>
                <w:szCs w:val="20"/>
                <w:color w:val="auto"/>
              </w:rPr>
            </w:pPr>
            <w:r>
              <w:rPr>
                <w:rFonts w:ascii="Calibri" w:cs="Calibri" w:eastAsia="Calibri" w:hAnsi="Calibri"/>
                <w:sz w:val="20"/>
                <w:szCs w:val="20"/>
                <w:color w:val="auto"/>
              </w:rPr>
              <w:t>pay mix</w:t>
            </w:r>
          </w:p>
        </w:tc>
        <w:tc>
          <w:tcPr>
            <w:tcW w:w="6180" w:type="dxa"/>
            <w:vAlign w:val="bottom"/>
          </w:tcPr>
          <w:p>
            <w:pPr>
              <w:spacing w:after="0"/>
              <w:rPr>
                <w:sz w:val="20"/>
                <w:szCs w:val="20"/>
                <w:color w:val="auto"/>
              </w:rPr>
            </w:pPr>
          </w:p>
        </w:tc>
      </w:tr>
      <w:tr>
        <w:trPr>
          <w:trHeight w:val="73"/>
        </w:trPr>
        <w:tc>
          <w:tcPr>
            <w:tcW w:w="480" w:type="dxa"/>
            <w:vAlign w:val="bottom"/>
          </w:tcPr>
          <w:p>
            <w:pPr>
              <w:spacing w:after="0"/>
              <w:rPr>
                <w:sz w:val="6"/>
                <w:szCs w:val="6"/>
                <w:color w:val="auto"/>
              </w:rPr>
            </w:pPr>
          </w:p>
        </w:tc>
        <w:tc>
          <w:tcPr>
            <w:tcW w:w="4580" w:type="dxa"/>
            <w:vAlign w:val="bottom"/>
          </w:tcPr>
          <w:p>
            <w:pPr>
              <w:spacing w:after="0"/>
              <w:rPr>
                <w:sz w:val="6"/>
                <w:szCs w:val="6"/>
                <w:color w:val="auto"/>
              </w:rPr>
            </w:pPr>
          </w:p>
        </w:tc>
        <w:tc>
          <w:tcPr>
            <w:tcW w:w="6180" w:type="dxa"/>
            <w:vAlign w:val="bottom"/>
          </w:tcPr>
          <w:p>
            <w:pPr>
              <w:spacing w:after="0"/>
              <w:rPr>
                <w:sz w:val="6"/>
                <w:szCs w:val="6"/>
                <w:color w:val="auto"/>
              </w:rPr>
            </w:pPr>
          </w:p>
        </w:tc>
      </w:tr>
      <w:tr>
        <w:trPr>
          <w:trHeight w:val="219"/>
        </w:trPr>
        <w:tc>
          <w:tcPr>
            <w:tcW w:w="480" w:type="dxa"/>
            <w:vAlign w:val="bottom"/>
            <w:shd w:val="clear" w:color="auto" w:fill="CFF0FC"/>
          </w:tcPr>
          <w:p>
            <w:pPr>
              <w:ind w:left="140"/>
              <w:spacing w:after="0" w:line="218" w:lineRule="exact"/>
              <w:rPr>
                <w:sz w:val="20"/>
                <w:szCs w:val="20"/>
                <w:color w:val="auto"/>
              </w:rPr>
            </w:pPr>
            <w:r>
              <w:rPr>
                <w:rFonts w:ascii="Wingdings" w:cs="Wingdings" w:eastAsia="Wingdings" w:hAnsi="Wingdings"/>
                <w:sz w:val="20"/>
                <w:szCs w:val="20"/>
                <w:b w:val="1"/>
                <w:bCs w:val="1"/>
                <w:color w:val="auto"/>
                <w:highlight w:val="black"/>
              </w:rPr>
              <w:t></w:t>
            </w:r>
          </w:p>
        </w:tc>
        <w:tc>
          <w:tcPr>
            <w:tcW w:w="4580" w:type="dxa"/>
            <w:vAlign w:val="bottom"/>
            <w:shd w:val="clear" w:color="auto" w:fill="CFF0FC"/>
          </w:tcPr>
          <w:p>
            <w:pPr>
              <w:ind w:left="200"/>
              <w:spacing w:after="0" w:line="218" w:lineRule="exact"/>
              <w:rPr>
                <w:sz w:val="20"/>
                <w:szCs w:val="20"/>
                <w:color w:val="auto"/>
              </w:rPr>
            </w:pPr>
            <w:r>
              <w:rPr>
                <w:rFonts w:ascii="Calibri" w:cs="Calibri" w:eastAsia="Calibri" w:hAnsi="Calibri"/>
                <w:sz w:val="20"/>
                <w:szCs w:val="20"/>
                <w:color w:val="auto"/>
              </w:rPr>
              <w:t>Apply  stock  ownership  and  stock  retenton</w:t>
            </w:r>
          </w:p>
        </w:tc>
        <w:tc>
          <w:tcPr>
            <w:tcW w:w="6180" w:type="dxa"/>
            <w:vAlign w:val="bottom"/>
            <w:shd w:val="clear" w:color="auto" w:fill="CFF0FC"/>
          </w:tcPr>
          <w:p>
            <w:pPr>
              <w:ind w:left="160"/>
              <w:spacing w:after="0" w:line="218" w:lineRule="exact"/>
              <w:rPr>
                <w:sz w:val="20"/>
                <w:szCs w:val="20"/>
                <w:color w:val="auto"/>
              </w:rPr>
            </w:pPr>
            <w:r>
              <w:rPr>
                <w:rFonts w:ascii="Calibri" w:cs="Calibri" w:eastAsia="Calibri" w:hAnsi="Calibri"/>
                <w:sz w:val="20"/>
                <w:szCs w:val="20"/>
                <w:b w:val="1"/>
                <w:bCs w:val="1"/>
                <w:color w:val="auto"/>
              </w:rPr>
              <w:t xml:space="preserve">X  </w:t>
            </w:r>
            <w:r>
              <w:rPr>
                <w:rFonts w:ascii="Calibri" w:cs="Calibri" w:eastAsia="Calibri" w:hAnsi="Calibri"/>
                <w:sz w:val="20"/>
                <w:szCs w:val="20"/>
                <w:color w:val="auto"/>
              </w:rPr>
              <w:t>Permit hedging or pledging of Company stock, or short sales and</w:t>
            </w:r>
          </w:p>
        </w:tc>
      </w:tr>
      <w:tr>
        <w:trPr>
          <w:trHeight w:val="234"/>
        </w:trPr>
        <w:tc>
          <w:tcPr>
            <w:tcW w:w="480" w:type="dxa"/>
            <w:vAlign w:val="bottom"/>
            <w:shd w:val="clear" w:color="auto" w:fill="CFF0FC"/>
          </w:tcPr>
          <w:p>
            <w:pPr>
              <w:spacing w:after="0"/>
              <w:rPr>
                <w:sz w:val="20"/>
                <w:szCs w:val="20"/>
                <w:color w:val="auto"/>
              </w:rPr>
            </w:pPr>
          </w:p>
        </w:tc>
        <w:tc>
          <w:tcPr>
            <w:tcW w:w="4580" w:type="dxa"/>
            <w:vAlign w:val="bottom"/>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guidelines  to  align  executves’  interests  with</w:t>
            </w:r>
          </w:p>
        </w:tc>
        <w:tc>
          <w:tcPr>
            <w:tcW w:w="6180" w:type="dxa"/>
            <w:vAlign w:val="bottom"/>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transactons in derivatves</w:t>
            </w:r>
          </w:p>
        </w:tc>
      </w:tr>
      <w:tr>
        <w:trPr>
          <w:trHeight w:val="243"/>
        </w:trPr>
        <w:tc>
          <w:tcPr>
            <w:tcW w:w="480" w:type="dxa"/>
            <w:vAlign w:val="bottom"/>
            <w:shd w:val="clear" w:color="auto" w:fill="CFF0FC"/>
          </w:tcPr>
          <w:p>
            <w:pPr>
              <w:spacing w:after="0"/>
              <w:rPr>
                <w:sz w:val="21"/>
                <w:szCs w:val="21"/>
                <w:color w:val="auto"/>
              </w:rPr>
            </w:pPr>
          </w:p>
        </w:tc>
        <w:tc>
          <w:tcPr>
            <w:tcW w:w="4580" w:type="dxa"/>
            <w:vAlign w:val="bottom"/>
            <w:shd w:val="clear" w:color="auto" w:fill="CFF0FC"/>
          </w:tcPr>
          <w:p>
            <w:pPr>
              <w:ind w:left="200"/>
              <w:spacing w:after="0" w:line="243" w:lineRule="exact"/>
              <w:rPr>
                <w:sz w:val="20"/>
                <w:szCs w:val="20"/>
                <w:color w:val="auto"/>
              </w:rPr>
            </w:pPr>
            <w:r>
              <w:rPr>
                <w:rFonts w:ascii="Calibri" w:cs="Calibri" w:eastAsia="Calibri" w:hAnsi="Calibri"/>
                <w:sz w:val="20"/>
                <w:szCs w:val="20"/>
                <w:color w:val="auto"/>
              </w:rPr>
              <w:t>stockholders’ interests</w:t>
            </w:r>
          </w:p>
        </w:tc>
        <w:tc>
          <w:tcPr>
            <w:tcW w:w="6180" w:type="dxa"/>
            <w:vAlign w:val="bottom"/>
            <w:shd w:val="clear" w:color="auto" w:fill="CFF0FC"/>
          </w:tcPr>
          <w:p>
            <w:pPr>
              <w:spacing w:after="0"/>
              <w:rPr>
                <w:sz w:val="21"/>
                <w:szCs w:val="21"/>
                <w:color w:val="auto"/>
              </w:rPr>
            </w:pPr>
          </w:p>
        </w:tc>
      </w:tr>
      <w:tr>
        <w:trPr>
          <w:trHeight w:val="73"/>
        </w:trPr>
        <w:tc>
          <w:tcPr>
            <w:tcW w:w="480" w:type="dxa"/>
            <w:vAlign w:val="bottom"/>
            <w:shd w:val="clear" w:color="auto" w:fill="CFF0FC"/>
          </w:tcPr>
          <w:p>
            <w:pPr>
              <w:spacing w:after="0"/>
              <w:rPr>
                <w:sz w:val="6"/>
                <w:szCs w:val="6"/>
                <w:color w:val="auto"/>
              </w:rPr>
            </w:pPr>
          </w:p>
        </w:tc>
        <w:tc>
          <w:tcPr>
            <w:tcW w:w="4580" w:type="dxa"/>
            <w:vAlign w:val="bottom"/>
            <w:shd w:val="clear" w:color="auto" w:fill="CFF0FC"/>
          </w:tcPr>
          <w:p>
            <w:pPr>
              <w:spacing w:after="0"/>
              <w:rPr>
                <w:sz w:val="6"/>
                <w:szCs w:val="6"/>
                <w:color w:val="auto"/>
              </w:rPr>
            </w:pPr>
          </w:p>
        </w:tc>
        <w:tc>
          <w:tcPr>
            <w:tcW w:w="6180" w:type="dxa"/>
            <w:vAlign w:val="bottom"/>
            <w:shd w:val="clear" w:color="auto" w:fill="CFF0FC"/>
          </w:tcPr>
          <w:p>
            <w:pPr>
              <w:spacing w:after="0"/>
              <w:rPr>
                <w:sz w:val="6"/>
                <w:szCs w:val="6"/>
                <w:color w:val="auto"/>
              </w:rPr>
            </w:pPr>
          </w:p>
        </w:tc>
      </w:tr>
      <w:tr>
        <w:trPr>
          <w:trHeight w:val="219"/>
        </w:trPr>
        <w:tc>
          <w:tcPr>
            <w:tcW w:w="480" w:type="dxa"/>
            <w:vAlign w:val="bottom"/>
          </w:tcPr>
          <w:p>
            <w:pPr>
              <w:ind w:left="140"/>
              <w:spacing w:after="0" w:line="218" w:lineRule="exact"/>
              <w:rPr>
                <w:sz w:val="20"/>
                <w:szCs w:val="20"/>
                <w:color w:val="auto"/>
              </w:rPr>
            </w:pPr>
            <w:r>
              <w:rPr>
                <w:rFonts w:ascii="Wingdings" w:cs="Wingdings" w:eastAsia="Wingdings" w:hAnsi="Wingdings"/>
                <w:sz w:val="20"/>
                <w:szCs w:val="20"/>
                <w:b w:val="1"/>
                <w:bCs w:val="1"/>
                <w:color w:val="auto"/>
                <w:highlight w:val="black"/>
              </w:rPr>
              <w:t></w:t>
            </w:r>
          </w:p>
        </w:tc>
        <w:tc>
          <w:tcPr>
            <w:tcW w:w="4580" w:type="dxa"/>
            <w:vAlign w:val="bottom"/>
          </w:tcPr>
          <w:p>
            <w:pPr>
              <w:ind w:left="200"/>
              <w:spacing w:after="0" w:line="218" w:lineRule="exact"/>
              <w:rPr>
                <w:sz w:val="20"/>
                <w:szCs w:val="20"/>
                <w:color w:val="auto"/>
              </w:rPr>
            </w:pPr>
            <w:r>
              <w:rPr>
                <w:rFonts w:ascii="Calibri" w:cs="Calibri" w:eastAsia="Calibri" w:hAnsi="Calibri"/>
                <w:sz w:val="20"/>
                <w:szCs w:val="20"/>
                <w:color w:val="auto"/>
              </w:rPr>
              <w:t>Include a clawback provision in our incentve plans</w:t>
            </w:r>
          </w:p>
        </w:tc>
        <w:tc>
          <w:tcPr>
            <w:tcW w:w="6180" w:type="dxa"/>
            <w:vAlign w:val="bottom"/>
          </w:tcPr>
          <w:p>
            <w:pPr>
              <w:ind w:left="160"/>
              <w:spacing w:after="0" w:line="218" w:lineRule="exact"/>
              <w:rPr>
                <w:sz w:val="20"/>
                <w:szCs w:val="20"/>
                <w:color w:val="auto"/>
              </w:rPr>
            </w:pPr>
            <w:r>
              <w:rPr>
                <w:rFonts w:ascii="Calibri" w:cs="Calibri" w:eastAsia="Calibri" w:hAnsi="Calibri"/>
                <w:sz w:val="20"/>
                <w:szCs w:val="20"/>
                <w:b w:val="1"/>
                <w:bCs w:val="1"/>
                <w:color w:val="auto"/>
              </w:rPr>
              <w:t xml:space="preserve">X  </w:t>
            </w:r>
            <w:r>
              <w:rPr>
                <w:rFonts w:ascii="Calibri" w:cs="Calibri" w:eastAsia="Calibri" w:hAnsi="Calibri"/>
                <w:sz w:val="20"/>
                <w:szCs w:val="20"/>
                <w:color w:val="auto"/>
              </w:rPr>
              <w:t>Provide perquisites to NEOs that are not available to other senior</w:t>
            </w:r>
          </w:p>
        </w:tc>
      </w:tr>
      <w:tr>
        <w:trPr>
          <w:trHeight w:val="234"/>
        </w:trPr>
        <w:tc>
          <w:tcPr>
            <w:tcW w:w="4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6180" w:type="dxa"/>
            <w:vAlign w:val="bottom"/>
          </w:tcPr>
          <w:p>
            <w:pPr>
              <w:ind w:left="480"/>
              <w:spacing w:after="0" w:line="234" w:lineRule="exact"/>
              <w:rPr>
                <w:sz w:val="20"/>
                <w:szCs w:val="20"/>
                <w:color w:val="auto"/>
              </w:rPr>
            </w:pPr>
            <w:r>
              <w:rPr>
                <w:rFonts w:ascii="Calibri" w:cs="Calibri" w:eastAsia="Calibri" w:hAnsi="Calibri"/>
                <w:sz w:val="20"/>
                <w:szCs w:val="20"/>
                <w:color w:val="auto"/>
              </w:rPr>
              <w:t>management generally</w:t>
            </w:r>
          </w:p>
        </w:tc>
      </w:tr>
      <w:tr>
        <w:trPr>
          <w:trHeight w:val="73"/>
        </w:trPr>
        <w:tc>
          <w:tcPr>
            <w:tcW w:w="480" w:type="dxa"/>
            <w:vAlign w:val="bottom"/>
          </w:tcPr>
          <w:p>
            <w:pPr>
              <w:spacing w:after="0"/>
              <w:rPr>
                <w:sz w:val="6"/>
                <w:szCs w:val="6"/>
                <w:color w:val="auto"/>
              </w:rPr>
            </w:pPr>
          </w:p>
        </w:tc>
        <w:tc>
          <w:tcPr>
            <w:tcW w:w="4580" w:type="dxa"/>
            <w:vAlign w:val="bottom"/>
          </w:tcPr>
          <w:p>
            <w:pPr>
              <w:spacing w:after="0"/>
              <w:rPr>
                <w:sz w:val="6"/>
                <w:szCs w:val="6"/>
                <w:color w:val="auto"/>
              </w:rPr>
            </w:pPr>
          </w:p>
        </w:tc>
        <w:tc>
          <w:tcPr>
            <w:tcW w:w="6180" w:type="dxa"/>
            <w:vAlign w:val="bottom"/>
          </w:tcPr>
          <w:p>
            <w:pPr>
              <w:spacing w:after="0"/>
              <w:rPr>
                <w:sz w:val="6"/>
                <w:szCs w:val="6"/>
                <w:color w:val="auto"/>
              </w:rPr>
            </w:pPr>
          </w:p>
        </w:tc>
      </w:tr>
      <w:tr>
        <w:trPr>
          <w:trHeight w:val="263"/>
        </w:trPr>
        <w:tc>
          <w:tcPr>
            <w:tcW w:w="480" w:type="dxa"/>
            <w:vAlign w:val="bottom"/>
            <w:tcBorders>
              <w:bottom w:val="single" w:sz="8" w:color="CFF0FC"/>
            </w:tcBorders>
            <w:shd w:val="clear" w:color="auto" w:fill="CFF0FC"/>
          </w:tcPr>
          <w:p>
            <w:pPr>
              <w:ind w:left="140"/>
              <w:spacing w:after="0" w:line="218" w:lineRule="exact"/>
              <w:rPr>
                <w:sz w:val="20"/>
                <w:szCs w:val="20"/>
                <w:color w:val="auto"/>
              </w:rPr>
            </w:pPr>
            <w:r>
              <w:rPr>
                <w:rFonts w:ascii="Wingdings" w:cs="Wingdings" w:eastAsia="Wingdings" w:hAnsi="Wingdings"/>
                <w:sz w:val="20"/>
                <w:szCs w:val="20"/>
                <w:b w:val="1"/>
                <w:bCs w:val="1"/>
                <w:color w:val="auto"/>
                <w:highlight w:val="black"/>
              </w:rPr>
              <w:t></w:t>
            </w:r>
          </w:p>
        </w:tc>
        <w:tc>
          <w:tcPr>
            <w:tcW w:w="458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Conduct an annual risk assessment</w:t>
            </w:r>
          </w:p>
        </w:tc>
        <w:tc>
          <w:tcPr>
            <w:tcW w:w="618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b w:val="1"/>
                <w:bCs w:val="1"/>
                <w:color w:val="auto"/>
              </w:rPr>
              <w:t xml:space="preserve">X  </w:t>
            </w:r>
            <w:r>
              <w:rPr>
                <w:rFonts w:ascii="Calibri" w:cs="Calibri" w:eastAsia="Calibri" w:hAnsi="Calibri"/>
                <w:sz w:val="20"/>
                <w:szCs w:val="20"/>
                <w:color w:val="auto"/>
              </w:rPr>
              <w:t>Ofer enhanced retrement formulas or death benefts</w:t>
            </w:r>
          </w:p>
        </w:tc>
      </w:tr>
      <w:tr>
        <w:trPr>
          <w:trHeight w:val="219"/>
        </w:trPr>
        <w:tc>
          <w:tcPr>
            <w:tcW w:w="480" w:type="dxa"/>
            <w:vAlign w:val="bottom"/>
          </w:tcPr>
          <w:p>
            <w:pPr>
              <w:ind w:left="140"/>
              <w:spacing w:after="0" w:line="218" w:lineRule="exact"/>
              <w:rPr>
                <w:sz w:val="20"/>
                <w:szCs w:val="20"/>
                <w:color w:val="auto"/>
              </w:rPr>
            </w:pPr>
            <w:r>
              <w:rPr>
                <w:rFonts w:ascii="Wingdings" w:cs="Wingdings" w:eastAsia="Wingdings" w:hAnsi="Wingdings"/>
                <w:sz w:val="20"/>
                <w:szCs w:val="20"/>
                <w:b w:val="1"/>
                <w:bCs w:val="1"/>
                <w:color w:val="auto"/>
                <w:highlight w:val="black"/>
              </w:rPr>
              <w:t></w:t>
            </w:r>
          </w:p>
        </w:tc>
        <w:tc>
          <w:tcPr>
            <w:tcW w:w="4580" w:type="dxa"/>
            <w:vAlign w:val="bottom"/>
          </w:tcPr>
          <w:p>
            <w:pPr>
              <w:ind w:left="200"/>
              <w:spacing w:after="0" w:line="218" w:lineRule="exact"/>
              <w:rPr>
                <w:sz w:val="20"/>
                <w:szCs w:val="20"/>
                <w:color w:val="auto"/>
              </w:rPr>
            </w:pPr>
            <w:r>
              <w:rPr>
                <w:rFonts w:ascii="Calibri" w:cs="Calibri" w:eastAsia="Calibri" w:hAnsi="Calibri"/>
                <w:sz w:val="20"/>
                <w:szCs w:val="20"/>
                <w:color w:val="auto"/>
              </w:rPr>
              <w:t>Engage an independent compensaton consultant</w:t>
            </w:r>
          </w:p>
        </w:tc>
        <w:tc>
          <w:tcPr>
            <w:tcW w:w="6180" w:type="dxa"/>
            <w:vAlign w:val="bottom"/>
          </w:tcPr>
          <w:p>
            <w:pPr>
              <w:ind w:left="160"/>
              <w:spacing w:after="0" w:line="218" w:lineRule="exact"/>
              <w:rPr>
                <w:sz w:val="20"/>
                <w:szCs w:val="20"/>
                <w:color w:val="auto"/>
              </w:rPr>
            </w:pPr>
            <w:r>
              <w:rPr>
                <w:rFonts w:ascii="Calibri" w:cs="Calibri" w:eastAsia="Calibri" w:hAnsi="Calibri"/>
                <w:sz w:val="20"/>
                <w:szCs w:val="20"/>
                <w:b w:val="1"/>
                <w:bCs w:val="1"/>
                <w:color w:val="auto"/>
              </w:rPr>
              <w:t xml:space="preserve">X  </w:t>
            </w:r>
            <w:r>
              <w:rPr>
                <w:rFonts w:ascii="Calibri" w:cs="Calibri" w:eastAsia="Calibri" w:hAnsi="Calibri"/>
                <w:sz w:val="20"/>
                <w:szCs w:val="20"/>
                <w:color w:val="auto"/>
              </w:rPr>
              <w:t>Provide automatc acceleraton of equity awards upon retrement</w:t>
            </w:r>
          </w:p>
        </w:tc>
      </w:tr>
      <w:tr>
        <w:trPr>
          <w:trHeight w:val="234"/>
        </w:trPr>
        <w:tc>
          <w:tcPr>
            <w:tcW w:w="480" w:type="dxa"/>
            <w:vAlign w:val="bottom"/>
          </w:tcPr>
          <w:p>
            <w:pPr>
              <w:spacing w:after="0"/>
              <w:rPr>
                <w:sz w:val="20"/>
                <w:szCs w:val="20"/>
                <w:color w:val="auto"/>
              </w:rPr>
            </w:pPr>
          </w:p>
        </w:tc>
        <w:tc>
          <w:tcPr>
            <w:tcW w:w="4580" w:type="dxa"/>
            <w:vAlign w:val="bottom"/>
          </w:tcPr>
          <w:p>
            <w:pPr>
              <w:ind w:left="200"/>
              <w:spacing w:after="0" w:line="234" w:lineRule="exact"/>
              <w:rPr>
                <w:sz w:val="20"/>
                <w:szCs w:val="20"/>
                <w:color w:val="auto"/>
              </w:rPr>
            </w:pPr>
            <w:r>
              <w:rPr>
                <w:rFonts w:ascii="Calibri" w:cs="Calibri" w:eastAsia="Calibri" w:hAnsi="Calibri"/>
                <w:sz w:val="20"/>
                <w:szCs w:val="20"/>
                <w:color w:val="auto"/>
              </w:rPr>
              <w:t>periodically  to  ensure  alignment  with  market</w:t>
            </w:r>
          </w:p>
        </w:tc>
        <w:tc>
          <w:tcPr>
            <w:tcW w:w="6180" w:type="dxa"/>
            <w:vAlign w:val="bottom"/>
          </w:tcPr>
          <w:p>
            <w:pPr>
              <w:spacing w:after="0"/>
              <w:rPr>
                <w:sz w:val="20"/>
                <w:szCs w:val="20"/>
                <w:color w:val="auto"/>
              </w:rPr>
            </w:pPr>
          </w:p>
        </w:tc>
      </w:tr>
      <w:tr>
        <w:trPr>
          <w:trHeight w:val="243"/>
        </w:trPr>
        <w:tc>
          <w:tcPr>
            <w:tcW w:w="480" w:type="dxa"/>
            <w:vAlign w:val="bottom"/>
          </w:tcPr>
          <w:p>
            <w:pPr>
              <w:spacing w:after="0"/>
              <w:rPr>
                <w:sz w:val="21"/>
                <w:szCs w:val="21"/>
                <w:color w:val="auto"/>
              </w:rPr>
            </w:pPr>
          </w:p>
        </w:tc>
        <w:tc>
          <w:tcPr>
            <w:tcW w:w="4580" w:type="dxa"/>
            <w:vAlign w:val="bottom"/>
          </w:tcPr>
          <w:p>
            <w:pPr>
              <w:ind w:left="200"/>
              <w:spacing w:after="0" w:line="243" w:lineRule="exact"/>
              <w:rPr>
                <w:sz w:val="20"/>
                <w:szCs w:val="20"/>
                <w:color w:val="auto"/>
              </w:rPr>
            </w:pPr>
            <w:r>
              <w:rPr>
                <w:rFonts w:ascii="Calibri" w:cs="Calibri" w:eastAsia="Calibri" w:hAnsi="Calibri"/>
                <w:sz w:val="20"/>
                <w:szCs w:val="20"/>
                <w:color w:val="auto"/>
              </w:rPr>
              <w:t>executve compensaton</w:t>
            </w:r>
          </w:p>
        </w:tc>
        <w:tc>
          <w:tcPr>
            <w:tcW w:w="6180" w:type="dxa"/>
            <w:vAlign w:val="bottom"/>
          </w:tcPr>
          <w:p>
            <w:pPr>
              <w:spacing w:after="0"/>
              <w:rPr>
                <w:sz w:val="21"/>
                <w:szCs w:val="21"/>
                <w:color w:val="auto"/>
              </w:rPr>
            </w:pPr>
          </w:p>
        </w:tc>
      </w:tr>
      <w:tr>
        <w:trPr>
          <w:trHeight w:val="73"/>
        </w:trPr>
        <w:tc>
          <w:tcPr>
            <w:tcW w:w="480" w:type="dxa"/>
            <w:vAlign w:val="bottom"/>
          </w:tcPr>
          <w:p>
            <w:pPr>
              <w:spacing w:after="0"/>
              <w:rPr>
                <w:sz w:val="6"/>
                <w:szCs w:val="6"/>
                <w:color w:val="auto"/>
              </w:rPr>
            </w:pPr>
          </w:p>
        </w:tc>
        <w:tc>
          <w:tcPr>
            <w:tcW w:w="4580" w:type="dxa"/>
            <w:vAlign w:val="bottom"/>
          </w:tcPr>
          <w:p>
            <w:pPr>
              <w:spacing w:after="0"/>
              <w:rPr>
                <w:sz w:val="6"/>
                <w:szCs w:val="6"/>
                <w:color w:val="auto"/>
              </w:rPr>
            </w:pPr>
          </w:p>
        </w:tc>
        <w:tc>
          <w:tcPr>
            <w:tcW w:w="6180" w:type="dxa"/>
            <w:vAlign w:val="bottom"/>
          </w:tcPr>
          <w:p>
            <w:pPr>
              <w:spacing w:after="0"/>
              <w:rPr>
                <w:sz w:val="6"/>
                <w:szCs w:val="6"/>
                <w:color w:val="auto"/>
              </w:rPr>
            </w:pPr>
          </w:p>
        </w:tc>
      </w:tr>
      <w:tr>
        <w:trPr>
          <w:trHeight w:val="219"/>
        </w:trPr>
        <w:tc>
          <w:tcPr>
            <w:tcW w:w="480" w:type="dxa"/>
            <w:vAlign w:val="bottom"/>
            <w:shd w:val="clear" w:color="auto" w:fill="CFF0FC"/>
          </w:tcPr>
          <w:p>
            <w:pPr>
              <w:ind w:left="140"/>
              <w:spacing w:after="0" w:line="218" w:lineRule="exact"/>
              <w:rPr>
                <w:sz w:val="20"/>
                <w:szCs w:val="20"/>
                <w:color w:val="auto"/>
              </w:rPr>
            </w:pPr>
            <w:r>
              <w:rPr>
                <w:rFonts w:ascii="Wingdings" w:cs="Wingdings" w:eastAsia="Wingdings" w:hAnsi="Wingdings"/>
                <w:sz w:val="20"/>
                <w:szCs w:val="20"/>
                <w:b w:val="1"/>
                <w:bCs w:val="1"/>
                <w:color w:val="auto"/>
                <w:highlight w:val="black"/>
              </w:rPr>
              <w:t></w:t>
            </w:r>
          </w:p>
        </w:tc>
        <w:tc>
          <w:tcPr>
            <w:tcW w:w="4580" w:type="dxa"/>
            <w:vAlign w:val="bottom"/>
            <w:shd w:val="clear" w:color="auto" w:fill="CFF0FC"/>
          </w:tcPr>
          <w:p>
            <w:pPr>
              <w:ind w:left="200"/>
              <w:spacing w:after="0" w:line="218" w:lineRule="exact"/>
              <w:rPr>
                <w:sz w:val="20"/>
                <w:szCs w:val="20"/>
                <w:color w:val="auto"/>
              </w:rPr>
            </w:pPr>
            <w:r>
              <w:rPr>
                <w:rFonts w:ascii="Calibri" w:cs="Calibri" w:eastAsia="Calibri" w:hAnsi="Calibri"/>
                <w:sz w:val="20"/>
                <w:szCs w:val="20"/>
                <w:color w:val="auto"/>
              </w:rPr>
              <w:t>Have  a  “double-trigger”  equity  vestng  upon  a</w:t>
            </w:r>
          </w:p>
        </w:tc>
        <w:tc>
          <w:tcPr>
            <w:tcW w:w="6180" w:type="dxa"/>
            <w:vAlign w:val="bottom"/>
            <w:shd w:val="clear" w:color="auto" w:fill="CFF0FC"/>
          </w:tcPr>
          <w:p>
            <w:pPr>
              <w:ind w:left="160"/>
              <w:spacing w:after="0" w:line="218" w:lineRule="exact"/>
              <w:rPr>
                <w:sz w:val="20"/>
                <w:szCs w:val="20"/>
                <w:color w:val="auto"/>
              </w:rPr>
            </w:pPr>
            <w:r>
              <w:rPr>
                <w:rFonts w:ascii="Calibri" w:cs="Calibri" w:eastAsia="Calibri" w:hAnsi="Calibri"/>
                <w:sz w:val="20"/>
                <w:szCs w:val="20"/>
                <w:b w:val="1"/>
                <w:bCs w:val="1"/>
                <w:color w:val="auto"/>
              </w:rPr>
              <w:t xml:space="preserve">X  </w:t>
            </w:r>
            <w:r>
              <w:rPr>
                <w:rFonts w:ascii="Calibri" w:cs="Calibri" w:eastAsia="Calibri" w:hAnsi="Calibri"/>
                <w:sz w:val="20"/>
                <w:szCs w:val="20"/>
                <w:color w:val="auto"/>
              </w:rPr>
              <w:t>Provide automatc “single trigger” acceleraton of equity or other</w:t>
            </w:r>
          </w:p>
        </w:tc>
      </w:tr>
      <w:tr>
        <w:trPr>
          <w:trHeight w:val="234"/>
        </w:trPr>
        <w:tc>
          <w:tcPr>
            <w:tcW w:w="480" w:type="dxa"/>
            <w:vAlign w:val="bottom"/>
            <w:shd w:val="clear" w:color="auto" w:fill="CFF0FC"/>
          </w:tcPr>
          <w:p>
            <w:pPr>
              <w:spacing w:after="0"/>
              <w:rPr>
                <w:sz w:val="20"/>
                <w:szCs w:val="20"/>
                <w:color w:val="auto"/>
              </w:rPr>
            </w:pPr>
          </w:p>
        </w:tc>
        <w:tc>
          <w:tcPr>
            <w:tcW w:w="4580" w:type="dxa"/>
            <w:vAlign w:val="bottom"/>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change in control</w:t>
            </w:r>
          </w:p>
        </w:tc>
        <w:tc>
          <w:tcPr>
            <w:tcW w:w="6180" w:type="dxa"/>
            <w:vAlign w:val="bottom"/>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benefts in the event of a change in control</w:t>
            </w:r>
          </w:p>
        </w:tc>
      </w:tr>
      <w:tr>
        <w:trPr>
          <w:trHeight w:val="87"/>
        </w:trPr>
        <w:tc>
          <w:tcPr>
            <w:tcW w:w="480" w:type="dxa"/>
            <w:vAlign w:val="bottom"/>
            <w:shd w:val="clear" w:color="auto" w:fill="CFF0FC"/>
          </w:tcPr>
          <w:p>
            <w:pPr>
              <w:spacing w:after="0"/>
              <w:rPr>
                <w:sz w:val="7"/>
                <w:szCs w:val="7"/>
                <w:color w:val="auto"/>
              </w:rPr>
            </w:pPr>
          </w:p>
        </w:tc>
        <w:tc>
          <w:tcPr>
            <w:tcW w:w="4580" w:type="dxa"/>
            <w:vAlign w:val="bottom"/>
            <w:shd w:val="clear" w:color="auto" w:fill="CFF0FC"/>
          </w:tcPr>
          <w:p>
            <w:pPr>
              <w:spacing w:after="0"/>
              <w:rPr>
                <w:sz w:val="7"/>
                <w:szCs w:val="7"/>
                <w:color w:val="auto"/>
              </w:rPr>
            </w:pPr>
          </w:p>
        </w:tc>
        <w:tc>
          <w:tcPr>
            <w:tcW w:w="6180" w:type="dxa"/>
            <w:vAlign w:val="bottom"/>
            <w:shd w:val="clear" w:color="auto" w:fill="CFF0FC"/>
          </w:tcPr>
          <w:p>
            <w:pPr>
              <w:spacing w:after="0"/>
              <w:rPr>
                <w:sz w:val="7"/>
                <w:szCs w:val="7"/>
                <w:color w:val="auto"/>
              </w:rPr>
            </w:pPr>
          </w:p>
        </w:tc>
      </w:tr>
      <w:tr>
        <w:trPr>
          <w:trHeight w:val="219"/>
        </w:trPr>
        <w:tc>
          <w:tcPr>
            <w:tcW w:w="480" w:type="dxa"/>
            <w:vAlign w:val="bottom"/>
          </w:tcPr>
          <w:p>
            <w:pPr>
              <w:ind w:left="140"/>
              <w:spacing w:after="0" w:line="218" w:lineRule="exact"/>
              <w:rPr>
                <w:sz w:val="20"/>
                <w:szCs w:val="20"/>
                <w:color w:val="auto"/>
              </w:rPr>
            </w:pPr>
            <w:r>
              <w:rPr>
                <w:rFonts w:ascii="Wingdings" w:cs="Wingdings" w:eastAsia="Wingdings" w:hAnsi="Wingdings"/>
                <w:sz w:val="20"/>
                <w:szCs w:val="20"/>
                <w:b w:val="1"/>
                <w:bCs w:val="1"/>
                <w:color w:val="auto"/>
                <w:highlight w:val="black"/>
              </w:rPr>
              <w:t></w:t>
            </w:r>
          </w:p>
        </w:tc>
        <w:tc>
          <w:tcPr>
            <w:tcW w:w="4580" w:type="dxa"/>
            <w:vAlign w:val="bottom"/>
          </w:tcPr>
          <w:p>
            <w:pPr>
              <w:ind w:left="200"/>
              <w:spacing w:after="0" w:line="218" w:lineRule="exact"/>
              <w:rPr>
                <w:sz w:val="20"/>
                <w:szCs w:val="20"/>
                <w:color w:val="auto"/>
              </w:rPr>
            </w:pPr>
            <w:r>
              <w:rPr>
                <w:rFonts w:ascii="Calibri" w:cs="Calibri" w:eastAsia="Calibri" w:hAnsi="Calibri"/>
                <w:sz w:val="20"/>
                <w:szCs w:val="20"/>
                <w:color w:val="auto"/>
              </w:rPr>
              <w:t>Conduct an annual stockholder say-on-pay vote</w:t>
            </w:r>
          </w:p>
        </w:tc>
        <w:tc>
          <w:tcPr>
            <w:tcW w:w="6180" w:type="dxa"/>
            <w:vAlign w:val="bottom"/>
          </w:tcPr>
          <w:p>
            <w:pPr>
              <w:ind w:left="160"/>
              <w:spacing w:after="0" w:line="218" w:lineRule="exact"/>
              <w:rPr>
                <w:sz w:val="20"/>
                <w:szCs w:val="20"/>
                <w:color w:val="auto"/>
              </w:rPr>
            </w:pPr>
            <w:r>
              <w:rPr>
                <w:rFonts w:ascii="Calibri" w:cs="Calibri" w:eastAsia="Calibri" w:hAnsi="Calibri"/>
                <w:sz w:val="20"/>
                <w:szCs w:val="20"/>
                <w:b w:val="1"/>
                <w:bCs w:val="1"/>
                <w:color w:val="auto"/>
              </w:rPr>
              <w:t xml:space="preserve">X  </w:t>
            </w:r>
            <w:r>
              <w:rPr>
                <w:rFonts w:ascii="Calibri" w:cs="Calibri" w:eastAsia="Calibri" w:hAnsi="Calibri"/>
                <w:sz w:val="20"/>
                <w:szCs w:val="20"/>
                <w:color w:val="auto"/>
              </w:rPr>
              <w:t>Pay dividend equivalents on unearned restricted shares or stock</w:t>
            </w:r>
          </w:p>
        </w:tc>
      </w:tr>
      <w:tr>
        <w:trPr>
          <w:trHeight w:val="234"/>
        </w:trPr>
        <w:tc>
          <w:tcPr>
            <w:tcW w:w="4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6180" w:type="dxa"/>
            <w:vAlign w:val="bottom"/>
          </w:tcPr>
          <w:p>
            <w:pPr>
              <w:ind w:left="480"/>
              <w:spacing w:after="0" w:line="234" w:lineRule="exact"/>
              <w:rPr>
                <w:sz w:val="20"/>
                <w:szCs w:val="20"/>
                <w:color w:val="auto"/>
              </w:rPr>
            </w:pPr>
            <w:r>
              <w:rPr>
                <w:rFonts w:ascii="Calibri" w:cs="Calibri" w:eastAsia="Calibri" w:hAnsi="Calibri"/>
                <w:sz w:val="20"/>
                <w:szCs w:val="20"/>
                <w:color w:val="auto"/>
              </w:rPr>
              <w:t>units</w:t>
            </w:r>
          </w:p>
        </w:tc>
      </w:tr>
    </w:tbl>
    <w:p>
      <w:pPr>
        <w:spacing w:after="0" w:line="16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Components of Compensaton</w:t>
      </w:r>
    </w:p>
    <w:p>
      <w:pPr>
        <w:spacing w:after="0" w:line="103" w:lineRule="exact"/>
        <w:rPr>
          <w:sz w:val="20"/>
          <w:szCs w:val="20"/>
          <w:color w:val="auto"/>
        </w:rPr>
      </w:pPr>
    </w:p>
    <w:p>
      <w:pPr>
        <w:spacing w:after="0"/>
        <w:rPr>
          <w:sz w:val="20"/>
          <w:szCs w:val="20"/>
          <w:color w:val="auto"/>
        </w:rPr>
      </w:pPr>
      <w:r>
        <w:rPr>
          <w:rFonts w:ascii="Calibri" w:cs="Calibri" w:eastAsia="Calibri" w:hAnsi="Calibri"/>
          <w:sz w:val="20"/>
          <w:szCs w:val="20"/>
          <w:color w:val="auto"/>
        </w:rPr>
        <w:t>The principal elements of our executve compensaton program for 2022, 2023 and 2024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67722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00" w:type="dxa"/>
            <w:vAlign w:val="bottom"/>
          </w:tcPr>
          <w:p>
            <w:pPr>
              <w:ind w:left="120"/>
              <w:spacing w:after="0"/>
              <w:rPr>
                <w:sz w:val="20"/>
                <w:szCs w:val="20"/>
                <w:color w:val="auto"/>
              </w:rPr>
            </w:pPr>
            <w:r>
              <w:rPr>
                <w:rFonts w:ascii="Calibri" w:cs="Calibri" w:eastAsia="Calibri" w:hAnsi="Calibri"/>
                <w:sz w:val="20"/>
                <w:szCs w:val="20"/>
                <w:b w:val="1"/>
                <w:bCs w:val="1"/>
                <w:color w:val="auto"/>
              </w:rPr>
              <w:t>Element</w:t>
            </w:r>
          </w:p>
        </w:tc>
        <w:tc>
          <w:tcPr>
            <w:tcW w:w="1100" w:type="dxa"/>
            <w:vAlign w:val="bottom"/>
          </w:tcPr>
          <w:p>
            <w:pPr>
              <w:ind w:left="160"/>
              <w:spacing w:after="0"/>
              <w:rPr>
                <w:sz w:val="20"/>
                <w:szCs w:val="20"/>
                <w:color w:val="auto"/>
              </w:rPr>
            </w:pPr>
            <w:r>
              <w:rPr>
                <w:rFonts w:ascii="Calibri" w:cs="Calibri" w:eastAsia="Calibri" w:hAnsi="Calibri"/>
                <w:sz w:val="20"/>
                <w:szCs w:val="20"/>
                <w:b w:val="1"/>
                <w:bCs w:val="1"/>
                <w:color w:val="auto"/>
              </w:rPr>
              <w:t>Form</w:t>
            </w:r>
          </w:p>
        </w:tc>
        <w:tc>
          <w:tcPr>
            <w:tcW w:w="3220" w:type="dxa"/>
            <w:vAlign w:val="bottom"/>
          </w:tcPr>
          <w:p>
            <w:pPr>
              <w:ind w:left="140"/>
              <w:spacing w:after="0"/>
              <w:rPr>
                <w:sz w:val="20"/>
                <w:szCs w:val="20"/>
                <w:color w:val="auto"/>
              </w:rPr>
            </w:pPr>
            <w:r>
              <w:rPr>
                <w:rFonts w:ascii="Calibri" w:cs="Calibri" w:eastAsia="Calibri" w:hAnsi="Calibri"/>
                <w:sz w:val="20"/>
                <w:szCs w:val="20"/>
                <w:b w:val="1"/>
                <w:bCs w:val="1"/>
                <w:color w:val="auto"/>
              </w:rPr>
              <w:t>What It Does</w:t>
            </w:r>
          </w:p>
        </w:tc>
        <w:tc>
          <w:tcPr>
            <w:tcW w:w="5160" w:type="dxa"/>
            <w:vAlign w:val="bottom"/>
          </w:tcPr>
          <w:p>
            <w:pPr>
              <w:ind w:left="1440"/>
              <w:spacing w:after="0"/>
              <w:rPr>
                <w:sz w:val="20"/>
                <w:szCs w:val="20"/>
                <w:color w:val="auto"/>
              </w:rPr>
            </w:pPr>
            <w:r>
              <w:rPr>
                <w:rFonts w:ascii="Calibri" w:cs="Calibri" w:eastAsia="Calibri" w:hAnsi="Calibri"/>
                <w:sz w:val="20"/>
                <w:szCs w:val="20"/>
                <w:b w:val="1"/>
                <w:bCs w:val="1"/>
                <w:color w:val="auto"/>
              </w:rPr>
              <w:t>How It Links to Performance</w:t>
            </w:r>
          </w:p>
        </w:tc>
      </w:tr>
      <w:tr>
        <w:trPr>
          <w:trHeight w:val="67"/>
        </w:trPr>
        <w:tc>
          <w:tcPr>
            <w:tcW w:w="1200" w:type="dxa"/>
            <w:vAlign w:val="bottom"/>
            <w:tcBorders>
              <w:bottom w:val="single" w:sz="8" w:color="005CA9"/>
            </w:tcBorders>
          </w:tcPr>
          <w:p>
            <w:pPr>
              <w:spacing w:after="0"/>
              <w:rPr>
                <w:sz w:val="5"/>
                <w:szCs w:val="5"/>
                <w:color w:val="auto"/>
              </w:rPr>
            </w:pPr>
          </w:p>
        </w:tc>
        <w:tc>
          <w:tcPr>
            <w:tcW w:w="1100" w:type="dxa"/>
            <w:vAlign w:val="bottom"/>
            <w:tcBorders>
              <w:bottom w:val="single" w:sz="8" w:color="005CA9"/>
            </w:tcBorders>
          </w:tcPr>
          <w:p>
            <w:pPr>
              <w:spacing w:after="0"/>
              <w:rPr>
                <w:sz w:val="5"/>
                <w:szCs w:val="5"/>
                <w:color w:val="auto"/>
              </w:rPr>
            </w:pPr>
          </w:p>
        </w:tc>
        <w:tc>
          <w:tcPr>
            <w:tcW w:w="3220" w:type="dxa"/>
            <w:vAlign w:val="bottom"/>
            <w:tcBorders>
              <w:bottom w:val="single" w:sz="8" w:color="005CA9"/>
            </w:tcBorders>
          </w:tcPr>
          <w:p>
            <w:pPr>
              <w:spacing w:after="0"/>
              <w:rPr>
                <w:sz w:val="5"/>
                <w:szCs w:val="5"/>
                <w:color w:val="auto"/>
              </w:rPr>
            </w:pPr>
          </w:p>
        </w:tc>
        <w:tc>
          <w:tcPr>
            <w:tcW w:w="5160" w:type="dxa"/>
            <w:vAlign w:val="bottom"/>
            <w:tcBorders>
              <w:bottom w:val="single" w:sz="8" w:color="005CA9"/>
            </w:tcBorders>
          </w:tcPr>
          <w:p>
            <w:pPr>
              <w:spacing w:after="0"/>
              <w:rPr>
                <w:sz w:val="5"/>
                <w:szCs w:val="5"/>
                <w:color w:val="auto"/>
              </w:rPr>
            </w:pPr>
          </w:p>
        </w:tc>
      </w:tr>
      <w:tr>
        <w:trPr>
          <w:trHeight w:val="219"/>
        </w:trPr>
        <w:tc>
          <w:tcPr>
            <w:tcW w:w="1200" w:type="dxa"/>
            <w:vAlign w:val="bottom"/>
            <w:shd w:val="clear" w:color="auto" w:fill="CFF0FC"/>
          </w:tcPr>
          <w:p>
            <w:pPr>
              <w:ind w:left="120"/>
              <w:spacing w:after="0" w:line="218" w:lineRule="exact"/>
              <w:rPr>
                <w:sz w:val="20"/>
                <w:szCs w:val="20"/>
                <w:color w:val="auto"/>
              </w:rPr>
            </w:pPr>
            <w:r>
              <w:rPr>
                <w:rFonts w:ascii="Calibri" w:cs="Calibri" w:eastAsia="Calibri" w:hAnsi="Calibri"/>
                <w:sz w:val="20"/>
                <w:szCs w:val="20"/>
                <w:b w:val="1"/>
                <w:bCs w:val="1"/>
                <w:color w:val="auto"/>
              </w:rPr>
              <w:t>Base Salary</w:t>
            </w:r>
          </w:p>
        </w:tc>
        <w:tc>
          <w:tcPr>
            <w:tcW w:w="1100" w:type="dxa"/>
            <w:vAlign w:val="bottom"/>
            <w:shd w:val="clear" w:color="auto" w:fill="CFF0FC"/>
          </w:tcPr>
          <w:p>
            <w:pPr>
              <w:ind w:left="160"/>
              <w:spacing w:after="0" w:line="218" w:lineRule="exact"/>
              <w:rPr>
                <w:sz w:val="20"/>
                <w:szCs w:val="20"/>
                <w:color w:val="auto"/>
              </w:rPr>
            </w:pPr>
            <w:r>
              <w:rPr>
                <w:rFonts w:ascii="Calibri" w:cs="Calibri" w:eastAsia="Calibri" w:hAnsi="Calibri"/>
                <w:sz w:val="20"/>
                <w:szCs w:val="20"/>
                <w:color w:val="auto"/>
              </w:rPr>
              <w:t>Cash</w:t>
            </w:r>
          </w:p>
        </w:tc>
        <w:tc>
          <w:tcPr>
            <w:tcW w:w="3220" w:type="dxa"/>
            <w:vAlign w:val="bottom"/>
            <w:shd w:val="clear" w:color="auto" w:fill="CFF0FC"/>
          </w:tcPr>
          <w:p>
            <w:pPr>
              <w:ind w:left="140"/>
              <w:spacing w:after="0" w:line="218" w:lineRule="exact"/>
              <w:rPr>
                <w:sz w:val="20"/>
                <w:szCs w:val="20"/>
                <w:color w:val="auto"/>
              </w:rPr>
            </w:pPr>
            <w:r>
              <w:rPr>
                <w:rFonts w:ascii="Calibri" w:cs="Calibri" w:eastAsia="Calibri" w:hAnsi="Calibri"/>
                <w:sz w:val="20"/>
                <w:szCs w:val="20"/>
                <w:color w:val="auto"/>
              </w:rPr>
              <w:t>Provides a compettve rate relatve</w:t>
            </w:r>
          </w:p>
        </w:tc>
        <w:tc>
          <w:tcPr>
            <w:tcW w:w="5160" w:type="dxa"/>
            <w:vAlign w:val="bottom"/>
            <w:shd w:val="clear" w:color="auto" w:fill="CFF0FC"/>
          </w:tcPr>
          <w:p>
            <w:pPr>
              <w:ind w:left="120"/>
              <w:spacing w:after="0" w:line="218" w:lineRule="exact"/>
              <w:rPr>
                <w:sz w:val="20"/>
                <w:szCs w:val="20"/>
                <w:color w:val="auto"/>
              </w:rPr>
            </w:pPr>
            <w:r>
              <w:rPr>
                <w:rFonts w:ascii="Calibri" w:cs="Calibri" w:eastAsia="Calibri" w:hAnsi="Calibri"/>
                <w:sz w:val="20"/>
                <w:szCs w:val="20"/>
                <w:color w:val="auto"/>
              </w:rPr>
              <w:t>Based on job scope, level of responsibilites, experience,</w:t>
            </w:r>
          </w:p>
        </w:tc>
      </w:tr>
      <w:tr>
        <w:trPr>
          <w:trHeight w:val="234"/>
        </w:trPr>
        <w:tc>
          <w:tcPr>
            <w:tcW w:w="1200" w:type="dxa"/>
            <w:vAlign w:val="bottom"/>
            <w:shd w:val="clear" w:color="auto" w:fill="CFF0FC"/>
          </w:tcPr>
          <w:p>
            <w:pPr>
              <w:spacing w:after="0"/>
              <w:rPr>
                <w:sz w:val="20"/>
                <w:szCs w:val="20"/>
                <w:color w:val="auto"/>
              </w:rPr>
            </w:pPr>
          </w:p>
        </w:tc>
        <w:tc>
          <w:tcPr>
            <w:tcW w:w="110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(Fixed)</w:t>
            </w:r>
          </w:p>
        </w:tc>
        <w:tc>
          <w:tcPr>
            <w:tcW w:w="3220" w:type="dxa"/>
            <w:vAlign w:val="bottom"/>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to similar positons in the market,</w:t>
            </w:r>
          </w:p>
        </w:tc>
        <w:tc>
          <w:tcPr>
            <w:tcW w:w="516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tenure, and market levels</w:t>
            </w:r>
          </w:p>
        </w:tc>
      </w:tr>
      <w:tr>
        <w:trPr>
          <w:trHeight w:val="243"/>
        </w:trPr>
        <w:tc>
          <w:tcPr>
            <w:tcW w:w="1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20" w:type="dxa"/>
            <w:vAlign w:val="bottom"/>
            <w:shd w:val="clear" w:color="auto" w:fill="CFF0FC"/>
          </w:tcPr>
          <w:p>
            <w:pPr>
              <w:ind w:left="140"/>
              <w:spacing w:after="0" w:line="243" w:lineRule="exact"/>
              <w:rPr>
                <w:sz w:val="20"/>
                <w:szCs w:val="20"/>
                <w:color w:val="auto"/>
              </w:rPr>
            </w:pPr>
            <w:r>
              <w:rPr>
                <w:rFonts w:ascii="Calibri" w:cs="Calibri" w:eastAsia="Calibri" w:hAnsi="Calibri"/>
                <w:sz w:val="20"/>
                <w:szCs w:val="20"/>
                <w:color w:val="auto"/>
              </w:rPr>
              <w:t>and enables the Company to atract</w:t>
            </w:r>
          </w:p>
        </w:tc>
        <w:tc>
          <w:tcPr>
            <w:tcW w:w="5160" w:type="dxa"/>
            <w:vAlign w:val="bottom"/>
            <w:shd w:val="clear" w:color="auto" w:fill="CFF0FC"/>
          </w:tcPr>
          <w:p>
            <w:pPr>
              <w:spacing w:after="0"/>
              <w:rPr>
                <w:sz w:val="21"/>
                <w:szCs w:val="21"/>
                <w:color w:val="auto"/>
              </w:rPr>
            </w:pPr>
          </w:p>
        </w:tc>
      </w:tr>
      <w:tr>
        <w:trPr>
          <w:trHeight w:val="256"/>
        </w:trPr>
        <w:tc>
          <w:tcPr>
            <w:tcW w:w="12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ind w:left="140"/>
              <w:spacing w:after="0" w:line="243" w:lineRule="exact"/>
              <w:rPr>
                <w:sz w:val="20"/>
                <w:szCs w:val="20"/>
                <w:color w:val="auto"/>
              </w:rPr>
            </w:pPr>
            <w:r>
              <w:rPr>
                <w:rFonts w:ascii="Calibri" w:cs="Calibri" w:eastAsia="Calibri" w:hAnsi="Calibri"/>
                <w:sz w:val="20"/>
                <w:szCs w:val="20"/>
                <w:color w:val="auto"/>
              </w:rPr>
              <w:t>and retain critcal executve talent</w:t>
            </w:r>
          </w:p>
        </w:tc>
        <w:tc>
          <w:tcPr>
            <w:tcW w:w="5160" w:type="dxa"/>
            <w:vAlign w:val="bottom"/>
            <w:tcBorders>
              <w:bottom w:val="single" w:sz="8" w:color="CFF0FC"/>
            </w:tcBorders>
            <w:shd w:val="clear" w:color="auto" w:fill="CFF0FC"/>
          </w:tcPr>
          <w:p>
            <w:pPr>
              <w:spacing w:after="0"/>
              <w:rPr>
                <w:sz w:val="22"/>
                <w:szCs w:val="22"/>
                <w:color w:val="auto"/>
              </w:rPr>
            </w:pPr>
          </w:p>
        </w:tc>
      </w:tr>
      <w:tr>
        <w:trPr>
          <w:trHeight w:val="219"/>
        </w:trPr>
        <w:tc>
          <w:tcPr>
            <w:tcW w:w="1200" w:type="dxa"/>
            <w:vAlign w:val="bottom"/>
          </w:tcPr>
          <w:p>
            <w:pPr>
              <w:ind w:left="120"/>
              <w:spacing w:after="0" w:line="218" w:lineRule="exact"/>
              <w:rPr>
                <w:sz w:val="20"/>
                <w:szCs w:val="20"/>
                <w:color w:val="auto"/>
              </w:rPr>
            </w:pPr>
            <w:r>
              <w:rPr>
                <w:rFonts w:ascii="Calibri" w:cs="Calibri" w:eastAsia="Calibri" w:hAnsi="Calibri"/>
                <w:sz w:val="20"/>
                <w:szCs w:val="20"/>
                <w:b w:val="1"/>
                <w:bCs w:val="1"/>
                <w:color w:val="auto"/>
              </w:rPr>
              <w:t>Annual</w:t>
            </w:r>
          </w:p>
        </w:tc>
        <w:tc>
          <w:tcPr>
            <w:tcW w:w="1100" w:type="dxa"/>
            <w:vAlign w:val="bottom"/>
          </w:tcPr>
          <w:p>
            <w:pPr>
              <w:ind w:left="160"/>
              <w:spacing w:after="0" w:line="218" w:lineRule="exact"/>
              <w:rPr>
                <w:sz w:val="20"/>
                <w:szCs w:val="20"/>
                <w:color w:val="auto"/>
              </w:rPr>
            </w:pPr>
            <w:r>
              <w:rPr>
                <w:rFonts w:ascii="Calibri" w:cs="Calibri" w:eastAsia="Calibri" w:hAnsi="Calibri"/>
                <w:sz w:val="20"/>
                <w:szCs w:val="20"/>
                <w:color w:val="auto"/>
              </w:rPr>
              <w:t>Cash</w:t>
            </w:r>
          </w:p>
        </w:tc>
        <w:tc>
          <w:tcPr>
            <w:tcW w:w="3220" w:type="dxa"/>
            <w:vAlign w:val="bottom"/>
          </w:tcPr>
          <w:p>
            <w:pPr>
              <w:ind w:left="140"/>
              <w:spacing w:after="0" w:line="218" w:lineRule="exact"/>
              <w:rPr>
                <w:sz w:val="20"/>
                <w:szCs w:val="20"/>
                <w:color w:val="auto"/>
              </w:rPr>
            </w:pPr>
            <w:r>
              <w:rPr>
                <w:rFonts w:ascii="Calibri" w:cs="Calibri" w:eastAsia="Calibri" w:hAnsi="Calibri"/>
                <w:sz w:val="20"/>
                <w:szCs w:val="20"/>
                <w:color w:val="auto"/>
              </w:rPr>
              <w:t>Focuses executves on achieving</w:t>
            </w:r>
          </w:p>
        </w:tc>
        <w:tc>
          <w:tcPr>
            <w:tcW w:w="5160" w:type="dxa"/>
            <w:vAlign w:val="bottom"/>
          </w:tcPr>
          <w:p>
            <w:pPr>
              <w:ind w:left="120"/>
              <w:spacing w:after="0" w:line="218" w:lineRule="exact"/>
              <w:rPr>
                <w:sz w:val="20"/>
                <w:szCs w:val="20"/>
                <w:color w:val="auto"/>
              </w:rPr>
            </w:pPr>
            <w:r>
              <w:rPr>
                <w:rFonts w:ascii="Calibri" w:cs="Calibri" w:eastAsia="Calibri" w:hAnsi="Calibri"/>
                <w:sz w:val="20"/>
                <w:szCs w:val="20"/>
                <w:color w:val="auto"/>
              </w:rPr>
              <w:t>Payouts: 0% to 200% of target, based on results against pre-</w:t>
            </w:r>
          </w:p>
        </w:tc>
      </w:tr>
      <w:tr>
        <w:trPr>
          <w:trHeight w:val="234"/>
        </w:trPr>
        <w:tc>
          <w:tcPr>
            <w:tcW w:w="1200" w:type="dxa"/>
            <w:vAlign w:val="bottom"/>
          </w:tcPr>
          <w:p>
            <w:pPr>
              <w:ind w:left="120"/>
              <w:spacing w:after="0" w:line="234" w:lineRule="exact"/>
              <w:rPr>
                <w:sz w:val="20"/>
                <w:szCs w:val="20"/>
                <w:color w:val="auto"/>
              </w:rPr>
            </w:pPr>
            <w:r>
              <w:rPr>
                <w:rFonts w:ascii="Calibri" w:cs="Calibri" w:eastAsia="Calibri" w:hAnsi="Calibri"/>
                <w:sz w:val="20"/>
                <w:szCs w:val="20"/>
                <w:b w:val="1"/>
                <w:bCs w:val="1"/>
                <w:color w:val="auto"/>
              </w:rPr>
              <w:t>(Bonus)</w:t>
            </w:r>
          </w:p>
        </w:tc>
        <w:tc>
          <w:tcPr>
            <w:tcW w:w="1100" w:type="dxa"/>
            <w:vAlign w:val="bottom"/>
          </w:tcPr>
          <w:p>
            <w:pPr>
              <w:ind w:left="160"/>
              <w:spacing w:after="0" w:line="234" w:lineRule="exact"/>
              <w:rPr>
                <w:sz w:val="20"/>
                <w:szCs w:val="20"/>
                <w:color w:val="auto"/>
              </w:rPr>
            </w:pPr>
            <w:r>
              <w:rPr>
                <w:rFonts w:ascii="Calibri" w:cs="Calibri" w:eastAsia="Calibri" w:hAnsi="Calibri"/>
                <w:sz w:val="20"/>
                <w:szCs w:val="20"/>
                <w:color w:val="auto"/>
              </w:rPr>
              <w:t>(Variable)</w:t>
            </w:r>
          </w:p>
        </w:tc>
        <w:tc>
          <w:tcPr>
            <w:tcW w:w="3220" w:type="dxa"/>
            <w:vAlign w:val="bottom"/>
          </w:tcPr>
          <w:p>
            <w:pPr>
              <w:ind w:left="140"/>
              <w:spacing w:after="0" w:line="234" w:lineRule="exact"/>
              <w:rPr>
                <w:sz w:val="20"/>
                <w:szCs w:val="20"/>
                <w:color w:val="auto"/>
              </w:rPr>
            </w:pPr>
            <w:r>
              <w:rPr>
                <w:rFonts w:ascii="Calibri" w:cs="Calibri" w:eastAsia="Calibri" w:hAnsi="Calibri"/>
                <w:sz w:val="20"/>
                <w:szCs w:val="20"/>
                <w:color w:val="auto"/>
              </w:rPr>
              <w:t>annual fnancial and strategic goals</w:t>
            </w:r>
          </w:p>
        </w:tc>
        <w:tc>
          <w:tcPr>
            <w:tcW w:w="5160" w:type="dxa"/>
            <w:vAlign w:val="bottom"/>
          </w:tcPr>
          <w:p>
            <w:pPr>
              <w:ind w:left="120"/>
              <w:spacing w:after="0" w:line="234" w:lineRule="exact"/>
              <w:rPr>
                <w:sz w:val="20"/>
                <w:szCs w:val="20"/>
                <w:color w:val="auto"/>
              </w:rPr>
            </w:pPr>
            <w:r>
              <w:rPr>
                <w:rFonts w:ascii="Calibri" w:cs="Calibri" w:eastAsia="Calibri" w:hAnsi="Calibri"/>
                <w:sz w:val="20"/>
                <w:szCs w:val="20"/>
                <w:color w:val="auto"/>
              </w:rPr>
              <w:t>established goals</w:t>
            </w:r>
          </w:p>
        </w:tc>
      </w:tr>
      <w:tr>
        <w:trPr>
          <w:trHeight w:val="243"/>
        </w:trPr>
        <w:tc>
          <w:tcPr>
            <w:tcW w:w="1200" w:type="dxa"/>
            <w:vAlign w:val="bottom"/>
          </w:tcPr>
          <w:p>
            <w:pPr>
              <w:ind w:left="120"/>
              <w:spacing w:after="0" w:line="243" w:lineRule="exact"/>
              <w:rPr>
                <w:sz w:val="20"/>
                <w:szCs w:val="20"/>
                <w:color w:val="auto"/>
              </w:rPr>
            </w:pPr>
            <w:r>
              <w:rPr>
                <w:rFonts w:ascii="Calibri" w:cs="Calibri" w:eastAsia="Calibri" w:hAnsi="Calibri"/>
                <w:sz w:val="20"/>
                <w:szCs w:val="20"/>
                <w:b w:val="1"/>
                <w:bCs w:val="1"/>
                <w:color w:val="auto"/>
              </w:rPr>
              <w:t>Incentve</w:t>
            </w:r>
          </w:p>
        </w:tc>
        <w:tc>
          <w:tcPr>
            <w:tcW w:w="1100" w:type="dxa"/>
            <w:vAlign w:val="bottom"/>
          </w:tcPr>
          <w:p>
            <w:pPr>
              <w:spacing w:after="0"/>
              <w:rPr>
                <w:sz w:val="21"/>
                <w:szCs w:val="21"/>
                <w:color w:val="auto"/>
              </w:rPr>
            </w:pPr>
          </w:p>
        </w:tc>
        <w:tc>
          <w:tcPr>
            <w:tcW w:w="3220" w:type="dxa"/>
            <w:vAlign w:val="bottom"/>
          </w:tcPr>
          <w:p>
            <w:pPr>
              <w:ind w:left="140"/>
              <w:spacing w:after="0" w:line="243" w:lineRule="exact"/>
              <w:rPr>
                <w:sz w:val="20"/>
                <w:szCs w:val="20"/>
                <w:color w:val="auto"/>
              </w:rPr>
            </w:pPr>
            <w:r>
              <w:rPr>
                <w:rFonts w:ascii="Calibri" w:cs="Calibri" w:eastAsia="Calibri" w:hAnsi="Calibri"/>
                <w:sz w:val="20"/>
                <w:szCs w:val="20"/>
                <w:color w:val="auto"/>
              </w:rPr>
              <w:t>that drive long-term stockholder</w:t>
            </w:r>
          </w:p>
        </w:tc>
        <w:tc>
          <w:tcPr>
            <w:tcW w:w="5160" w:type="dxa"/>
            <w:vAlign w:val="bottom"/>
          </w:tcPr>
          <w:p>
            <w:pPr>
              <w:ind w:left="120"/>
              <w:spacing w:after="0" w:line="243" w:lineRule="exact"/>
              <w:rPr>
                <w:sz w:val="20"/>
                <w:szCs w:val="20"/>
                <w:color w:val="auto"/>
              </w:rPr>
            </w:pPr>
            <w:r>
              <w:rPr>
                <w:rFonts w:ascii="Calibri" w:cs="Calibri" w:eastAsia="Calibri" w:hAnsi="Calibri"/>
                <w:sz w:val="20"/>
                <w:szCs w:val="20"/>
                <w:color w:val="auto"/>
              </w:rPr>
              <w:t>Financial Metrics: 80% of bonus for 2023 and 2024: Earnings</w:t>
            </w:r>
          </w:p>
        </w:tc>
      </w:tr>
      <w:tr>
        <w:trPr>
          <w:trHeight w:val="243"/>
        </w:trPr>
        <w:tc>
          <w:tcPr>
            <w:tcW w:w="1200" w:type="dxa"/>
            <w:vAlign w:val="bottom"/>
          </w:tcPr>
          <w:p>
            <w:pPr>
              <w:ind w:left="120"/>
              <w:spacing w:after="0" w:line="243" w:lineRule="exact"/>
              <w:rPr>
                <w:sz w:val="20"/>
                <w:szCs w:val="20"/>
                <w:color w:val="auto"/>
              </w:rPr>
            </w:pPr>
            <w:r>
              <w:rPr>
                <w:rFonts w:ascii="Calibri" w:cs="Calibri" w:eastAsia="Calibri" w:hAnsi="Calibri"/>
                <w:sz w:val="20"/>
                <w:szCs w:val="20"/>
                <w:b w:val="1"/>
                <w:bCs w:val="1"/>
                <w:color w:val="auto"/>
              </w:rPr>
              <w:t>Plan</w:t>
            </w:r>
          </w:p>
        </w:tc>
        <w:tc>
          <w:tcPr>
            <w:tcW w:w="1100" w:type="dxa"/>
            <w:vAlign w:val="bottom"/>
          </w:tcPr>
          <w:p>
            <w:pPr>
              <w:spacing w:after="0"/>
              <w:rPr>
                <w:sz w:val="21"/>
                <w:szCs w:val="21"/>
                <w:color w:val="auto"/>
              </w:rPr>
            </w:pPr>
          </w:p>
        </w:tc>
        <w:tc>
          <w:tcPr>
            <w:tcW w:w="3220" w:type="dxa"/>
            <w:vAlign w:val="bottom"/>
          </w:tcPr>
          <w:p>
            <w:pPr>
              <w:ind w:left="140"/>
              <w:spacing w:after="0" w:line="243" w:lineRule="exact"/>
              <w:rPr>
                <w:sz w:val="20"/>
                <w:szCs w:val="20"/>
                <w:color w:val="auto"/>
              </w:rPr>
            </w:pPr>
            <w:r>
              <w:rPr>
                <w:rFonts w:ascii="Calibri" w:cs="Calibri" w:eastAsia="Calibri" w:hAnsi="Calibri"/>
                <w:sz w:val="20"/>
                <w:szCs w:val="20"/>
                <w:color w:val="auto"/>
              </w:rPr>
              <w:t>value</w:t>
            </w:r>
          </w:p>
        </w:tc>
        <w:tc>
          <w:tcPr>
            <w:tcW w:w="5160" w:type="dxa"/>
            <w:vAlign w:val="bottom"/>
          </w:tcPr>
          <w:p>
            <w:pPr>
              <w:ind w:left="120"/>
              <w:spacing w:after="0" w:line="243" w:lineRule="exact"/>
              <w:rPr>
                <w:sz w:val="20"/>
                <w:szCs w:val="20"/>
                <w:color w:val="auto"/>
              </w:rPr>
            </w:pPr>
            <w:r>
              <w:rPr>
                <w:rFonts w:ascii="Calibri" w:cs="Calibri" w:eastAsia="Calibri" w:hAnsi="Calibri"/>
                <w:sz w:val="20"/>
                <w:szCs w:val="20"/>
                <w:color w:val="auto"/>
              </w:rPr>
              <w:t>per share (“EPS”), Net sales and CSER</w:t>
            </w:r>
          </w:p>
        </w:tc>
      </w:tr>
      <w:tr>
        <w:trPr>
          <w:trHeight w:val="243"/>
        </w:trPr>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5160" w:type="dxa"/>
            <w:vAlign w:val="bottom"/>
          </w:tcPr>
          <w:p>
            <w:pPr>
              <w:ind w:left="120"/>
              <w:spacing w:after="0" w:line="243" w:lineRule="exact"/>
              <w:rPr>
                <w:sz w:val="20"/>
                <w:szCs w:val="20"/>
                <w:color w:val="auto"/>
              </w:rPr>
            </w:pPr>
            <w:r>
              <w:rPr>
                <w:rFonts w:ascii="Calibri" w:cs="Calibri" w:eastAsia="Calibri" w:hAnsi="Calibri"/>
                <w:sz w:val="20"/>
                <w:szCs w:val="20"/>
                <w:color w:val="auto"/>
              </w:rPr>
              <w:t>Strategic Objectves: 20% of bonus for 2023 and 2024</w:t>
            </w:r>
          </w:p>
        </w:tc>
      </w:tr>
      <w:tr>
        <w:trPr>
          <w:trHeight w:val="33"/>
        </w:trPr>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19"/>
        </w:trPr>
        <w:tc>
          <w:tcPr>
            <w:tcW w:w="1200" w:type="dxa"/>
            <w:vAlign w:val="bottom"/>
            <w:shd w:val="clear" w:color="auto" w:fill="CFF0FC"/>
          </w:tcPr>
          <w:p>
            <w:pPr>
              <w:ind w:left="120"/>
              <w:spacing w:after="0" w:line="218" w:lineRule="exact"/>
              <w:rPr>
                <w:sz w:val="20"/>
                <w:szCs w:val="20"/>
                <w:color w:val="auto"/>
              </w:rPr>
            </w:pPr>
            <w:r>
              <w:rPr>
                <w:rFonts w:ascii="Calibri" w:cs="Calibri" w:eastAsia="Calibri" w:hAnsi="Calibri"/>
                <w:sz w:val="20"/>
                <w:szCs w:val="20"/>
                <w:b w:val="1"/>
                <w:bCs w:val="1"/>
                <w:color w:val="auto"/>
              </w:rPr>
              <w:t>Long-Term</w:t>
            </w:r>
          </w:p>
        </w:tc>
        <w:tc>
          <w:tcPr>
            <w:tcW w:w="1100" w:type="dxa"/>
            <w:vAlign w:val="bottom"/>
            <w:shd w:val="clear" w:color="auto" w:fill="CFF0FC"/>
          </w:tcPr>
          <w:p>
            <w:pPr>
              <w:ind w:left="160"/>
              <w:spacing w:after="0" w:line="218" w:lineRule="exact"/>
              <w:rPr>
                <w:sz w:val="20"/>
                <w:szCs w:val="20"/>
                <w:color w:val="auto"/>
              </w:rPr>
            </w:pPr>
            <w:r>
              <w:rPr>
                <w:rFonts w:ascii="Calibri" w:cs="Calibri" w:eastAsia="Calibri" w:hAnsi="Calibri"/>
                <w:sz w:val="20"/>
                <w:szCs w:val="20"/>
                <w:color w:val="auto"/>
              </w:rPr>
              <w:t>Equity</w:t>
            </w:r>
          </w:p>
        </w:tc>
        <w:tc>
          <w:tcPr>
            <w:tcW w:w="3220" w:type="dxa"/>
            <w:vAlign w:val="bottom"/>
            <w:shd w:val="clear" w:color="auto" w:fill="CFF0FC"/>
          </w:tcPr>
          <w:p>
            <w:pPr>
              <w:ind w:left="140"/>
              <w:spacing w:after="0" w:line="218" w:lineRule="exact"/>
              <w:rPr>
                <w:sz w:val="20"/>
                <w:szCs w:val="20"/>
                <w:color w:val="auto"/>
              </w:rPr>
            </w:pPr>
            <w:r>
              <w:rPr>
                <w:rFonts w:ascii="Calibri" w:cs="Calibri" w:eastAsia="Calibri" w:hAnsi="Calibri"/>
                <w:sz w:val="20"/>
                <w:szCs w:val="20"/>
                <w:color w:val="auto"/>
              </w:rPr>
              <w:t>Provides incentves for executves</w:t>
            </w:r>
          </w:p>
        </w:tc>
        <w:tc>
          <w:tcPr>
            <w:tcW w:w="5160" w:type="dxa"/>
            <w:vAlign w:val="bottom"/>
            <w:shd w:val="clear" w:color="auto" w:fill="CFF0FC"/>
          </w:tcPr>
          <w:p>
            <w:pPr>
              <w:ind w:left="120"/>
              <w:spacing w:after="0" w:line="218" w:lineRule="exact"/>
              <w:rPr>
                <w:sz w:val="20"/>
                <w:szCs w:val="20"/>
                <w:color w:val="auto"/>
              </w:rPr>
            </w:pPr>
            <w:r>
              <w:rPr>
                <w:rFonts w:ascii="Calibri" w:cs="Calibri" w:eastAsia="Calibri" w:hAnsi="Calibri"/>
                <w:sz w:val="20"/>
                <w:szCs w:val="20"/>
                <w:color w:val="auto"/>
              </w:rPr>
              <w:t>50% of the LTI award is performance-based and 50% vests</w:t>
            </w:r>
          </w:p>
        </w:tc>
      </w:tr>
      <w:tr>
        <w:trPr>
          <w:trHeight w:val="234"/>
        </w:trPr>
        <w:tc>
          <w:tcPr>
            <w:tcW w:w="12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b w:val="1"/>
                <w:bCs w:val="1"/>
                <w:color w:val="auto"/>
              </w:rPr>
              <w:t>Incentve</w:t>
            </w:r>
          </w:p>
        </w:tc>
        <w:tc>
          <w:tcPr>
            <w:tcW w:w="110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(Variable)</w:t>
            </w:r>
          </w:p>
        </w:tc>
        <w:tc>
          <w:tcPr>
            <w:tcW w:w="3220" w:type="dxa"/>
            <w:vAlign w:val="bottom"/>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to execute on longer-term fnancial</w:t>
            </w:r>
          </w:p>
        </w:tc>
        <w:tc>
          <w:tcPr>
            <w:tcW w:w="516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ratably over a four-year period</w:t>
            </w:r>
          </w:p>
        </w:tc>
      </w:tr>
      <w:tr>
        <w:trPr>
          <w:trHeight w:val="243"/>
        </w:trPr>
        <w:tc>
          <w:tcPr>
            <w:tcW w:w="1200" w:type="dxa"/>
            <w:vAlign w:val="bottom"/>
            <w:shd w:val="clear" w:color="auto" w:fill="CFF0FC"/>
          </w:tcPr>
          <w:p>
            <w:pPr>
              <w:ind w:left="120"/>
              <w:spacing w:after="0" w:line="243" w:lineRule="exact"/>
              <w:rPr>
                <w:sz w:val="20"/>
                <w:szCs w:val="20"/>
                <w:color w:val="auto"/>
              </w:rPr>
            </w:pPr>
            <w:r>
              <w:rPr>
                <w:rFonts w:ascii="Calibri" w:cs="Calibri" w:eastAsia="Calibri" w:hAnsi="Calibri"/>
                <w:sz w:val="20"/>
                <w:szCs w:val="20"/>
                <w:b w:val="1"/>
                <w:bCs w:val="1"/>
                <w:color w:val="auto"/>
              </w:rPr>
              <w:t>(LTI) Plan</w:t>
            </w:r>
          </w:p>
        </w:tc>
        <w:tc>
          <w:tcPr>
            <w:tcW w:w="1100" w:type="dxa"/>
            <w:vAlign w:val="bottom"/>
            <w:shd w:val="clear" w:color="auto" w:fill="CFF0FC"/>
          </w:tcPr>
          <w:p>
            <w:pPr>
              <w:spacing w:after="0"/>
              <w:rPr>
                <w:sz w:val="21"/>
                <w:szCs w:val="21"/>
                <w:color w:val="auto"/>
              </w:rPr>
            </w:pPr>
          </w:p>
        </w:tc>
        <w:tc>
          <w:tcPr>
            <w:tcW w:w="3220" w:type="dxa"/>
            <w:vAlign w:val="bottom"/>
            <w:shd w:val="clear" w:color="auto" w:fill="CFF0FC"/>
          </w:tcPr>
          <w:p>
            <w:pPr>
              <w:ind w:left="140"/>
              <w:spacing w:after="0" w:line="243" w:lineRule="exact"/>
              <w:rPr>
                <w:sz w:val="20"/>
                <w:szCs w:val="20"/>
                <w:color w:val="auto"/>
              </w:rPr>
            </w:pPr>
            <w:r>
              <w:rPr>
                <w:rFonts w:ascii="Calibri" w:cs="Calibri" w:eastAsia="Calibri" w:hAnsi="Calibri"/>
                <w:sz w:val="20"/>
                <w:szCs w:val="20"/>
                <w:color w:val="auto"/>
              </w:rPr>
              <w:t>and strategic growth goals that</w:t>
            </w:r>
          </w:p>
        </w:tc>
        <w:tc>
          <w:tcPr>
            <w:tcW w:w="5160" w:type="dxa"/>
            <w:vAlign w:val="bottom"/>
            <w:shd w:val="clear" w:color="auto" w:fill="CFF0FC"/>
          </w:tcPr>
          <w:p>
            <w:pPr>
              <w:ind w:left="120"/>
              <w:spacing w:after="0" w:line="243" w:lineRule="exact"/>
              <w:rPr>
                <w:sz w:val="20"/>
                <w:szCs w:val="20"/>
                <w:color w:val="auto"/>
              </w:rPr>
            </w:pPr>
            <w:r>
              <w:rPr>
                <w:rFonts w:ascii="Calibri" w:cs="Calibri" w:eastAsia="Calibri" w:hAnsi="Calibri"/>
                <w:sz w:val="20"/>
                <w:szCs w:val="20"/>
                <w:color w:val="auto"/>
              </w:rPr>
              <w:t>Performance-based awards can pay out between 0% and</w:t>
            </w:r>
          </w:p>
        </w:tc>
      </w:tr>
      <w:tr>
        <w:trPr>
          <w:trHeight w:val="243"/>
        </w:trPr>
        <w:tc>
          <w:tcPr>
            <w:tcW w:w="1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20" w:type="dxa"/>
            <w:vAlign w:val="bottom"/>
            <w:shd w:val="clear" w:color="auto" w:fill="CFF0FC"/>
          </w:tcPr>
          <w:p>
            <w:pPr>
              <w:ind w:left="140"/>
              <w:spacing w:after="0" w:line="243" w:lineRule="exact"/>
              <w:rPr>
                <w:sz w:val="20"/>
                <w:szCs w:val="20"/>
                <w:color w:val="auto"/>
              </w:rPr>
            </w:pPr>
            <w:r>
              <w:rPr>
                <w:rFonts w:ascii="Calibri" w:cs="Calibri" w:eastAsia="Calibri" w:hAnsi="Calibri"/>
                <w:sz w:val="20"/>
                <w:szCs w:val="20"/>
                <w:color w:val="auto"/>
              </w:rPr>
              <w:t>drive long-term stockholder value</w:t>
            </w:r>
          </w:p>
        </w:tc>
        <w:tc>
          <w:tcPr>
            <w:tcW w:w="5160" w:type="dxa"/>
            <w:vAlign w:val="bottom"/>
            <w:shd w:val="clear" w:color="auto" w:fill="CFF0FC"/>
          </w:tcPr>
          <w:p>
            <w:pPr>
              <w:ind w:left="120"/>
              <w:spacing w:after="0" w:line="243" w:lineRule="exact"/>
              <w:rPr>
                <w:sz w:val="20"/>
                <w:szCs w:val="20"/>
                <w:color w:val="auto"/>
              </w:rPr>
            </w:pPr>
            <w:r>
              <w:rPr>
                <w:rFonts w:ascii="Calibri" w:cs="Calibri" w:eastAsia="Calibri" w:hAnsi="Calibri"/>
                <w:sz w:val="20"/>
                <w:szCs w:val="20"/>
                <w:color w:val="auto"/>
              </w:rPr>
              <w:t>200% of target, based on actual performance compared to</w:t>
            </w:r>
          </w:p>
        </w:tc>
      </w:tr>
      <w:tr>
        <w:trPr>
          <w:trHeight w:val="243"/>
        </w:trPr>
        <w:tc>
          <w:tcPr>
            <w:tcW w:w="1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20" w:type="dxa"/>
            <w:vAlign w:val="bottom"/>
            <w:shd w:val="clear" w:color="auto" w:fill="CFF0FC"/>
          </w:tcPr>
          <w:p>
            <w:pPr>
              <w:ind w:left="140"/>
              <w:spacing w:after="0" w:line="243" w:lineRule="exact"/>
              <w:rPr>
                <w:sz w:val="20"/>
                <w:szCs w:val="20"/>
                <w:color w:val="auto"/>
              </w:rPr>
            </w:pPr>
            <w:r>
              <w:rPr>
                <w:rFonts w:ascii="Calibri" w:cs="Calibri" w:eastAsia="Calibri" w:hAnsi="Calibri"/>
                <w:sz w:val="20"/>
                <w:szCs w:val="20"/>
                <w:color w:val="auto"/>
              </w:rPr>
              <w:t>and support the Company’s</w:t>
            </w:r>
          </w:p>
        </w:tc>
        <w:tc>
          <w:tcPr>
            <w:tcW w:w="5160" w:type="dxa"/>
            <w:vAlign w:val="bottom"/>
            <w:shd w:val="clear" w:color="auto" w:fill="CFF0FC"/>
          </w:tcPr>
          <w:p>
            <w:pPr>
              <w:ind w:left="120"/>
              <w:spacing w:after="0" w:line="243" w:lineRule="exact"/>
              <w:rPr>
                <w:sz w:val="20"/>
                <w:szCs w:val="20"/>
                <w:color w:val="auto"/>
              </w:rPr>
            </w:pPr>
            <w:r>
              <w:rPr>
                <w:rFonts w:ascii="Calibri" w:cs="Calibri" w:eastAsia="Calibri" w:hAnsi="Calibri"/>
                <w:sz w:val="20"/>
                <w:szCs w:val="20"/>
                <w:color w:val="auto"/>
              </w:rPr>
              <w:t>pre-established, three-year fnancial performance targets</w:t>
            </w:r>
          </w:p>
        </w:tc>
      </w:tr>
      <w:tr>
        <w:trPr>
          <w:trHeight w:val="243"/>
        </w:trPr>
        <w:tc>
          <w:tcPr>
            <w:tcW w:w="1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20" w:type="dxa"/>
            <w:vAlign w:val="bottom"/>
            <w:shd w:val="clear" w:color="auto" w:fill="CFF0FC"/>
          </w:tcPr>
          <w:p>
            <w:pPr>
              <w:ind w:left="140"/>
              <w:spacing w:after="0" w:line="243" w:lineRule="exact"/>
              <w:rPr>
                <w:sz w:val="20"/>
                <w:szCs w:val="20"/>
                <w:color w:val="auto"/>
              </w:rPr>
            </w:pPr>
            <w:r>
              <w:rPr>
                <w:rFonts w:ascii="Calibri" w:cs="Calibri" w:eastAsia="Calibri" w:hAnsi="Calibri"/>
                <w:sz w:val="20"/>
                <w:szCs w:val="20"/>
                <w:color w:val="auto"/>
              </w:rPr>
              <w:t>retenton strategy</w:t>
            </w:r>
          </w:p>
        </w:tc>
        <w:tc>
          <w:tcPr>
            <w:tcW w:w="5160" w:type="dxa"/>
            <w:vAlign w:val="bottom"/>
            <w:shd w:val="clear" w:color="auto" w:fill="CFF0FC"/>
          </w:tcPr>
          <w:p>
            <w:pPr>
              <w:spacing w:after="0"/>
              <w:rPr>
                <w:sz w:val="21"/>
                <w:szCs w:val="21"/>
                <w:color w:val="auto"/>
              </w:rPr>
            </w:pPr>
          </w:p>
        </w:tc>
      </w:tr>
      <w:tr>
        <w:trPr>
          <w:trHeight w:val="33"/>
        </w:trPr>
        <w:tc>
          <w:tcPr>
            <w:tcW w:w="120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3220" w:type="dxa"/>
            <w:vAlign w:val="bottom"/>
            <w:shd w:val="clear" w:color="auto" w:fill="CFF0FC"/>
          </w:tcPr>
          <w:p>
            <w:pPr>
              <w:spacing w:after="0"/>
              <w:rPr>
                <w:sz w:val="2"/>
                <w:szCs w:val="2"/>
                <w:color w:val="auto"/>
              </w:rPr>
            </w:pPr>
          </w:p>
        </w:tc>
        <w:tc>
          <w:tcPr>
            <w:tcW w:w="516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32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35" w:name="page36"/>
    <w:bookmarkEnd w:id="35"/>
    <w:p>
      <w:pPr>
        <w:spacing w:after="0"/>
        <w:rPr>
          <w:sz w:val="20"/>
          <w:szCs w:val="20"/>
          <w:color w:val="auto"/>
        </w:rPr>
      </w:pPr>
      <w:r>
        <w:rPr>
          <w:rFonts w:ascii="Calibri" w:cs="Calibri" w:eastAsia="Calibri" w:hAnsi="Calibri"/>
          <w:sz w:val="22"/>
          <w:szCs w:val="22"/>
          <w:b w:val="1"/>
          <w:bCs w:val="1"/>
          <w:color w:val="365F91"/>
        </w:rPr>
        <w:t>Factors Considered in Making Compensaton Decisions</w:t>
      </w:r>
    </w:p>
    <w:p>
      <w:pPr>
        <w:spacing w:after="0" w:line="101" w:lineRule="exact"/>
        <w:rPr>
          <w:sz w:val="20"/>
          <w:szCs w:val="20"/>
          <w:color w:val="auto"/>
        </w:rPr>
      </w:pPr>
    </w:p>
    <w:p>
      <w:pPr>
        <w:spacing w:after="0"/>
        <w:rPr>
          <w:sz w:val="20"/>
          <w:szCs w:val="20"/>
          <w:color w:val="auto"/>
        </w:rPr>
      </w:pPr>
      <w:r>
        <w:rPr>
          <w:rFonts w:ascii="Calibri" w:cs="Calibri" w:eastAsia="Calibri" w:hAnsi="Calibri"/>
          <w:sz w:val="20"/>
          <w:szCs w:val="20"/>
          <w:color w:val="auto"/>
        </w:rPr>
        <w:t>Our compensaton strategy is fexible and enables us to appropriately diferentate and reward executves by taking into account:</w:t>
      </w:r>
    </w:p>
    <w:p>
      <w:pPr>
        <w:spacing w:after="0" w:line="107" w:lineRule="exact"/>
        <w:rPr>
          <w:sz w:val="20"/>
          <w:szCs w:val="20"/>
          <w:color w:val="auto"/>
        </w:rPr>
      </w:pPr>
    </w:p>
    <w:p>
      <w:pPr>
        <w:ind w:left="380" w:hanging="372"/>
        <w:spacing w:after="0"/>
        <w:tabs>
          <w:tab w:leader="none" w:pos="38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Company fnancial and operatonal performance;</w:t>
      </w:r>
    </w:p>
    <w:p>
      <w:pPr>
        <w:spacing w:after="0" w:line="106" w:lineRule="exact"/>
        <w:rPr>
          <w:rFonts w:ascii="Calibri" w:cs="Calibri" w:eastAsia="Calibri" w:hAnsi="Calibri"/>
          <w:sz w:val="20"/>
          <w:szCs w:val="20"/>
          <w:color w:val="auto"/>
        </w:rPr>
      </w:pPr>
    </w:p>
    <w:p>
      <w:pPr>
        <w:ind w:left="380" w:hanging="372"/>
        <w:spacing w:after="0"/>
        <w:tabs>
          <w:tab w:leader="none" w:pos="38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The executve's individual performance, experience, and qualifcatons;</w:t>
      </w:r>
    </w:p>
    <w:p>
      <w:pPr>
        <w:spacing w:after="0" w:line="106" w:lineRule="exact"/>
        <w:rPr>
          <w:rFonts w:ascii="Calibri" w:cs="Calibri" w:eastAsia="Calibri" w:hAnsi="Calibri"/>
          <w:sz w:val="20"/>
          <w:szCs w:val="20"/>
          <w:color w:val="auto"/>
        </w:rPr>
      </w:pPr>
    </w:p>
    <w:p>
      <w:pPr>
        <w:ind w:left="380" w:hanging="372"/>
        <w:spacing w:after="0"/>
        <w:tabs>
          <w:tab w:leader="none" w:pos="38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The scope of the executve's role;</w:t>
      </w:r>
    </w:p>
    <w:p>
      <w:pPr>
        <w:spacing w:after="0" w:line="106" w:lineRule="exact"/>
        <w:rPr>
          <w:rFonts w:ascii="Calibri" w:cs="Calibri" w:eastAsia="Calibri" w:hAnsi="Calibri"/>
          <w:sz w:val="20"/>
          <w:szCs w:val="20"/>
          <w:color w:val="auto"/>
        </w:rPr>
      </w:pPr>
    </w:p>
    <w:p>
      <w:pPr>
        <w:ind w:left="380" w:hanging="372"/>
        <w:spacing w:after="0"/>
        <w:tabs>
          <w:tab w:leader="none" w:pos="38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The level of total compensaton for our other executves; and</w:t>
      </w:r>
    </w:p>
    <w:p>
      <w:pPr>
        <w:spacing w:after="0" w:line="116" w:lineRule="exact"/>
        <w:rPr>
          <w:rFonts w:ascii="Calibri" w:cs="Calibri" w:eastAsia="Calibri" w:hAnsi="Calibri"/>
          <w:sz w:val="20"/>
          <w:szCs w:val="20"/>
          <w:color w:val="auto"/>
        </w:rPr>
      </w:pPr>
    </w:p>
    <w:p>
      <w:pPr>
        <w:ind w:left="760" w:right="20" w:hanging="752"/>
        <w:spacing w:after="0" w:line="234" w:lineRule="auto"/>
        <w:tabs>
          <w:tab w:leader="none" w:pos="378"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Compettve market data which helps us evaluate how our executve pay levels compare to that being ofered to individuals with comparable roles in semiconductor companies with which we compete for talent.</w:t>
      </w:r>
    </w:p>
    <w:p>
      <w:pPr>
        <w:spacing w:after="0" w:line="118"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For additonal informaton regarding elements of compensaton, please refer to the graphs below in the secton enttled “Principal Components of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PAY FOR PERFORMANCE</w:t>
      </w:r>
    </w:p>
    <w:p>
      <w:pPr>
        <w:spacing w:after="0" w:line="4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chart below illustrates the relatve degree of alignment between the total stockholder return ("TSR," defned as stock price appreciaton plus dividends) and the CEO's annual compensaton as reported in the Summary Compensaton Table for the Company (set forth below) and its 2022 Peer Group (as defned below) for the most recent three-year period available. For further informaton concerning the 2022 Peer Group, see “Compensaton Review Process – Selecton of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91440</wp:posOffset>
            </wp:positionV>
            <wp:extent cx="5949315" cy="44145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49315" cy="441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33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36" w:name="page37"/>
    <w:bookmarkEnd w:id="36"/>
    <w:p>
      <w:pPr>
        <w:spacing w:after="0"/>
        <w:rPr>
          <w:sz w:val="20"/>
          <w:szCs w:val="20"/>
          <w:color w:val="auto"/>
        </w:rPr>
      </w:pPr>
      <w:r>
        <w:rPr>
          <w:rFonts w:ascii="Calibri" w:cs="Calibri" w:eastAsia="Calibri" w:hAnsi="Calibri"/>
          <w:sz w:val="20"/>
          <w:szCs w:val="20"/>
          <w:color w:val="auto"/>
        </w:rPr>
        <w:t>The table below illustrates the change in Dr. Lu’s total direct compensaton for 2022, 2023, and 2024:</w:t>
      </w:r>
    </w:p>
    <w:p>
      <w:pPr>
        <w:spacing w:after="0" w:line="120" w:lineRule="exact"/>
        <w:rPr>
          <w:sz w:val="20"/>
          <w:szCs w:val="20"/>
          <w:color w:val="auto"/>
        </w:rPr>
      </w:pPr>
    </w:p>
    <w:p>
      <w:pPr>
        <w:jc w:val="center"/>
        <w:ind w:right="160"/>
        <w:spacing w:after="0"/>
        <w:rPr>
          <w:sz w:val="20"/>
          <w:szCs w:val="20"/>
          <w:color w:val="auto"/>
        </w:rPr>
      </w:pPr>
      <w:r>
        <w:rPr>
          <w:rFonts w:ascii="Calibri" w:cs="Calibri" w:eastAsia="Calibri" w:hAnsi="Calibri"/>
          <w:sz w:val="20"/>
          <w:szCs w:val="20"/>
          <w:b w:val="1"/>
          <w:bCs w:val="1"/>
          <w:color w:val="auto"/>
        </w:rPr>
        <w:t>CEO's Total Direct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9"/>
        </w:trPr>
        <w:tc>
          <w:tcPr>
            <w:tcW w:w="3960" w:type="dxa"/>
            <w:vAlign w:val="bottom"/>
            <w:tcBorders>
              <w:top w:val="single" w:sz="8" w:color="1F497D"/>
              <w:bottom w:val="single" w:sz="8" w:color="1F497D"/>
            </w:tcBorders>
          </w:tcPr>
          <w:p>
            <w:pPr>
              <w:spacing w:after="0"/>
              <w:rPr>
                <w:sz w:val="24"/>
                <w:szCs w:val="24"/>
                <w:color w:val="auto"/>
              </w:rPr>
            </w:pPr>
          </w:p>
        </w:tc>
        <w:tc>
          <w:tcPr>
            <w:tcW w:w="620" w:type="dxa"/>
            <w:vAlign w:val="bottom"/>
            <w:tcBorders>
              <w:top w:val="single" w:sz="8" w:color="1F497D"/>
              <w:bottom w:val="single" w:sz="8" w:color="1F497D"/>
            </w:tcBorders>
          </w:tcPr>
          <w:p>
            <w:pPr>
              <w:spacing w:after="0"/>
              <w:rPr>
                <w:sz w:val="24"/>
                <w:szCs w:val="24"/>
                <w:color w:val="auto"/>
              </w:rPr>
            </w:pPr>
          </w:p>
        </w:tc>
        <w:tc>
          <w:tcPr>
            <w:tcW w:w="1400" w:type="dxa"/>
            <w:vAlign w:val="bottom"/>
            <w:tcBorders>
              <w:top w:val="single" w:sz="8" w:color="1F497D"/>
              <w:bottom w:val="single" w:sz="8" w:color="1F497D"/>
            </w:tcBorders>
          </w:tcPr>
          <w:p>
            <w:pPr>
              <w:jc w:val="right"/>
              <w:ind w:right="661"/>
              <w:spacing w:after="0"/>
              <w:rPr>
                <w:sz w:val="20"/>
                <w:szCs w:val="20"/>
                <w:color w:val="auto"/>
              </w:rPr>
            </w:pPr>
            <w:r>
              <w:rPr>
                <w:rFonts w:ascii="Calibri" w:cs="Calibri" w:eastAsia="Calibri" w:hAnsi="Calibri"/>
                <w:sz w:val="20"/>
                <w:szCs w:val="20"/>
                <w:b w:val="1"/>
                <w:bCs w:val="1"/>
                <w:color w:val="auto"/>
              </w:rPr>
              <w:t>2022</w:t>
            </w:r>
          </w:p>
        </w:tc>
        <w:tc>
          <w:tcPr>
            <w:tcW w:w="340" w:type="dxa"/>
            <w:vAlign w:val="bottom"/>
            <w:tcBorders>
              <w:top w:val="single" w:sz="8" w:color="1F497D"/>
              <w:bottom w:val="single" w:sz="8" w:color="1F497D"/>
            </w:tcBorders>
          </w:tcPr>
          <w:p>
            <w:pPr>
              <w:spacing w:after="0"/>
              <w:rPr>
                <w:sz w:val="24"/>
                <w:szCs w:val="24"/>
                <w:color w:val="auto"/>
              </w:rPr>
            </w:pPr>
          </w:p>
        </w:tc>
        <w:tc>
          <w:tcPr>
            <w:tcW w:w="1540" w:type="dxa"/>
            <w:vAlign w:val="bottom"/>
            <w:tcBorders>
              <w:top w:val="single" w:sz="8" w:color="1F497D"/>
              <w:bottom w:val="single" w:sz="8" w:color="1F497D"/>
            </w:tcBorders>
          </w:tcPr>
          <w:p>
            <w:pPr>
              <w:jc w:val="right"/>
              <w:ind w:right="801"/>
              <w:spacing w:after="0"/>
              <w:rPr>
                <w:sz w:val="20"/>
                <w:szCs w:val="20"/>
                <w:color w:val="auto"/>
              </w:rPr>
            </w:pPr>
            <w:r>
              <w:rPr>
                <w:rFonts w:ascii="Calibri" w:cs="Calibri" w:eastAsia="Calibri" w:hAnsi="Calibri"/>
                <w:sz w:val="20"/>
                <w:szCs w:val="20"/>
                <w:b w:val="1"/>
                <w:bCs w:val="1"/>
                <w:color w:val="auto"/>
              </w:rPr>
              <w:t>2023</w:t>
            </w:r>
          </w:p>
        </w:tc>
        <w:tc>
          <w:tcPr>
            <w:tcW w:w="480" w:type="dxa"/>
            <w:vAlign w:val="bottom"/>
            <w:tcBorders>
              <w:top w:val="single" w:sz="8" w:color="1F497D"/>
              <w:bottom w:val="single" w:sz="8" w:color="1F497D"/>
            </w:tcBorders>
          </w:tcPr>
          <w:p>
            <w:pPr>
              <w:spacing w:after="0"/>
              <w:rPr>
                <w:sz w:val="24"/>
                <w:szCs w:val="24"/>
                <w:color w:val="auto"/>
              </w:rPr>
            </w:pPr>
          </w:p>
        </w:tc>
        <w:tc>
          <w:tcPr>
            <w:tcW w:w="1420" w:type="dxa"/>
            <w:vAlign w:val="bottom"/>
            <w:tcBorders>
              <w:top w:val="single" w:sz="8" w:color="1F497D"/>
              <w:bottom w:val="single" w:sz="8" w:color="1F497D"/>
            </w:tcBorders>
          </w:tcPr>
          <w:p>
            <w:pPr>
              <w:jc w:val="right"/>
              <w:ind w:right="681"/>
              <w:spacing w:after="0"/>
              <w:rPr>
                <w:sz w:val="20"/>
                <w:szCs w:val="20"/>
                <w:color w:val="auto"/>
              </w:rPr>
            </w:pPr>
            <w:r>
              <w:rPr>
                <w:rFonts w:ascii="Calibri" w:cs="Calibri" w:eastAsia="Calibri" w:hAnsi="Calibri"/>
                <w:sz w:val="20"/>
                <w:szCs w:val="20"/>
                <w:b w:val="1"/>
                <w:bCs w:val="1"/>
                <w:color w:val="auto"/>
              </w:rPr>
              <w:t>2024</w:t>
            </w:r>
          </w:p>
        </w:tc>
        <w:tc>
          <w:tcPr>
            <w:tcW w:w="1480" w:type="dxa"/>
            <w:vAlign w:val="bottom"/>
            <w:tcBorders>
              <w:top w:val="single" w:sz="8" w:color="1F497D"/>
              <w:bottom w:val="single" w:sz="8" w:color="1F497D"/>
            </w:tcBorders>
          </w:tcPr>
          <w:p>
            <w:pPr>
              <w:jc w:val="right"/>
              <w:ind w:right="201"/>
              <w:spacing w:after="0"/>
              <w:rPr>
                <w:sz w:val="20"/>
                <w:szCs w:val="20"/>
                <w:color w:val="auto"/>
              </w:rPr>
            </w:pPr>
            <w:r>
              <w:rPr>
                <w:rFonts w:ascii="Calibri" w:cs="Calibri" w:eastAsia="Calibri" w:hAnsi="Calibri"/>
                <w:sz w:val="20"/>
                <w:szCs w:val="20"/>
                <w:b w:val="1"/>
                <w:bCs w:val="1"/>
                <w:color w:val="auto"/>
              </w:rPr>
              <w:t>2022 vs 2024</w:t>
            </w:r>
          </w:p>
        </w:tc>
      </w:tr>
      <w:tr>
        <w:trPr>
          <w:trHeight w:val="241"/>
        </w:trPr>
        <w:tc>
          <w:tcPr>
            <w:tcW w:w="396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Base Salary</w:t>
            </w:r>
          </w:p>
        </w:tc>
        <w:tc>
          <w:tcPr>
            <w:tcW w:w="620" w:type="dxa"/>
            <w:vAlign w:val="bottom"/>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rPr>
              <w:t>757,303</w:t>
            </w:r>
          </w:p>
        </w:tc>
        <w:tc>
          <w:tcPr>
            <w:tcW w:w="340" w:type="dxa"/>
            <w:vAlign w:val="bottom"/>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540" w:type="dxa"/>
            <w:vAlign w:val="bottom"/>
            <w:shd w:val="clear" w:color="auto" w:fill="CFF0FC"/>
          </w:tcPr>
          <w:p>
            <w:pPr>
              <w:jc w:val="right"/>
              <w:ind w:right="241"/>
              <w:spacing w:after="0" w:line="234" w:lineRule="exact"/>
              <w:rPr>
                <w:sz w:val="20"/>
                <w:szCs w:val="20"/>
                <w:color w:val="auto"/>
              </w:rPr>
            </w:pPr>
            <w:r>
              <w:rPr>
                <w:rFonts w:ascii="Calibri" w:cs="Calibri" w:eastAsia="Calibri" w:hAnsi="Calibri"/>
                <w:sz w:val="20"/>
                <w:szCs w:val="20"/>
                <w:color w:val="auto"/>
              </w:rPr>
              <w:t>805,753</w:t>
            </w:r>
          </w:p>
        </w:tc>
        <w:tc>
          <w:tcPr>
            <w:tcW w:w="480" w:type="dxa"/>
            <w:vAlign w:val="bottom"/>
            <w:shd w:val="clear" w:color="auto" w:fill="CFF0FC"/>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740,192</w:t>
            </w:r>
          </w:p>
        </w:tc>
        <w:tc>
          <w:tcPr>
            <w:tcW w:w="14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-2 %</w:t>
            </w:r>
          </w:p>
        </w:tc>
      </w:tr>
      <w:tr>
        <w:trPr>
          <w:trHeight w:val="239"/>
        </w:trPr>
        <w:tc>
          <w:tcPr>
            <w:tcW w:w="3960" w:type="dxa"/>
            <w:vAlign w:val="bottom"/>
          </w:tcPr>
          <w:p>
            <w:pPr>
              <w:ind w:left="120"/>
              <w:spacing w:after="0" w:line="234" w:lineRule="exact"/>
              <w:rPr>
                <w:sz w:val="20"/>
                <w:szCs w:val="20"/>
                <w:color w:val="auto"/>
              </w:rPr>
            </w:pPr>
            <w:r>
              <w:rPr>
                <w:rFonts w:ascii="Calibri" w:cs="Calibri" w:eastAsia="Calibri" w:hAnsi="Calibri"/>
                <w:sz w:val="20"/>
                <w:szCs w:val="20"/>
                <w:color w:val="auto"/>
              </w:rPr>
              <w:t>Bonus</w:t>
            </w:r>
          </w:p>
        </w:tc>
        <w:tc>
          <w:tcPr>
            <w:tcW w:w="6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1,919,501</w:t>
            </w:r>
          </w:p>
        </w:tc>
        <w:tc>
          <w:tcPr>
            <w:tcW w:w="34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54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211,905</w:t>
            </w:r>
          </w:p>
        </w:tc>
        <w:tc>
          <w:tcPr>
            <w:tcW w:w="48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165,269</w:t>
            </w: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-91 %</w:t>
            </w:r>
          </w:p>
        </w:tc>
      </w:tr>
      <w:tr>
        <w:trPr>
          <w:trHeight w:val="247"/>
        </w:trPr>
        <w:tc>
          <w:tcPr>
            <w:tcW w:w="3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3960" w:type="dxa"/>
            <w:vAlign w:val="bottom"/>
          </w:tcPr>
          <w:p>
            <w:pPr>
              <w:ind w:left="120"/>
              <w:spacing w:after="0" w:line="234" w:lineRule="exact"/>
              <w:rPr>
                <w:sz w:val="20"/>
                <w:szCs w:val="20"/>
                <w:color w:val="auto"/>
              </w:rPr>
            </w:pPr>
            <w:r>
              <w:rPr>
                <w:rFonts w:ascii="Calibri" w:cs="Calibri" w:eastAsia="Calibri" w:hAnsi="Calibri"/>
                <w:sz w:val="20"/>
                <w:szCs w:val="20"/>
                <w:color w:val="auto"/>
              </w:rPr>
              <w:t>RSU's</w:t>
            </w: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7"/>
        </w:trPr>
        <w:tc>
          <w:tcPr>
            <w:tcW w:w="3960" w:type="dxa"/>
            <w:vAlign w:val="bottom"/>
            <w:shd w:val="clear" w:color="auto" w:fill="CFF0FC"/>
          </w:tcPr>
          <w:p>
            <w:pPr>
              <w:ind w:left="200"/>
              <w:spacing w:after="0" w:line="239" w:lineRule="exact"/>
              <w:rPr>
                <w:sz w:val="20"/>
                <w:szCs w:val="20"/>
                <w:color w:val="auto"/>
              </w:rPr>
            </w:pPr>
            <w:r>
              <w:rPr>
                <w:rFonts w:ascii="Calibri" w:cs="Calibri" w:eastAsia="Calibri" w:hAnsi="Calibri"/>
                <w:sz w:val="20"/>
                <w:szCs w:val="20"/>
                <w:color w:val="auto"/>
              </w:rPr>
              <w:t>Number of shares</w:t>
            </w:r>
          </w:p>
        </w:tc>
        <w:tc>
          <w:tcPr>
            <w:tcW w:w="6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01"/>
              <w:spacing w:after="0" w:line="239" w:lineRule="exact"/>
              <w:rPr>
                <w:sz w:val="20"/>
                <w:szCs w:val="20"/>
                <w:color w:val="auto"/>
              </w:rPr>
            </w:pPr>
            <w:r>
              <w:rPr>
                <w:rFonts w:ascii="Calibri" w:cs="Calibri" w:eastAsia="Calibri" w:hAnsi="Calibri"/>
                <w:sz w:val="20"/>
                <w:szCs w:val="20"/>
                <w:color w:val="auto"/>
              </w:rPr>
              <w:t>32,000</w:t>
            </w: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241"/>
              <w:spacing w:after="0" w:line="239" w:lineRule="exact"/>
              <w:rPr>
                <w:sz w:val="20"/>
                <w:szCs w:val="20"/>
                <w:color w:val="auto"/>
              </w:rPr>
            </w:pPr>
            <w:r>
              <w:rPr>
                <w:rFonts w:ascii="Calibri" w:cs="Calibri" w:eastAsia="Calibri" w:hAnsi="Calibri"/>
                <w:sz w:val="20"/>
                <w:szCs w:val="20"/>
                <w:color w:val="auto"/>
              </w:rPr>
              <w:t>42,000</w:t>
            </w: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41"/>
              <w:spacing w:after="0" w:line="239" w:lineRule="exact"/>
              <w:rPr>
                <w:sz w:val="20"/>
                <w:szCs w:val="20"/>
                <w:color w:val="auto"/>
              </w:rPr>
            </w:pPr>
            <w:r>
              <w:rPr>
                <w:rFonts w:ascii="Calibri" w:cs="Calibri" w:eastAsia="Calibri" w:hAnsi="Calibri"/>
                <w:sz w:val="20"/>
                <w:szCs w:val="20"/>
                <w:color w:val="auto"/>
              </w:rPr>
              <w:t>25,000</w:t>
            </w:r>
          </w:p>
        </w:tc>
        <w:tc>
          <w:tcPr>
            <w:tcW w:w="1480" w:type="dxa"/>
            <w:vAlign w:val="bottom"/>
            <w:shd w:val="clear" w:color="auto" w:fill="CFF0FC"/>
          </w:tcPr>
          <w:p>
            <w:pPr>
              <w:jc w:val="right"/>
              <w:spacing w:after="0" w:line="239" w:lineRule="exact"/>
              <w:rPr>
                <w:sz w:val="20"/>
                <w:szCs w:val="20"/>
                <w:color w:val="auto"/>
              </w:rPr>
            </w:pPr>
            <w:r>
              <w:rPr>
                <w:rFonts w:ascii="Calibri" w:cs="Calibri" w:eastAsia="Calibri" w:hAnsi="Calibri"/>
                <w:sz w:val="20"/>
                <w:szCs w:val="20"/>
                <w:color w:val="auto"/>
              </w:rPr>
              <w:t>-22 %</w:t>
            </w:r>
          </w:p>
        </w:tc>
      </w:tr>
      <w:tr>
        <w:trPr>
          <w:trHeight w:val="239"/>
        </w:trPr>
        <w:tc>
          <w:tcPr>
            <w:tcW w:w="3960" w:type="dxa"/>
            <w:vAlign w:val="bottom"/>
          </w:tcPr>
          <w:p>
            <w:pPr>
              <w:ind w:left="200"/>
              <w:spacing w:after="0" w:line="234" w:lineRule="exact"/>
              <w:rPr>
                <w:sz w:val="20"/>
                <w:szCs w:val="20"/>
                <w:color w:val="auto"/>
              </w:rPr>
            </w:pPr>
            <w:r>
              <w:rPr>
                <w:rFonts w:ascii="Calibri" w:cs="Calibri" w:eastAsia="Calibri" w:hAnsi="Calibri"/>
                <w:sz w:val="20"/>
                <w:szCs w:val="20"/>
                <w:color w:val="auto"/>
              </w:rPr>
              <w:t>Value/share (closing price on day of grant)</w:t>
            </w:r>
          </w:p>
        </w:tc>
        <w:tc>
          <w:tcPr>
            <w:tcW w:w="6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91.89</w:t>
            </w:r>
          </w:p>
        </w:tc>
        <w:tc>
          <w:tcPr>
            <w:tcW w:w="34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54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93.35</w:t>
            </w:r>
          </w:p>
        </w:tc>
        <w:tc>
          <w:tcPr>
            <w:tcW w:w="48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67.69</w:t>
            </w: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-26 %</w:t>
            </w:r>
          </w:p>
        </w:tc>
      </w:tr>
      <w:tr>
        <w:trPr>
          <w:trHeight w:val="247"/>
        </w:trPr>
        <w:tc>
          <w:tcPr>
            <w:tcW w:w="3960" w:type="dxa"/>
            <w:vAlign w:val="bottom"/>
            <w:shd w:val="clear" w:color="auto" w:fill="CFF0FC"/>
          </w:tcPr>
          <w:p>
            <w:pPr>
              <w:ind w:left="200"/>
              <w:spacing w:after="0" w:line="239" w:lineRule="exact"/>
              <w:rPr>
                <w:sz w:val="20"/>
                <w:szCs w:val="20"/>
                <w:color w:val="auto"/>
              </w:rPr>
            </w:pPr>
            <w:r>
              <w:rPr>
                <w:rFonts w:ascii="Calibri" w:cs="Calibri" w:eastAsia="Calibri" w:hAnsi="Calibri"/>
                <w:sz w:val="20"/>
                <w:szCs w:val="20"/>
                <w:color w:val="auto"/>
              </w:rPr>
              <w:t>Number of shares</w:t>
            </w:r>
          </w:p>
        </w:tc>
        <w:tc>
          <w:tcPr>
            <w:tcW w:w="6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01"/>
              <w:spacing w:after="0" w:line="239" w:lineRule="exact"/>
              <w:rPr>
                <w:sz w:val="20"/>
                <w:szCs w:val="20"/>
                <w:color w:val="auto"/>
              </w:rPr>
            </w:pPr>
            <w:r>
              <w:rPr>
                <w:rFonts w:ascii="Calibri" w:cs="Calibri" w:eastAsia="Calibri" w:hAnsi="Calibri"/>
                <w:sz w:val="20"/>
                <w:szCs w:val="20"/>
                <w:color w:val="auto"/>
              </w:rPr>
              <w:t>5,000</w:t>
            </w: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241"/>
              <w:spacing w:after="0" w:line="239" w:lineRule="exact"/>
              <w:rPr>
                <w:sz w:val="20"/>
                <w:szCs w:val="20"/>
                <w:color w:val="auto"/>
              </w:rPr>
            </w:pPr>
            <w:r>
              <w:rPr>
                <w:rFonts w:ascii="Calibri" w:cs="Calibri" w:eastAsia="Calibri" w:hAnsi="Calibri"/>
                <w:sz w:val="20"/>
                <w:szCs w:val="20"/>
                <w:color w:val="auto"/>
              </w:rPr>
              <w:t>6,000</w:t>
            </w: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41"/>
              <w:spacing w:after="0" w:line="239" w:lineRule="exact"/>
              <w:rPr>
                <w:sz w:val="20"/>
                <w:szCs w:val="20"/>
                <w:color w:val="auto"/>
              </w:rPr>
            </w:pPr>
            <w:r>
              <w:rPr>
                <w:rFonts w:ascii="Calibri" w:cs="Calibri" w:eastAsia="Calibri" w:hAnsi="Calibri"/>
                <w:sz w:val="20"/>
                <w:szCs w:val="20"/>
                <w:color w:val="auto"/>
              </w:rPr>
              <w:t>6,000</w:t>
            </w:r>
          </w:p>
        </w:tc>
        <w:tc>
          <w:tcPr>
            <w:tcW w:w="1480" w:type="dxa"/>
            <w:vAlign w:val="bottom"/>
            <w:shd w:val="clear" w:color="auto" w:fill="CFF0FC"/>
          </w:tcPr>
          <w:p>
            <w:pPr>
              <w:jc w:val="right"/>
              <w:spacing w:after="0" w:line="239" w:lineRule="exact"/>
              <w:rPr>
                <w:sz w:val="20"/>
                <w:szCs w:val="20"/>
                <w:color w:val="auto"/>
              </w:rPr>
            </w:pPr>
            <w:r>
              <w:rPr>
                <w:rFonts w:ascii="Calibri" w:cs="Calibri" w:eastAsia="Calibri" w:hAnsi="Calibri"/>
                <w:sz w:val="20"/>
                <w:szCs w:val="20"/>
                <w:color w:val="auto"/>
              </w:rPr>
              <w:t>20 %</w:t>
            </w:r>
          </w:p>
        </w:tc>
      </w:tr>
      <w:tr>
        <w:trPr>
          <w:trHeight w:val="239"/>
        </w:trPr>
        <w:tc>
          <w:tcPr>
            <w:tcW w:w="3960" w:type="dxa"/>
            <w:vAlign w:val="bottom"/>
          </w:tcPr>
          <w:p>
            <w:pPr>
              <w:ind w:left="200"/>
              <w:spacing w:after="0" w:line="234" w:lineRule="exact"/>
              <w:rPr>
                <w:sz w:val="20"/>
                <w:szCs w:val="20"/>
                <w:color w:val="auto"/>
              </w:rPr>
            </w:pPr>
            <w:r>
              <w:rPr>
                <w:rFonts w:ascii="Calibri" w:cs="Calibri" w:eastAsia="Calibri" w:hAnsi="Calibri"/>
                <w:sz w:val="20"/>
                <w:szCs w:val="20"/>
                <w:color w:val="auto"/>
              </w:rPr>
              <w:t>Value/share (closing price on day of grant)</w:t>
            </w:r>
          </w:p>
        </w:tc>
        <w:tc>
          <w:tcPr>
            <w:tcW w:w="6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73.91</w:t>
            </w:r>
          </w:p>
        </w:tc>
        <w:tc>
          <w:tcPr>
            <w:tcW w:w="34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54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87.37</w:t>
            </w:r>
          </w:p>
        </w:tc>
        <w:tc>
          <w:tcPr>
            <w:tcW w:w="48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72.85</w:t>
            </w: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-1 %</w:t>
            </w:r>
          </w:p>
        </w:tc>
      </w:tr>
      <w:tr>
        <w:trPr>
          <w:trHeight w:val="247"/>
        </w:trPr>
        <w:tc>
          <w:tcPr>
            <w:tcW w:w="3960" w:type="dxa"/>
            <w:vAlign w:val="bottom"/>
            <w:shd w:val="clear" w:color="auto" w:fill="CFF0FC"/>
          </w:tcPr>
          <w:p>
            <w:pPr>
              <w:ind w:left="200"/>
              <w:spacing w:after="0" w:line="239" w:lineRule="exact"/>
              <w:rPr>
                <w:sz w:val="20"/>
                <w:szCs w:val="20"/>
                <w:color w:val="auto"/>
              </w:rPr>
            </w:pPr>
            <w:r>
              <w:rPr>
                <w:rFonts w:ascii="Calibri" w:cs="Calibri" w:eastAsia="Calibri" w:hAnsi="Calibri"/>
                <w:sz w:val="20"/>
                <w:szCs w:val="20"/>
                <w:color w:val="auto"/>
              </w:rPr>
              <w:t>Value</w:t>
            </w:r>
          </w:p>
        </w:tc>
        <w:tc>
          <w:tcPr>
            <w:tcW w:w="620" w:type="dxa"/>
            <w:vAlign w:val="bottom"/>
            <w:shd w:val="clear" w:color="auto" w:fill="CFF0FC"/>
          </w:tcPr>
          <w:p>
            <w:pPr>
              <w:jc w:val="right"/>
              <w:ind w:right="141"/>
              <w:spacing w:after="0" w:line="239" w:lineRule="exact"/>
              <w:rPr>
                <w:sz w:val="20"/>
                <w:szCs w:val="20"/>
                <w:color w:val="auto"/>
              </w:rPr>
            </w:pPr>
            <w:r>
              <w:rPr>
                <w:rFonts w:ascii="Calibri" w:cs="Calibri" w:eastAsia="Calibri" w:hAnsi="Calibri"/>
                <w:sz w:val="20"/>
                <w:szCs w:val="20"/>
                <w:color w:val="auto"/>
              </w:rPr>
              <w:t>$</w:t>
            </w:r>
          </w:p>
        </w:tc>
        <w:tc>
          <w:tcPr>
            <w:tcW w:w="1400" w:type="dxa"/>
            <w:vAlign w:val="bottom"/>
            <w:shd w:val="clear" w:color="auto" w:fill="CFF0FC"/>
          </w:tcPr>
          <w:p>
            <w:pPr>
              <w:jc w:val="right"/>
              <w:ind w:right="101"/>
              <w:spacing w:after="0" w:line="239" w:lineRule="exact"/>
              <w:rPr>
                <w:sz w:val="20"/>
                <w:szCs w:val="20"/>
                <w:color w:val="auto"/>
              </w:rPr>
            </w:pPr>
            <w:r>
              <w:rPr>
                <w:rFonts w:ascii="Calibri" w:cs="Calibri" w:eastAsia="Calibri" w:hAnsi="Calibri"/>
                <w:sz w:val="20"/>
                <w:szCs w:val="20"/>
                <w:color w:val="auto"/>
              </w:rPr>
              <w:t>3,310,030</w:t>
            </w:r>
          </w:p>
        </w:tc>
        <w:tc>
          <w:tcPr>
            <w:tcW w:w="340" w:type="dxa"/>
            <w:vAlign w:val="bottom"/>
            <w:shd w:val="clear" w:color="auto" w:fill="CFF0FC"/>
          </w:tcPr>
          <w:p>
            <w:pPr>
              <w:jc w:val="right"/>
              <w:ind w:right="141"/>
              <w:spacing w:after="0" w:line="239" w:lineRule="exact"/>
              <w:rPr>
                <w:sz w:val="20"/>
                <w:szCs w:val="20"/>
                <w:color w:val="auto"/>
              </w:rPr>
            </w:pPr>
            <w:r>
              <w:rPr>
                <w:rFonts w:ascii="Calibri" w:cs="Calibri" w:eastAsia="Calibri" w:hAnsi="Calibri"/>
                <w:sz w:val="20"/>
                <w:szCs w:val="20"/>
                <w:color w:val="auto"/>
                <w:w w:val="78"/>
              </w:rPr>
              <w:t>$</w:t>
            </w:r>
          </w:p>
        </w:tc>
        <w:tc>
          <w:tcPr>
            <w:tcW w:w="1540" w:type="dxa"/>
            <w:vAlign w:val="bottom"/>
            <w:shd w:val="clear" w:color="auto" w:fill="CFF0FC"/>
          </w:tcPr>
          <w:p>
            <w:pPr>
              <w:jc w:val="right"/>
              <w:ind w:right="241"/>
              <w:spacing w:after="0" w:line="239" w:lineRule="exact"/>
              <w:rPr>
                <w:sz w:val="20"/>
                <w:szCs w:val="20"/>
                <w:color w:val="auto"/>
              </w:rPr>
            </w:pPr>
            <w:r>
              <w:rPr>
                <w:rFonts w:ascii="Calibri" w:cs="Calibri" w:eastAsia="Calibri" w:hAnsi="Calibri"/>
                <w:sz w:val="20"/>
                <w:szCs w:val="20"/>
                <w:color w:val="auto"/>
              </w:rPr>
              <w:t>4,444,920</w:t>
            </w:r>
          </w:p>
        </w:tc>
        <w:tc>
          <w:tcPr>
            <w:tcW w:w="480" w:type="dxa"/>
            <w:vAlign w:val="bottom"/>
            <w:shd w:val="clear" w:color="auto" w:fill="CFF0FC"/>
          </w:tcPr>
          <w:p>
            <w:pPr>
              <w:jc w:val="right"/>
              <w:ind w:right="121"/>
              <w:spacing w:after="0" w:line="239" w:lineRule="exact"/>
              <w:rPr>
                <w:sz w:val="20"/>
                <w:szCs w:val="20"/>
                <w:color w:val="auto"/>
              </w:rPr>
            </w:pPr>
            <w:r>
              <w:rPr>
                <w:rFonts w:ascii="Calibri" w:cs="Calibri" w:eastAsia="Calibri" w:hAnsi="Calibri"/>
                <w:sz w:val="20"/>
                <w:szCs w:val="20"/>
                <w:color w:val="auto"/>
              </w:rPr>
              <w:t>$</w:t>
            </w:r>
          </w:p>
        </w:tc>
        <w:tc>
          <w:tcPr>
            <w:tcW w:w="1420" w:type="dxa"/>
            <w:vAlign w:val="bottom"/>
            <w:shd w:val="clear" w:color="auto" w:fill="CFF0FC"/>
          </w:tcPr>
          <w:p>
            <w:pPr>
              <w:jc w:val="right"/>
              <w:ind w:right="141"/>
              <w:spacing w:after="0" w:line="239" w:lineRule="exact"/>
              <w:rPr>
                <w:sz w:val="20"/>
                <w:szCs w:val="20"/>
                <w:color w:val="auto"/>
              </w:rPr>
            </w:pPr>
            <w:r>
              <w:rPr>
                <w:rFonts w:ascii="Calibri" w:cs="Calibri" w:eastAsia="Calibri" w:hAnsi="Calibri"/>
                <w:sz w:val="20"/>
                <w:szCs w:val="20"/>
                <w:color w:val="auto"/>
              </w:rPr>
              <w:t>2,129,350</w:t>
            </w:r>
          </w:p>
        </w:tc>
        <w:tc>
          <w:tcPr>
            <w:tcW w:w="1480" w:type="dxa"/>
            <w:vAlign w:val="bottom"/>
            <w:shd w:val="clear" w:color="auto" w:fill="CFF0FC"/>
          </w:tcPr>
          <w:p>
            <w:pPr>
              <w:jc w:val="right"/>
              <w:spacing w:after="0" w:line="239" w:lineRule="exact"/>
              <w:rPr>
                <w:sz w:val="20"/>
                <w:szCs w:val="20"/>
                <w:color w:val="auto"/>
              </w:rPr>
            </w:pPr>
            <w:r>
              <w:rPr>
                <w:rFonts w:ascii="Calibri" w:cs="Calibri" w:eastAsia="Calibri" w:hAnsi="Calibri"/>
                <w:sz w:val="20"/>
                <w:szCs w:val="20"/>
                <w:color w:val="auto"/>
              </w:rPr>
              <w:t>-36 %</w:t>
            </w:r>
          </w:p>
        </w:tc>
      </w:tr>
      <w:tr>
        <w:trPr>
          <w:trHeight w:val="243"/>
        </w:trPr>
        <w:tc>
          <w:tcPr>
            <w:tcW w:w="3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396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PSU's</w:t>
            </w:r>
          </w:p>
        </w:tc>
        <w:tc>
          <w:tcPr>
            <w:tcW w:w="6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3960" w:type="dxa"/>
            <w:vAlign w:val="bottom"/>
          </w:tcPr>
          <w:p>
            <w:pPr>
              <w:ind w:left="200"/>
              <w:spacing w:after="0" w:line="234" w:lineRule="exact"/>
              <w:rPr>
                <w:sz w:val="20"/>
                <w:szCs w:val="20"/>
                <w:color w:val="auto"/>
              </w:rPr>
            </w:pPr>
            <w:r>
              <w:rPr>
                <w:rFonts w:ascii="Calibri" w:cs="Calibri" w:eastAsia="Calibri" w:hAnsi="Calibri"/>
                <w:sz w:val="20"/>
                <w:szCs w:val="20"/>
                <w:color w:val="auto"/>
              </w:rPr>
              <w:t>Number of shares</w:t>
            </w:r>
          </w:p>
        </w:tc>
        <w:tc>
          <w:tcPr>
            <w:tcW w:w="620" w:type="dxa"/>
            <w:vAlign w:val="bottom"/>
          </w:tcPr>
          <w:p>
            <w:pPr>
              <w:spacing w:after="0"/>
              <w:rPr>
                <w:sz w:val="20"/>
                <w:szCs w:val="20"/>
                <w:color w:val="auto"/>
              </w:rPr>
            </w:pPr>
          </w:p>
        </w:tc>
        <w:tc>
          <w:tcPr>
            <w:tcW w:w="14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32,000</w:t>
            </w:r>
          </w:p>
        </w:tc>
        <w:tc>
          <w:tcPr>
            <w:tcW w:w="340" w:type="dxa"/>
            <w:vAlign w:val="bottom"/>
          </w:tcPr>
          <w:p>
            <w:pPr>
              <w:spacing w:after="0"/>
              <w:rPr>
                <w:sz w:val="20"/>
                <w:szCs w:val="20"/>
                <w:color w:val="auto"/>
              </w:rPr>
            </w:pPr>
          </w:p>
        </w:tc>
        <w:tc>
          <w:tcPr>
            <w:tcW w:w="154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42,000</w:t>
            </w:r>
          </w:p>
        </w:tc>
        <w:tc>
          <w:tcPr>
            <w:tcW w:w="480" w:type="dxa"/>
            <w:vAlign w:val="bottom"/>
          </w:tcPr>
          <w:p>
            <w:pPr>
              <w:spacing w:after="0"/>
              <w:rPr>
                <w:sz w:val="20"/>
                <w:szCs w:val="20"/>
                <w:color w:val="auto"/>
              </w:rPr>
            </w:pPr>
          </w:p>
        </w:tc>
        <w:tc>
          <w:tcPr>
            <w:tcW w:w="14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25,000</w:t>
            </w: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-22 %</w:t>
            </w:r>
          </w:p>
        </w:tc>
      </w:tr>
      <w:tr>
        <w:trPr>
          <w:trHeight w:val="247"/>
        </w:trPr>
        <w:tc>
          <w:tcPr>
            <w:tcW w:w="3960" w:type="dxa"/>
            <w:vAlign w:val="bottom"/>
            <w:shd w:val="clear" w:color="auto" w:fill="CFF0FC"/>
          </w:tcPr>
          <w:p>
            <w:pPr>
              <w:ind w:left="200"/>
              <w:spacing w:after="0" w:line="239" w:lineRule="exact"/>
              <w:rPr>
                <w:sz w:val="20"/>
                <w:szCs w:val="20"/>
                <w:color w:val="auto"/>
              </w:rPr>
            </w:pPr>
            <w:r>
              <w:rPr>
                <w:rFonts w:ascii="Calibri" w:cs="Calibri" w:eastAsia="Calibri" w:hAnsi="Calibri"/>
                <w:sz w:val="20"/>
                <w:szCs w:val="20"/>
                <w:color w:val="auto"/>
              </w:rPr>
              <w:t>Value/share (closing price on day of grant)</w:t>
            </w:r>
          </w:p>
        </w:tc>
        <w:tc>
          <w:tcPr>
            <w:tcW w:w="620" w:type="dxa"/>
            <w:vAlign w:val="bottom"/>
            <w:shd w:val="clear" w:color="auto" w:fill="CFF0FC"/>
          </w:tcPr>
          <w:p>
            <w:pPr>
              <w:jc w:val="right"/>
              <w:ind w:right="141"/>
              <w:spacing w:after="0" w:line="239" w:lineRule="exact"/>
              <w:rPr>
                <w:sz w:val="20"/>
                <w:szCs w:val="20"/>
                <w:color w:val="auto"/>
              </w:rPr>
            </w:pPr>
            <w:r>
              <w:rPr>
                <w:rFonts w:ascii="Calibri" w:cs="Calibri" w:eastAsia="Calibri" w:hAnsi="Calibri"/>
                <w:sz w:val="20"/>
                <w:szCs w:val="20"/>
                <w:color w:val="auto"/>
              </w:rPr>
              <w:t>$</w:t>
            </w:r>
          </w:p>
        </w:tc>
        <w:tc>
          <w:tcPr>
            <w:tcW w:w="1400" w:type="dxa"/>
            <w:vAlign w:val="bottom"/>
            <w:shd w:val="clear" w:color="auto" w:fill="CFF0FC"/>
          </w:tcPr>
          <w:p>
            <w:pPr>
              <w:jc w:val="right"/>
              <w:ind w:right="101"/>
              <w:spacing w:after="0" w:line="239" w:lineRule="exact"/>
              <w:rPr>
                <w:sz w:val="20"/>
                <w:szCs w:val="20"/>
                <w:color w:val="auto"/>
              </w:rPr>
            </w:pPr>
            <w:r>
              <w:rPr>
                <w:rFonts w:ascii="Calibri" w:cs="Calibri" w:eastAsia="Calibri" w:hAnsi="Calibri"/>
                <w:sz w:val="20"/>
                <w:szCs w:val="20"/>
                <w:color w:val="auto"/>
              </w:rPr>
              <w:t>91.89</w:t>
            </w:r>
          </w:p>
        </w:tc>
        <w:tc>
          <w:tcPr>
            <w:tcW w:w="340" w:type="dxa"/>
            <w:vAlign w:val="bottom"/>
            <w:shd w:val="clear" w:color="auto" w:fill="CFF0FC"/>
          </w:tcPr>
          <w:p>
            <w:pPr>
              <w:jc w:val="right"/>
              <w:ind w:right="141"/>
              <w:spacing w:after="0" w:line="239" w:lineRule="exact"/>
              <w:rPr>
                <w:sz w:val="20"/>
                <w:szCs w:val="20"/>
                <w:color w:val="auto"/>
              </w:rPr>
            </w:pPr>
            <w:r>
              <w:rPr>
                <w:rFonts w:ascii="Calibri" w:cs="Calibri" w:eastAsia="Calibri" w:hAnsi="Calibri"/>
                <w:sz w:val="20"/>
                <w:szCs w:val="20"/>
                <w:color w:val="auto"/>
                <w:w w:val="78"/>
              </w:rPr>
              <w:t>$</w:t>
            </w:r>
          </w:p>
        </w:tc>
        <w:tc>
          <w:tcPr>
            <w:tcW w:w="1540" w:type="dxa"/>
            <w:vAlign w:val="bottom"/>
            <w:shd w:val="clear" w:color="auto" w:fill="CFF0FC"/>
          </w:tcPr>
          <w:p>
            <w:pPr>
              <w:jc w:val="right"/>
              <w:ind w:right="241"/>
              <w:spacing w:after="0" w:line="239" w:lineRule="exact"/>
              <w:rPr>
                <w:sz w:val="20"/>
                <w:szCs w:val="20"/>
                <w:color w:val="auto"/>
              </w:rPr>
            </w:pPr>
            <w:r>
              <w:rPr>
                <w:rFonts w:ascii="Calibri" w:cs="Calibri" w:eastAsia="Calibri" w:hAnsi="Calibri"/>
                <w:sz w:val="20"/>
                <w:szCs w:val="20"/>
                <w:color w:val="auto"/>
              </w:rPr>
              <w:t>93.35</w:t>
            </w:r>
          </w:p>
        </w:tc>
        <w:tc>
          <w:tcPr>
            <w:tcW w:w="480" w:type="dxa"/>
            <w:vAlign w:val="bottom"/>
            <w:shd w:val="clear" w:color="auto" w:fill="CFF0FC"/>
          </w:tcPr>
          <w:p>
            <w:pPr>
              <w:jc w:val="right"/>
              <w:ind w:right="121"/>
              <w:spacing w:after="0" w:line="239" w:lineRule="exact"/>
              <w:rPr>
                <w:sz w:val="20"/>
                <w:szCs w:val="20"/>
                <w:color w:val="auto"/>
              </w:rPr>
            </w:pPr>
            <w:r>
              <w:rPr>
                <w:rFonts w:ascii="Calibri" w:cs="Calibri" w:eastAsia="Calibri" w:hAnsi="Calibri"/>
                <w:sz w:val="20"/>
                <w:szCs w:val="20"/>
                <w:color w:val="auto"/>
              </w:rPr>
              <w:t>$</w:t>
            </w:r>
          </w:p>
        </w:tc>
        <w:tc>
          <w:tcPr>
            <w:tcW w:w="1420" w:type="dxa"/>
            <w:vAlign w:val="bottom"/>
            <w:shd w:val="clear" w:color="auto" w:fill="CFF0FC"/>
          </w:tcPr>
          <w:p>
            <w:pPr>
              <w:jc w:val="right"/>
              <w:ind w:right="141"/>
              <w:spacing w:after="0" w:line="239" w:lineRule="exact"/>
              <w:rPr>
                <w:sz w:val="20"/>
                <w:szCs w:val="20"/>
                <w:color w:val="auto"/>
              </w:rPr>
            </w:pPr>
            <w:r>
              <w:rPr>
                <w:rFonts w:ascii="Calibri" w:cs="Calibri" w:eastAsia="Calibri" w:hAnsi="Calibri"/>
                <w:sz w:val="20"/>
                <w:szCs w:val="20"/>
                <w:color w:val="auto"/>
              </w:rPr>
              <w:t>67.69</w:t>
            </w:r>
          </w:p>
        </w:tc>
        <w:tc>
          <w:tcPr>
            <w:tcW w:w="1480" w:type="dxa"/>
            <w:vAlign w:val="bottom"/>
            <w:shd w:val="clear" w:color="auto" w:fill="CFF0FC"/>
          </w:tcPr>
          <w:p>
            <w:pPr>
              <w:jc w:val="right"/>
              <w:spacing w:after="0" w:line="239" w:lineRule="exact"/>
              <w:rPr>
                <w:sz w:val="20"/>
                <w:szCs w:val="20"/>
                <w:color w:val="auto"/>
              </w:rPr>
            </w:pPr>
            <w:r>
              <w:rPr>
                <w:rFonts w:ascii="Calibri" w:cs="Calibri" w:eastAsia="Calibri" w:hAnsi="Calibri"/>
                <w:sz w:val="20"/>
                <w:szCs w:val="20"/>
                <w:color w:val="auto"/>
              </w:rPr>
              <w:t>-26 %</w:t>
            </w:r>
          </w:p>
        </w:tc>
      </w:tr>
      <w:tr>
        <w:trPr>
          <w:trHeight w:val="239"/>
        </w:trPr>
        <w:tc>
          <w:tcPr>
            <w:tcW w:w="3960" w:type="dxa"/>
            <w:vAlign w:val="bottom"/>
          </w:tcPr>
          <w:p>
            <w:pPr>
              <w:ind w:left="200"/>
              <w:spacing w:after="0" w:line="234" w:lineRule="exact"/>
              <w:rPr>
                <w:sz w:val="20"/>
                <w:szCs w:val="20"/>
                <w:color w:val="auto"/>
              </w:rPr>
            </w:pPr>
            <w:r>
              <w:rPr>
                <w:rFonts w:ascii="Calibri" w:cs="Calibri" w:eastAsia="Calibri" w:hAnsi="Calibri"/>
                <w:sz w:val="20"/>
                <w:szCs w:val="20"/>
                <w:color w:val="auto"/>
              </w:rPr>
              <w:t>Value</w:t>
            </w:r>
          </w:p>
        </w:tc>
        <w:tc>
          <w:tcPr>
            <w:tcW w:w="6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2,940,480</w:t>
            </w:r>
          </w:p>
        </w:tc>
        <w:tc>
          <w:tcPr>
            <w:tcW w:w="34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54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3,920,700</w:t>
            </w:r>
          </w:p>
        </w:tc>
        <w:tc>
          <w:tcPr>
            <w:tcW w:w="48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1,692,250</w:t>
            </w: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-42 %</w:t>
            </w:r>
          </w:p>
        </w:tc>
      </w:tr>
      <w:tr>
        <w:trPr>
          <w:trHeight w:val="247"/>
        </w:trPr>
        <w:tc>
          <w:tcPr>
            <w:tcW w:w="3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3960" w:type="dxa"/>
            <w:vAlign w:val="bottom"/>
          </w:tcPr>
          <w:p>
            <w:pPr>
              <w:ind w:left="120"/>
              <w:spacing w:after="0" w:line="234" w:lineRule="exact"/>
              <w:rPr>
                <w:sz w:val="20"/>
                <w:szCs w:val="20"/>
                <w:color w:val="auto"/>
              </w:rPr>
            </w:pPr>
            <w:r>
              <w:rPr>
                <w:rFonts w:ascii="Calibri" w:cs="Calibri" w:eastAsia="Calibri" w:hAnsi="Calibri"/>
                <w:sz w:val="20"/>
                <w:szCs w:val="20"/>
                <w:color w:val="auto"/>
              </w:rPr>
              <w:t>Total Long-Term Incentve</w:t>
            </w:r>
          </w:p>
        </w:tc>
        <w:tc>
          <w:tcPr>
            <w:tcW w:w="6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6,250,510</w:t>
            </w:r>
          </w:p>
        </w:tc>
        <w:tc>
          <w:tcPr>
            <w:tcW w:w="34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54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8,365,620</w:t>
            </w:r>
          </w:p>
        </w:tc>
        <w:tc>
          <w:tcPr>
            <w:tcW w:w="48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3,821,600</w:t>
            </w: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-39 %</w:t>
            </w:r>
          </w:p>
        </w:tc>
      </w:tr>
      <w:tr>
        <w:trPr>
          <w:trHeight w:val="247"/>
        </w:trPr>
        <w:tc>
          <w:tcPr>
            <w:tcW w:w="3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3960" w:type="dxa"/>
            <w:vAlign w:val="bottom"/>
          </w:tcPr>
          <w:p>
            <w:pPr>
              <w:ind w:left="120"/>
              <w:spacing w:after="0" w:line="234" w:lineRule="exact"/>
              <w:rPr>
                <w:sz w:val="20"/>
                <w:szCs w:val="20"/>
                <w:color w:val="auto"/>
              </w:rPr>
            </w:pPr>
            <w:r>
              <w:rPr>
                <w:rFonts w:ascii="Calibri" w:cs="Calibri" w:eastAsia="Calibri" w:hAnsi="Calibri"/>
                <w:sz w:val="20"/>
                <w:szCs w:val="20"/>
                <w:color w:val="auto"/>
              </w:rPr>
              <w:t>Other compensaton</w:t>
            </w:r>
          </w:p>
        </w:tc>
        <w:tc>
          <w:tcPr>
            <w:tcW w:w="6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118,332</w:t>
            </w:r>
          </w:p>
        </w:tc>
        <w:tc>
          <w:tcPr>
            <w:tcW w:w="34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54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100,538</w:t>
            </w:r>
          </w:p>
        </w:tc>
        <w:tc>
          <w:tcPr>
            <w:tcW w:w="48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96,166</w:t>
            </w: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-19 %</w:t>
            </w:r>
          </w:p>
        </w:tc>
      </w:tr>
      <w:tr>
        <w:trPr>
          <w:trHeight w:val="247"/>
        </w:trPr>
        <w:tc>
          <w:tcPr>
            <w:tcW w:w="3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3960" w:type="dxa"/>
            <w:vAlign w:val="bottom"/>
          </w:tcPr>
          <w:p>
            <w:pPr>
              <w:ind w:left="120"/>
              <w:spacing w:after="0" w:line="234" w:lineRule="exact"/>
              <w:rPr>
                <w:sz w:val="20"/>
                <w:szCs w:val="20"/>
                <w:color w:val="auto"/>
              </w:rPr>
            </w:pPr>
            <w:r>
              <w:rPr>
                <w:rFonts w:ascii="Calibri" w:cs="Calibri" w:eastAsia="Calibri" w:hAnsi="Calibri"/>
                <w:sz w:val="20"/>
                <w:szCs w:val="20"/>
                <w:color w:val="auto"/>
              </w:rPr>
              <w:t>Total Compensaton</w:t>
            </w:r>
          </w:p>
        </w:tc>
        <w:tc>
          <w:tcPr>
            <w:tcW w:w="6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9,045,646</w:t>
            </w:r>
          </w:p>
        </w:tc>
        <w:tc>
          <w:tcPr>
            <w:tcW w:w="34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54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9,483,816</w:t>
            </w:r>
          </w:p>
        </w:tc>
        <w:tc>
          <w:tcPr>
            <w:tcW w:w="48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4,823,227</w:t>
            </w: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-47 %</w:t>
            </w:r>
          </w:p>
        </w:tc>
      </w:tr>
      <w:tr>
        <w:trPr>
          <w:trHeight w:val="243"/>
        </w:trPr>
        <w:tc>
          <w:tcPr>
            <w:tcW w:w="3960" w:type="dxa"/>
            <w:vAlign w:val="bottom"/>
            <w:tcBorders>
              <w:bottom w:val="single" w:sz="8" w:color="005CA9"/>
            </w:tcBorders>
            <w:shd w:val="clear" w:color="auto" w:fill="CFF0FC"/>
          </w:tcPr>
          <w:p>
            <w:pPr>
              <w:ind w:left="200"/>
              <w:spacing w:after="0" w:line="239" w:lineRule="exact"/>
              <w:rPr>
                <w:sz w:val="20"/>
                <w:szCs w:val="20"/>
                <w:color w:val="auto"/>
              </w:rPr>
            </w:pPr>
            <w:r>
              <w:rPr>
                <w:rFonts w:ascii="Calibri" w:cs="Calibri" w:eastAsia="Calibri" w:hAnsi="Calibri"/>
                <w:sz w:val="20"/>
                <w:szCs w:val="20"/>
                <w:color w:val="auto"/>
              </w:rPr>
              <w:t>Change from previous year</w:t>
            </w:r>
          </w:p>
        </w:tc>
        <w:tc>
          <w:tcPr>
            <w:tcW w:w="620" w:type="dxa"/>
            <w:vAlign w:val="bottom"/>
            <w:tcBorders>
              <w:bottom w:val="single" w:sz="8" w:color="005CA9"/>
            </w:tcBorders>
            <w:shd w:val="clear" w:color="auto" w:fill="CFF0FC"/>
          </w:tcPr>
          <w:p>
            <w:pPr>
              <w:spacing w:after="0"/>
              <w:rPr>
                <w:sz w:val="21"/>
                <w:szCs w:val="21"/>
                <w:color w:val="auto"/>
              </w:rPr>
            </w:pPr>
          </w:p>
        </w:tc>
        <w:tc>
          <w:tcPr>
            <w:tcW w:w="1400" w:type="dxa"/>
            <w:vAlign w:val="bottom"/>
            <w:tcBorders>
              <w:bottom w:val="single" w:sz="8" w:color="005CA9"/>
            </w:tcBorders>
            <w:shd w:val="clear" w:color="auto" w:fill="CFF0FC"/>
          </w:tcPr>
          <w:p>
            <w:pPr>
              <w:jc w:val="right"/>
              <w:spacing w:after="0" w:line="239" w:lineRule="exact"/>
              <w:rPr>
                <w:sz w:val="20"/>
                <w:szCs w:val="20"/>
                <w:color w:val="auto"/>
              </w:rPr>
            </w:pPr>
            <w:r>
              <w:rPr>
                <w:rFonts w:ascii="Calibri" w:cs="Calibri" w:eastAsia="Calibri" w:hAnsi="Calibri"/>
                <w:sz w:val="20"/>
                <w:szCs w:val="20"/>
                <w:color w:val="auto"/>
              </w:rPr>
              <w:t>11.2 %</w:t>
            </w:r>
          </w:p>
        </w:tc>
        <w:tc>
          <w:tcPr>
            <w:tcW w:w="340" w:type="dxa"/>
            <w:vAlign w:val="bottom"/>
            <w:tcBorders>
              <w:bottom w:val="single" w:sz="8" w:color="005CA9"/>
            </w:tcBorders>
            <w:shd w:val="clear" w:color="auto" w:fill="CFF0FC"/>
          </w:tcPr>
          <w:p>
            <w:pPr>
              <w:spacing w:after="0"/>
              <w:rPr>
                <w:sz w:val="21"/>
                <w:szCs w:val="21"/>
                <w:color w:val="auto"/>
              </w:rPr>
            </w:pPr>
          </w:p>
        </w:tc>
        <w:tc>
          <w:tcPr>
            <w:tcW w:w="1540" w:type="dxa"/>
            <w:vAlign w:val="bottom"/>
            <w:tcBorders>
              <w:bottom w:val="single" w:sz="8" w:color="005CA9"/>
            </w:tcBorders>
            <w:shd w:val="clear" w:color="auto" w:fill="CFF0FC"/>
          </w:tcPr>
          <w:p>
            <w:pPr>
              <w:jc w:val="right"/>
              <w:ind w:right="61"/>
              <w:spacing w:after="0" w:line="239" w:lineRule="exact"/>
              <w:rPr>
                <w:sz w:val="20"/>
                <w:szCs w:val="20"/>
                <w:color w:val="auto"/>
              </w:rPr>
            </w:pPr>
            <w:r>
              <w:rPr>
                <w:rFonts w:ascii="Calibri" w:cs="Calibri" w:eastAsia="Calibri" w:hAnsi="Calibri"/>
                <w:sz w:val="20"/>
                <w:szCs w:val="20"/>
                <w:color w:val="auto"/>
              </w:rPr>
              <w:t>4.8 %</w:t>
            </w:r>
          </w:p>
        </w:tc>
        <w:tc>
          <w:tcPr>
            <w:tcW w:w="480" w:type="dxa"/>
            <w:vAlign w:val="bottom"/>
            <w:tcBorders>
              <w:bottom w:val="single" w:sz="8" w:color="005CA9"/>
            </w:tcBorders>
            <w:shd w:val="clear" w:color="auto" w:fill="CFF0FC"/>
          </w:tcPr>
          <w:p>
            <w:pPr>
              <w:spacing w:after="0"/>
              <w:rPr>
                <w:sz w:val="21"/>
                <w:szCs w:val="21"/>
                <w:color w:val="auto"/>
              </w:rPr>
            </w:pPr>
          </w:p>
        </w:tc>
        <w:tc>
          <w:tcPr>
            <w:tcW w:w="1420" w:type="dxa"/>
            <w:vAlign w:val="bottom"/>
            <w:tcBorders>
              <w:bottom w:val="single" w:sz="8" w:color="005CA9"/>
            </w:tcBorders>
            <w:shd w:val="clear" w:color="auto" w:fill="CFF0FC"/>
          </w:tcPr>
          <w:p>
            <w:pPr>
              <w:jc w:val="right"/>
              <w:spacing w:after="0" w:line="239" w:lineRule="exact"/>
              <w:rPr>
                <w:sz w:val="20"/>
                <w:szCs w:val="20"/>
                <w:color w:val="auto"/>
              </w:rPr>
            </w:pPr>
            <w:r>
              <w:rPr>
                <w:rFonts w:ascii="Calibri" w:cs="Calibri" w:eastAsia="Calibri" w:hAnsi="Calibri"/>
                <w:sz w:val="20"/>
                <w:szCs w:val="20"/>
                <w:color w:val="auto"/>
              </w:rPr>
              <w:t>-49.1 %</w:t>
            </w:r>
          </w:p>
        </w:tc>
        <w:tc>
          <w:tcPr>
            <w:tcW w:w="1480" w:type="dxa"/>
            <w:vAlign w:val="bottom"/>
            <w:tcBorders>
              <w:bottom w:val="single" w:sz="8" w:color="005CA9"/>
            </w:tcBorders>
            <w:shd w:val="clear" w:color="auto" w:fill="CFF0FC"/>
          </w:tcPr>
          <w:p>
            <w:pPr>
              <w:jc w:val="right"/>
              <w:ind w:right="101"/>
              <w:spacing w:after="0" w:line="239" w:lineRule="exact"/>
              <w:rPr>
                <w:sz w:val="20"/>
                <w:szCs w:val="20"/>
                <w:color w:val="auto"/>
              </w:rPr>
            </w:pPr>
            <w:r>
              <w:rPr>
                <w:rFonts w:ascii="Calibri" w:cs="Calibri" w:eastAsia="Calibri" w:hAnsi="Calibri"/>
                <w:sz w:val="20"/>
                <w:szCs w:val="20"/>
                <w:color w:val="auto"/>
              </w:rPr>
              <w:t>N/A</w:t>
            </w:r>
          </w:p>
        </w:tc>
      </w:tr>
    </w:tbl>
    <w:p>
      <w:pPr>
        <w:spacing w:after="0" w:line="8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Total shareholder return for 2022, 2023, and 2024 was (30.7)%, 5.8%, and (23.4)%, respectvely. The decrease in total shareholder return for 2024 refects the decrease in the Company's stock price from $80.52 per share at December 31, 2023 to $61.67 per share at December 31, 2024.</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To evaluate projected compensaton levels, the Compensaton Commitee retained Compensaton Advisory Partners (“CP”) in September 2022. In November 2022 CP advised the Compensaton Commitee as to the compositon of the 2022 Peer Group. Then in December 2022 CP compared our 2023 projected executve target compensaton to that of our 2022 Peer Group. CP reported directly to the Compensaton Commitee. The individuals at CP who provided the compensaton consultng services to the Compensaton Commitee provide no other services to the Company or its subsidiaries.</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In the December 2022 comparison, CP reviewed the compensaton elements and market practces impactng the top eight senior executve positons at the Company. The scope of the review focused on the base salary plus target annual and target long-term incentve compensaton levels of the top eight senior executve positons. The report relied on the compensaton practces of our 2022 Peer Group. For a descripton of the 2022 Peer Group, see “Compensaton Review Process – Selecton of Peer Group” below. The review summarized the executves’ overall percentle alignment for the Company's executves compared to the fnal blended market data, with target compensaton being the primary focus of the study percentle value and derived from base salary, target total cash, 2023 target long-term incentves and total direct compensaton at target total cash. The review demonstrated that with some variaton by individual, the Company's executves are compensated at the 68th percentle in terms of total direct compensaton using target total cash plus 2023 target long-term incentves. The 68th percentle measurement was primarily driven by the long-term performance</w:t>
      </w:r>
    </w:p>
    <w:p>
      <w:pPr>
        <w:spacing w:after="0" w:line="35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34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37" w:name="page38"/>
    <w:bookmarkEnd w:id="37"/>
    <w:p>
      <w:pPr>
        <w:jc w:val="both"/>
        <w:ind w:right="20"/>
        <w:spacing w:after="0" w:line="234" w:lineRule="auto"/>
        <w:rPr>
          <w:sz w:val="20"/>
          <w:szCs w:val="20"/>
          <w:color w:val="auto"/>
        </w:rPr>
      </w:pPr>
      <w:r>
        <w:rPr>
          <w:rFonts w:ascii="Calibri" w:cs="Calibri" w:eastAsia="Calibri" w:hAnsi="Calibri"/>
          <w:sz w:val="20"/>
          <w:szCs w:val="20"/>
          <w:color w:val="auto"/>
        </w:rPr>
        <w:t>incentves porton of our executve compensaton program. The relatve pay rank for our CEO and other executves by type of compensaton are detailed in the following chart: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20" w:type="dxa"/>
            <w:vAlign w:val="bottom"/>
            <w:tcBorders>
              <w:top w:val="single" w:sz="8" w:color="005CA9"/>
            </w:tcBorders>
          </w:tcPr>
          <w:p>
            <w:pPr>
              <w:spacing w:after="0"/>
              <w:rPr>
                <w:sz w:val="20"/>
                <w:szCs w:val="20"/>
                <w:color w:val="auto"/>
              </w:rPr>
            </w:pPr>
          </w:p>
        </w:tc>
        <w:tc>
          <w:tcPr>
            <w:tcW w:w="1960" w:type="dxa"/>
            <w:vAlign w:val="bottom"/>
            <w:tcBorders>
              <w:top w:val="single" w:sz="8" w:color="005CA9"/>
            </w:tcBorders>
          </w:tcPr>
          <w:p>
            <w:pPr>
              <w:spacing w:after="0"/>
              <w:rPr>
                <w:sz w:val="20"/>
                <w:szCs w:val="20"/>
                <w:color w:val="auto"/>
              </w:rPr>
            </w:pPr>
          </w:p>
        </w:tc>
        <w:tc>
          <w:tcPr>
            <w:tcW w:w="2240" w:type="dxa"/>
            <w:vAlign w:val="bottom"/>
            <w:tcBorders>
              <w:top w:val="single" w:sz="8" w:color="005CA9"/>
            </w:tcBorders>
          </w:tcPr>
          <w:p>
            <w:pPr>
              <w:jc w:val="center"/>
              <w:ind w:left="7"/>
              <w:spacing w:after="0" w:line="232" w:lineRule="exact"/>
              <w:rPr>
                <w:sz w:val="20"/>
                <w:szCs w:val="20"/>
                <w:color w:val="auto"/>
              </w:rPr>
            </w:pPr>
            <w:r>
              <w:rPr>
                <w:rFonts w:ascii="Calibri" w:cs="Calibri" w:eastAsia="Calibri" w:hAnsi="Calibri"/>
                <w:sz w:val="20"/>
                <w:szCs w:val="20"/>
                <w:b w:val="1"/>
                <w:bCs w:val="1"/>
                <w:color w:val="auto"/>
              </w:rPr>
              <w:t>Pay Rank</w:t>
            </w:r>
          </w:p>
        </w:tc>
        <w:tc>
          <w:tcPr>
            <w:tcW w:w="1520" w:type="dxa"/>
            <w:vAlign w:val="bottom"/>
            <w:tcBorders>
              <w:top w:val="single" w:sz="8" w:color="005CA9"/>
            </w:tcBorders>
          </w:tcPr>
          <w:p>
            <w:pPr>
              <w:spacing w:after="0"/>
              <w:rPr>
                <w:sz w:val="20"/>
                <w:szCs w:val="20"/>
                <w:color w:val="auto"/>
              </w:rPr>
            </w:pPr>
          </w:p>
        </w:tc>
      </w:tr>
      <w:tr>
        <w:trPr>
          <w:trHeight w:val="234"/>
        </w:trPr>
        <w:tc>
          <w:tcPr>
            <w:tcW w:w="5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4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Other Executve</w:t>
            </w:r>
          </w:p>
        </w:tc>
        <w:tc>
          <w:tcPr>
            <w:tcW w:w="1520" w:type="dxa"/>
            <w:vAlign w:val="bottom"/>
          </w:tcPr>
          <w:p>
            <w:pPr>
              <w:spacing w:after="0"/>
              <w:rPr>
                <w:sz w:val="20"/>
                <w:szCs w:val="20"/>
                <w:color w:val="auto"/>
              </w:rPr>
            </w:pPr>
          </w:p>
        </w:tc>
      </w:tr>
      <w:tr>
        <w:trPr>
          <w:trHeight w:val="243"/>
        </w:trPr>
        <w:tc>
          <w:tcPr>
            <w:tcW w:w="5520" w:type="dxa"/>
            <w:vAlign w:val="bottom"/>
          </w:tcPr>
          <w:p>
            <w:pPr>
              <w:ind w:left="20"/>
              <w:spacing w:after="0" w:line="243" w:lineRule="exact"/>
              <w:rPr>
                <w:sz w:val="20"/>
                <w:szCs w:val="20"/>
                <w:color w:val="auto"/>
              </w:rPr>
            </w:pPr>
            <w:r>
              <w:rPr>
                <w:rFonts w:ascii="Calibri" w:cs="Calibri" w:eastAsia="Calibri" w:hAnsi="Calibri"/>
                <w:sz w:val="20"/>
                <w:szCs w:val="20"/>
                <w:b w:val="1"/>
                <w:bCs w:val="1"/>
                <w:color w:val="auto"/>
              </w:rPr>
              <w:t>Component of Pay</w:t>
            </w:r>
          </w:p>
        </w:tc>
        <w:tc>
          <w:tcPr>
            <w:tcW w:w="1960" w:type="dxa"/>
            <w:vAlign w:val="bottom"/>
          </w:tcPr>
          <w:p>
            <w:pPr>
              <w:ind w:left="1160"/>
              <w:spacing w:after="0" w:line="243" w:lineRule="exact"/>
              <w:rPr>
                <w:sz w:val="20"/>
                <w:szCs w:val="20"/>
                <w:color w:val="auto"/>
              </w:rPr>
            </w:pPr>
            <w:r>
              <w:rPr>
                <w:rFonts w:ascii="Calibri" w:cs="Calibri" w:eastAsia="Calibri" w:hAnsi="Calibri"/>
                <w:sz w:val="20"/>
                <w:szCs w:val="20"/>
                <w:b w:val="1"/>
                <w:bCs w:val="1"/>
                <w:color w:val="auto"/>
              </w:rPr>
              <w:t>CEO</w:t>
            </w:r>
          </w:p>
        </w:tc>
        <w:tc>
          <w:tcPr>
            <w:tcW w:w="22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Ofcers</w:t>
            </w:r>
          </w:p>
        </w:tc>
        <w:tc>
          <w:tcPr>
            <w:tcW w:w="15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Overall</w:t>
            </w:r>
          </w:p>
        </w:tc>
      </w:tr>
      <w:tr>
        <w:trPr>
          <w:trHeight w:val="259"/>
        </w:trPr>
        <w:tc>
          <w:tcPr>
            <w:tcW w:w="5520" w:type="dxa"/>
            <w:vAlign w:val="bottom"/>
          </w:tcPr>
          <w:p>
            <w:pPr>
              <w:ind w:left="20"/>
              <w:spacing w:after="0"/>
              <w:rPr>
                <w:sz w:val="20"/>
                <w:szCs w:val="20"/>
                <w:color w:val="auto"/>
              </w:rPr>
            </w:pPr>
            <w:r>
              <w:rPr>
                <w:rFonts w:ascii="Calibri" w:cs="Calibri" w:eastAsia="Calibri" w:hAnsi="Calibri"/>
                <w:sz w:val="20"/>
                <w:szCs w:val="20"/>
                <w:color w:val="auto"/>
              </w:rPr>
              <w:t>Base salary</w:t>
            </w:r>
          </w:p>
        </w:tc>
        <w:tc>
          <w:tcPr>
            <w:tcW w:w="1960" w:type="dxa"/>
            <w:vAlign w:val="bottom"/>
          </w:tcPr>
          <w:p>
            <w:pPr>
              <w:ind w:left="1180"/>
              <w:spacing w:after="0" w:line="258" w:lineRule="exact"/>
              <w:rPr>
                <w:sz w:val="20"/>
                <w:szCs w:val="20"/>
                <w:color w:val="auto"/>
              </w:rPr>
            </w:pPr>
            <w:r>
              <w:rPr>
                <w:rFonts w:ascii="Calibri" w:cs="Calibri" w:eastAsia="Calibri" w:hAnsi="Calibri"/>
                <w:sz w:val="20"/>
                <w:szCs w:val="20"/>
                <w:color w:val="auto"/>
              </w:rPr>
              <w:t>53</w:t>
            </w:r>
            <w:r>
              <w:rPr>
                <w:rFonts w:ascii="Calibri" w:cs="Calibri" w:eastAsia="Calibri" w:hAnsi="Calibri"/>
                <w:sz w:val="26"/>
                <w:szCs w:val="26"/>
                <w:color w:val="auto"/>
                <w:vertAlign w:val="superscript"/>
              </w:rPr>
              <w:t>rd</w:t>
            </w:r>
          </w:p>
        </w:tc>
        <w:tc>
          <w:tcPr>
            <w:tcW w:w="2240" w:type="dxa"/>
            <w:vAlign w:val="bottom"/>
          </w:tcPr>
          <w:p>
            <w:pPr>
              <w:jc w:val="center"/>
              <w:spacing w:after="0" w:line="258" w:lineRule="exact"/>
              <w:rPr>
                <w:sz w:val="20"/>
                <w:szCs w:val="20"/>
                <w:color w:val="auto"/>
              </w:rPr>
            </w:pPr>
            <w:r>
              <w:rPr>
                <w:rFonts w:ascii="Calibri" w:cs="Calibri" w:eastAsia="Calibri" w:hAnsi="Calibri"/>
                <w:sz w:val="20"/>
                <w:szCs w:val="20"/>
                <w:color w:val="auto"/>
                <w:w w:val="90"/>
              </w:rPr>
              <w:t>24</w:t>
            </w:r>
            <w:r>
              <w:rPr>
                <w:rFonts w:ascii="Calibri" w:cs="Calibri" w:eastAsia="Calibri" w:hAnsi="Calibri"/>
                <w:sz w:val="26"/>
                <w:szCs w:val="26"/>
                <w:color w:val="auto"/>
                <w:w w:val="90"/>
                <w:vertAlign w:val="superscript"/>
              </w:rPr>
              <w:t>th</w:t>
            </w:r>
          </w:p>
        </w:tc>
        <w:tc>
          <w:tcPr>
            <w:tcW w:w="1520" w:type="dxa"/>
            <w:vAlign w:val="bottom"/>
          </w:tcPr>
          <w:p>
            <w:pPr>
              <w:jc w:val="center"/>
              <w:spacing w:after="0" w:line="258" w:lineRule="exact"/>
              <w:rPr>
                <w:sz w:val="20"/>
                <w:szCs w:val="20"/>
                <w:color w:val="auto"/>
              </w:rPr>
            </w:pPr>
            <w:r>
              <w:rPr>
                <w:rFonts w:ascii="Calibri" w:cs="Calibri" w:eastAsia="Calibri" w:hAnsi="Calibri"/>
                <w:sz w:val="20"/>
                <w:szCs w:val="20"/>
                <w:color w:val="auto"/>
                <w:w w:val="90"/>
              </w:rPr>
              <w:t>28</w:t>
            </w:r>
            <w:r>
              <w:rPr>
                <w:rFonts w:ascii="Calibri" w:cs="Calibri" w:eastAsia="Calibri" w:hAnsi="Calibri"/>
                <w:sz w:val="26"/>
                <w:szCs w:val="26"/>
                <w:color w:val="auto"/>
                <w:w w:val="90"/>
                <w:vertAlign w:val="superscript"/>
              </w:rPr>
              <w:t>th</w:t>
            </w:r>
          </w:p>
        </w:tc>
      </w:tr>
      <w:tr>
        <w:trPr>
          <w:trHeight w:val="243"/>
        </w:trPr>
        <w:tc>
          <w:tcPr>
            <w:tcW w:w="5520" w:type="dxa"/>
            <w:vAlign w:val="bottom"/>
          </w:tcPr>
          <w:p>
            <w:pPr>
              <w:ind w:left="20"/>
              <w:spacing w:after="0" w:line="243" w:lineRule="exact"/>
              <w:rPr>
                <w:sz w:val="20"/>
                <w:szCs w:val="20"/>
                <w:color w:val="auto"/>
              </w:rPr>
            </w:pPr>
            <w:r>
              <w:rPr>
                <w:rFonts w:ascii="Calibri" w:cs="Calibri" w:eastAsia="Calibri" w:hAnsi="Calibri"/>
                <w:sz w:val="20"/>
                <w:szCs w:val="20"/>
                <w:color w:val="auto"/>
              </w:rPr>
              <w:t>Cash compensaton (base salary + target bonus)</w:t>
            </w:r>
          </w:p>
        </w:tc>
        <w:tc>
          <w:tcPr>
            <w:tcW w:w="1960" w:type="dxa"/>
            <w:vAlign w:val="bottom"/>
          </w:tcPr>
          <w:p>
            <w:pPr>
              <w:ind w:left="1180"/>
              <w:spacing w:after="0" w:line="243" w:lineRule="exact"/>
              <w:rPr>
                <w:sz w:val="20"/>
                <w:szCs w:val="20"/>
                <w:color w:val="auto"/>
              </w:rPr>
            </w:pPr>
            <w:r>
              <w:rPr>
                <w:rFonts w:ascii="Calibri" w:cs="Calibri" w:eastAsia="Calibri" w:hAnsi="Calibri"/>
                <w:sz w:val="26"/>
                <w:szCs w:val="26"/>
                <w:color w:val="auto"/>
                <w:vertAlign w:val="subscript"/>
              </w:rPr>
              <w:t>39</w:t>
            </w:r>
            <w:r>
              <w:rPr>
                <w:rFonts w:ascii="Calibri" w:cs="Calibri" w:eastAsia="Calibri" w:hAnsi="Calibri"/>
                <w:sz w:val="11"/>
                <w:szCs w:val="11"/>
                <w:color w:val="auto"/>
              </w:rPr>
              <w:t>th</w:t>
            </w:r>
          </w:p>
        </w:tc>
        <w:tc>
          <w:tcPr>
            <w:tcW w:w="2240" w:type="dxa"/>
            <w:vAlign w:val="bottom"/>
          </w:tcPr>
          <w:p>
            <w:pPr>
              <w:jc w:val="center"/>
              <w:spacing w:after="0" w:line="243" w:lineRule="exact"/>
              <w:rPr>
                <w:sz w:val="20"/>
                <w:szCs w:val="20"/>
                <w:color w:val="auto"/>
              </w:rPr>
            </w:pPr>
            <w:r>
              <w:rPr>
                <w:rFonts w:ascii="Calibri" w:cs="Calibri" w:eastAsia="Calibri" w:hAnsi="Calibri"/>
                <w:sz w:val="26"/>
                <w:szCs w:val="26"/>
                <w:color w:val="auto"/>
                <w:vertAlign w:val="subscript"/>
              </w:rPr>
              <w:t>28</w:t>
            </w:r>
            <w:r>
              <w:rPr>
                <w:rFonts w:ascii="Calibri" w:cs="Calibri" w:eastAsia="Calibri" w:hAnsi="Calibri"/>
                <w:sz w:val="11"/>
                <w:szCs w:val="11"/>
                <w:color w:val="auto"/>
              </w:rPr>
              <w:t>th</w:t>
            </w:r>
          </w:p>
        </w:tc>
        <w:tc>
          <w:tcPr>
            <w:tcW w:w="1520" w:type="dxa"/>
            <w:vAlign w:val="bottom"/>
          </w:tcPr>
          <w:p>
            <w:pPr>
              <w:jc w:val="center"/>
              <w:spacing w:after="0" w:line="243" w:lineRule="exact"/>
              <w:rPr>
                <w:sz w:val="20"/>
                <w:szCs w:val="20"/>
                <w:color w:val="auto"/>
              </w:rPr>
            </w:pPr>
            <w:r>
              <w:rPr>
                <w:rFonts w:ascii="Calibri" w:cs="Calibri" w:eastAsia="Calibri" w:hAnsi="Calibri"/>
                <w:sz w:val="26"/>
                <w:szCs w:val="26"/>
                <w:color w:val="auto"/>
                <w:vertAlign w:val="subscript"/>
              </w:rPr>
              <w:t>30</w:t>
            </w:r>
            <w:r>
              <w:rPr>
                <w:rFonts w:ascii="Calibri" w:cs="Calibri" w:eastAsia="Calibri" w:hAnsi="Calibri"/>
                <w:sz w:val="11"/>
                <w:szCs w:val="11"/>
                <w:color w:val="auto"/>
              </w:rPr>
              <w:t>th</w:t>
            </w:r>
          </w:p>
        </w:tc>
      </w:tr>
      <w:tr>
        <w:trPr>
          <w:trHeight w:val="243"/>
        </w:trPr>
        <w:tc>
          <w:tcPr>
            <w:tcW w:w="5520" w:type="dxa"/>
            <w:vAlign w:val="bottom"/>
          </w:tcPr>
          <w:p>
            <w:pPr>
              <w:ind w:left="20"/>
              <w:spacing w:after="0" w:line="243" w:lineRule="exact"/>
              <w:rPr>
                <w:sz w:val="20"/>
                <w:szCs w:val="20"/>
                <w:color w:val="auto"/>
              </w:rPr>
            </w:pPr>
            <w:r>
              <w:rPr>
                <w:rFonts w:ascii="Calibri" w:cs="Calibri" w:eastAsia="Calibri" w:hAnsi="Calibri"/>
                <w:sz w:val="20"/>
                <w:szCs w:val="20"/>
                <w:color w:val="auto"/>
              </w:rPr>
              <w:t>Long-term incentves ("LTI")</w:t>
            </w:r>
          </w:p>
        </w:tc>
        <w:tc>
          <w:tcPr>
            <w:tcW w:w="1960" w:type="dxa"/>
            <w:vAlign w:val="bottom"/>
          </w:tcPr>
          <w:p>
            <w:pPr>
              <w:ind w:left="1180"/>
              <w:spacing w:after="0" w:line="243" w:lineRule="exact"/>
              <w:rPr>
                <w:sz w:val="20"/>
                <w:szCs w:val="20"/>
                <w:color w:val="auto"/>
              </w:rPr>
            </w:pPr>
            <w:r>
              <w:rPr>
                <w:rFonts w:ascii="Calibri" w:cs="Calibri" w:eastAsia="Calibri" w:hAnsi="Calibri"/>
                <w:sz w:val="20"/>
                <w:szCs w:val="20"/>
                <w:color w:val="auto"/>
              </w:rPr>
              <w:t>66</w:t>
            </w:r>
            <w:r>
              <w:rPr>
                <w:rFonts w:ascii="Calibri" w:cs="Calibri" w:eastAsia="Calibri" w:hAnsi="Calibri"/>
                <w:sz w:val="26"/>
                <w:szCs w:val="26"/>
                <w:color w:val="auto"/>
                <w:vertAlign w:val="superscript"/>
              </w:rPr>
              <w:t>th</w:t>
            </w:r>
          </w:p>
        </w:tc>
        <w:tc>
          <w:tcPr>
            <w:tcW w:w="2240" w:type="dxa"/>
            <w:vAlign w:val="bottom"/>
          </w:tcPr>
          <w:p>
            <w:pPr>
              <w:jc w:val="center"/>
              <w:spacing w:after="0" w:line="243" w:lineRule="exact"/>
              <w:rPr>
                <w:sz w:val="20"/>
                <w:szCs w:val="20"/>
                <w:color w:val="auto"/>
              </w:rPr>
            </w:pPr>
            <w:r>
              <w:rPr>
                <w:rFonts w:ascii="Calibri" w:cs="Calibri" w:eastAsia="Calibri" w:hAnsi="Calibri"/>
                <w:sz w:val="20"/>
                <w:szCs w:val="20"/>
                <w:color w:val="auto"/>
                <w:w w:val="90"/>
              </w:rPr>
              <w:t>75</w:t>
            </w:r>
            <w:r>
              <w:rPr>
                <w:rFonts w:ascii="Calibri" w:cs="Calibri" w:eastAsia="Calibri" w:hAnsi="Calibri"/>
                <w:sz w:val="26"/>
                <w:szCs w:val="26"/>
                <w:color w:val="auto"/>
                <w:w w:val="90"/>
                <w:vertAlign w:val="superscript"/>
              </w:rPr>
              <w:t>th</w:t>
            </w:r>
          </w:p>
        </w:tc>
        <w:tc>
          <w:tcPr>
            <w:tcW w:w="1520" w:type="dxa"/>
            <w:vAlign w:val="bottom"/>
          </w:tcPr>
          <w:p>
            <w:pPr>
              <w:jc w:val="center"/>
              <w:spacing w:after="0" w:line="243" w:lineRule="exact"/>
              <w:rPr>
                <w:sz w:val="20"/>
                <w:szCs w:val="20"/>
                <w:color w:val="auto"/>
              </w:rPr>
            </w:pPr>
            <w:r>
              <w:rPr>
                <w:rFonts w:ascii="Calibri" w:cs="Calibri" w:eastAsia="Calibri" w:hAnsi="Calibri"/>
                <w:sz w:val="20"/>
                <w:szCs w:val="20"/>
                <w:color w:val="auto"/>
                <w:w w:val="90"/>
              </w:rPr>
              <w:t>74</w:t>
            </w:r>
            <w:r>
              <w:rPr>
                <w:rFonts w:ascii="Calibri" w:cs="Calibri" w:eastAsia="Calibri" w:hAnsi="Calibri"/>
                <w:sz w:val="26"/>
                <w:szCs w:val="26"/>
                <w:color w:val="auto"/>
                <w:w w:val="90"/>
                <w:vertAlign w:val="superscript"/>
              </w:rPr>
              <w:t>th</w:t>
            </w:r>
          </w:p>
        </w:tc>
      </w:tr>
      <w:tr>
        <w:trPr>
          <w:trHeight w:val="301"/>
        </w:trPr>
        <w:tc>
          <w:tcPr>
            <w:tcW w:w="5520" w:type="dxa"/>
            <w:vAlign w:val="bottom"/>
            <w:tcBorders>
              <w:bottom w:val="single" w:sz="8" w:color="005CA9"/>
            </w:tcBorders>
          </w:tcPr>
          <w:p>
            <w:pPr>
              <w:ind w:left="20"/>
              <w:spacing w:after="0"/>
              <w:rPr>
                <w:sz w:val="20"/>
                <w:szCs w:val="20"/>
                <w:color w:val="auto"/>
              </w:rPr>
            </w:pPr>
            <w:r>
              <w:rPr>
                <w:rFonts w:ascii="Calibri" w:cs="Calibri" w:eastAsia="Calibri" w:hAnsi="Calibri"/>
                <w:sz w:val="20"/>
                <w:szCs w:val="20"/>
                <w:color w:val="auto"/>
              </w:rPr>
              <w:t>Total direct compensaton (cash compensaton + LTI)</w:t>
            </w:r>
          </w:p>
        </w:tc>
        <w:tc>
          <w:tcPr>
            <w:tcW w:w="1960" w:type="dxa"/>
            <w:vAlign w:val="bottom"/>
            <w:tcBorders>
              <w:bottom w:val="single" w:sz="8" w:color="005CA9"/>
            </w:tcBorders>
          </w:tcPr>
          <w:p>
            <w:pPr>
              <w:ind w:left="1180"/>
              <w:spacing w:after="0" w:line="301" w:lineRule="exact"/>
              <w:rPr>
                <w:sz w:val="20"/>
                <w:szCs w:val="20"/>
                <w:color w:val="auto"/>
              </w:rPr>
            </w:pPr>
            <w:r>
              <w:rPr>
                <w:rFonts w:ascii="Calibri" w:cs="Calibri" w:eastAsia="Calibri" w:hAnsi="Calibri"/>
                <w:sz w:val="20"/>
                <w:szCs w:val="20"/>
                <w:color w:val="auto"/>
              </w:rPr>
              <w:t>67</w:t>
            </w:r>
            <w:r>
              <w:rPr>
                <w:rFonts w:ascii="Calibri" w:cs="Calibri" w:eastAsia="Calibri" w:hAnsi="Calibri"/>
                <w:sz w:val="26"/>
                <w:szCs w:val="26"/>
                <w:color w:val="auto"/>
                <w:vertAlign w:val="superscript"/>
              </w:rPr>
              <w:t>th</w:t>
            </w:r>
          </w:p>
        </w:tc>
        <w:tc>
          <w:tcPr>
            <w:tcW w:w="2240" w:type="dxa"/>
            <w:vAlign w:val="bottom"/>
            <w:tcBorders>
              <w:bottom w:val="single" w:sz="8" w:color="005CA9"/>
            </w:tcBorders>
          </w:tcPr>
          <w:p>
            <w:pPr>
              <w:jc w:val="center"/>
              <w:spacing w:after="0" w:line="301" w:lineRule="exact"/>
              <w:rPr>
                <w:sz w:val="20"/>
                <w:szCs w:val="20"/>
                <w:color w:val="auto"/>
              </w:rPr>
            </w:pPr>
            <w:r>
              <w:rPr>
                <w:rFonts w:ascii="Calibri" w:cs="Calibri" w:eastAsia="Calibri" w:hAnsi="Calibri"/>
                <w:sz w:val="20"/>
                <w:szCs w:val="20"/>
                <w:color w:val="auto"/>
                <w:w w:val="90"/>
              </w:rPr>
              <w:t>68</w:t>
            </w:r>
            <w:r>
              <w:rPr>
                <w:rFonts w:ascii="Calibri" w:cs="Calibri" w:eastAsia="Calibri" w:hAnsi="Calibri"/>
                <w:sz w:val="26"/>
                <w:szCs w:val="26"/>
                <w:color w:val="auto"/>
                <w:w w:val="90"/>
                <w:vertAlign w:val="superscript"/>
              </w:rPr>
              <w:t>th</w:t>
            </w:r>
          </w:p>
        </w:tc>
        <w:tc>
          <w:tcPr>
            <w:tcW w:w="1520" w:type="dxa"/>
            <w:vAlign w:val="bottom"/>
            <w:tcBorders>
              <w:bottom w:val="single" w:sz="8" w:color="005CA9"/>
            </w:tcBorders>
          </w:tcPr>
          <w:p>
            <w:pPr>
              <w:jc w:val="center"/>
              <w:spacing w:after="0" w:line="301" w:lineRule="exact"/>
              <w:rPr>
                <w:sz w:val="20"/>
                <w:szCs w:val="20"/>
                <w:color w:val="auto"/>
              </w:rPr>
            </w:pPr>
            <w:r>
              <w:rPr>
                <w:rFonts w:ascii="Calibri" w:cs="Calibri" w:eastAsia="Calibri" w:hAnsi="Calibri"/>
                <w:sz w:val="20"/>
                <w:szCs w:val="20"/>
                <w:color w:val="auto"/>
                <w:w w:val="90"/>
              </w:rPr>
              <w:t>68</w:t>
            </w:r>
            <w:r>
              <w:rPr>
                <w:rFonts w:ascii="Calibri" w:cs="Calibri" w:eastAsia="Calibri" w:hAnsi="Calibri"/>
                <w:sz w:val="26"/>
                <w:szCs w:val="26"/>
                <w:color w:val="auto"/>
                <w:w w:val="90"/>
                <w:vertAlign w:val="superscript"/>
              </w:rPr>
              <w:t>th</w:t>
            </w:r>
          </w:p>
        </w:tc>
      </w:tr>
      <w:tr>
        <w:trPr>
          <w:trHeight w:val="102"/>
        </w:trPr>
        <w:tc>
          <w:tcPr>
            <w:tcW w:w="5520" w:type="dxa"/>
            <w:vAlign w:val="bottom"/>
            <w:tcBorders>
              <w:bottom w:val="single" w:sz="8" w:color="0070C0"/>
            </w:tcBorders>
          </w:tcPr>
          <w:p>
            <w:pPr>
              <w:spacing w:after="0"/>
              <w:rPr>
                <w:sz w:val="8"/>
                <w:szCs w:val="8"/>
                <w:color w:val="auto"/>
              </w:rPr>
            </w:pPr>
          </w:p>
        </w:tc>
        <w:tc>
          <w:tcPr>
            <w:tcW w:w="1960" w:type="dxa"/>
            <w:vAlign w:val="bottom"/>
            <w:tcBorders>
              <w:bottom w:val="single" w:sz="8" w:color="0070C0"/>
            </w:tcBorders>
          </w:tcPr>
          <w:p>
            <w:pPr>
              <w:spacing w:after="0"/>
              <w:rPr>
                <w:sz w:val="8"/>
                <w:szCs w:val="8"/>
                <w:color w:val="auto"/>
              </w:rPr>
            </w:pPr>
          </w:p>
        </w:tc>
        <w:tc>
          <w:tcPr>
            <w:tcW w:w="2240" w:type="dxa"/>
            <w:vAlign w:val="bottom"/>
            <w:tcBorders>
              <w:bottom w:val="single" w:sz="8" w:color="0070C0"/>
            </w:tcBorders>
          </w:tcPr>
          <w:p>
            <w:pPr>
              <w:spacing w:after="0"/>
              <w:rPr>
                <w:sz w:val="8"/>
                <w:szCs w:val="8"/>
                <w:color w:val="auto"/>
              </w:rPr>
            </w:pPr>
          </w:p>
        </w:tc>
        <w:tc>
          <w:tcPr>
            <w:tcW w:w="1520" w:type="dxa"/>
            <w:vAlign w:val="bottom"/>
            <w:tcBorders>
              <w:bottom w:val="single" w:sz="8" w:color="0070C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4883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29" w:lineRule="auto"/>
        <w:rPr>
          <w:sz w:val="20"/>
          <w:szCs w:val="20"/>
          <w:color w:val="auto"/>
        </w:rPr>
      </w:pPr>
      <w:r>
        <w:rPr>
          <w:rFonts w:ascii="Calibri" w:cs="Calibri" w:eastAsia="Calibri" w:hAnsi="Calibri"/>
          <w:sz w:val="25"/>
          <w:szCs w:val="25"/>
          <w:b w:val="1"/>
          <w:bCs w:val="1"/>
          <w:color w:val="005CA9"/>
        </w:rPr>
        <w:t>PRINCIPAL COMPONENTS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2024 Pay Mix</w:t>
      </w:r>
    </w:p>
    <w:p>
      <w:pPr>
        <w:spacing w:after="0" w:line="11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Compensaton Commitee set 2024 base salary and target bonus and LTI award levels to generally align the NEO’s total direct compensaton with the semiconductor market. The charts below illustrate the relatve compositon of 2024 total direct compensaton for our CEO and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89535</wp:posOffset>
            </wp:positionV>
            <wp:extent cx="6137910" cy="18942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3791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Base Salaries</w:t>
      </w:r>
    </w:p>
    <w:p>
      <w:pPr>
        <w:spacing w:after="0" w:line="111"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We provide each of our NEOs with a compettve fxed annual base salary. The base salaries for our NEOs are reviewed annually by the Compensaton Commitee by taking into account each executve ofcer's scope of responsibility, level of experience, individual performance, and past and potental contributon to the Company's business, as well as the Company’s performance and the current year’s change in the cost of living. The Compensaton Commitee does not assign any partcular formula or weight to the foregoing factors.</w:t>
      </w:r>
    </w:p>
    <w:p>
      <w:pPr>
        <w:spacing w:after="0" w:line="34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Consistent with our compensaton philosophy, base salaries represent a fxed porton of total compensaton and may generally be at or lower than the median base salaries being ofered to individuals with comparable roles in semiconductor companies with which we compete for talent.</w:t>
      </w:r>
    </w:p>
    <w:p>
      <w:pPr>
        <w:spacing w:after="0" w:line="34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35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8" w:name="page39"/>
    <w:bookmarkEnd w:id="38"/>
    <w:p>
      <w:pPr>
        <w:jc w:val="both"/>
        <w:ind w:right="20"/>
        <w:spacing w:after="0" w:line="234" w:lineRule="auto"/>
        <w:rPr>
          <w:sz w:val="20"/>
          <w:szCs w:val="20"/>
          <w:color w:val="auto"/>
        </w:rPr>
      </w:pPr>
      <w:r>
        <w:rPr>
          <w:rFonts w:ascii="Calibri" w:cs="Calibri" w:eastAsia="Calibri" w:hAnsi="Calibri"/>
          <w:sz w:val="20"/>
          <w:szCs w:val="20"/>
          <w:color w:val="auto"/>
        </w:rPr>
        <w:t>The following table shows each NEO’s annualized base salary for 2022 to 2024 and the percentage change in each NEOs’ annualized base salary from the prior year: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80" w:type="dxa"/>
            <w:vAlign w:val="bottom"/>
            <w:gridSpan w:val="3"/>
          </w:tcPr>
          <w:p>
            <w:pPr>
              <w:jc w:val="right"/>
              <w:ind w:right="201"/>
              <w:spacing w:after="0"/>
              <w:rPr>
                <w:sz w:val="20"/>
                <w:szCs w:val="20"/>
                <w:color w:val="auto"/>
              </w:rPr>
            </w:pPr>
            <w:r>
              <w:rPr>
                <w:rFonts w:ascii="Calibri" w:cs="Calibri" w:eastAsia="Calibri" w:hAnsi="Calibri"/>
                <w:sz w:val="20"/>
                <w:szCs w:val="20"/>
                <w:b w:val="1"/>
                <w:bCs w:val="1"/>
                <w:color w:val="auto"/>
              </w:rPr>
              <w:t>Annualized Base Salary</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5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2022</w:t>
            </w:r>
          </w:p>
        </w:tc>
        <w:tc>
          <w:tcPr>
            <w:tcW w:w="1120" w:type="dxa"/>
            <w:vAlign w:val="bottom"/>
          </w:tcPr>
          <w:p>
            <w:pPr>
              <w:spacing w:after="0"/>
              <w:rPr>
                <w:sz w:val="21"/>
                <w:szCs w:val="21"/>
                <w:color w:val="auto"/>
              </w:rPr>
            </w:pPr>
          </w:p>
        </w:tc>
        <w:tc>
          <w:tcPr>
            <w:tcW w:w="1960" w:type="dxa"/>
            <w:vAlign w:val="bottom"/>
            <w:gridSpan w:val="2"/>
          </w:tcPr>
          <w:p>
            <w:pPr>
              <w:jc w:val="right"/>
              <w:ind w:right="1"/>
              <w:spacing w:after="0" w:line="243" w:lineRule="exact"/>
              <w:rPr>
                <w:sz w:val="20"/>
                <w:szCs w:val="20"/>
                <w:color w:val="auto"/>
              </w:rPr>
            </w:pPr>
            <w:r>
              <w:rPr>
                <w:rFonts w:ascii="Calibri" w:cs="Calibri" w:eastAsia="Calibri" w:hAnsi="Calibri"/>
                <w:sz w:val="20"/>
                <w:szCs w:val="20"/>
                <w:b w:val="1"/>
                <w:bCs w:val="1"/>
                <w:color w:val="auto"/>
              </w:rPr>
              <w:t>2023</w:t>
            </w:r>
          </w:p>
        </w:tc>
        <w:tc>
          <w:tcPr>
            <w:tcW w:w="1200" w:type="dxa"/>
            <w:vAlign w:val="bottom"/>
          </w:tcPr>
          <w:p>
            <w:pPr>
              <w:spacing w:after="0"/>
              <w:rPr>
                <w:sz w:val="21"/>
                <w:szCs w:val="21"/>
                <w:color w:val="auto"/>
              </w:rPr>
            </w:pPr>
          </w:p>
        </w:tc>
        <w:tc>
          <w:tcPr>
            <w:tcW w:w="1940" w:type="dxa"/>
            <w:vAlign w:val="bottom"/>
            <w:gridSpan w:val="2"/>
          </w:tcPr>
          <w:p>
            <w:pPr>
              <w:jc w:val="right"/>
              <w:ind w:right="1"/>
              <w:spacing w:after="0" w:line="243" w:lineRule="exact"/>
              <w:rPr>
                <w:sz w:val="20"/>
                <w:szCs w:val="20"/>
                <w:color w:val="auto"/>
              </w:rPr>
            </w:pPr>
            <w:r>
              <w:rPr>
                <w:rFonts w:ascii="Calibri" w:cs="Calibri" w:eastAsia="Calibri" w:hAnsi="Calibri"/>
                <w:sz w:val="20"/>
                <w:szCs w:val="20"/>
                <w:b w:val="1"/>
                <w:bCs w:val="1"/>
                <w:color w:val="auto"/>
              </w:rPr>
              <w:t>2024</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540" w:type="dxa"/>
            <w:vAlign w:val="bottom"/>
            <w:tcBorders>
              <w:bottom w:val="single" w:sz="8" w:color="005CA9"/>
            </w:tcBorders>
          </w:tcPr>
          <w:p>
            <w:pPr>
              <w:spacing w:after="0"/>
              <w:rPr>
                <w:sz w:val="2"/>
                <w:szCs w:val="2"/>
                <w:color w:val="auto"/>
              </w:rPr>
            </w:pPr>
          </w:p>
        </w:tc>
        <w:tc>
          <w:tcPr>
            <w:tcW w:w="1120" w:type="dxa"/>
            <w:vAlign w:val="bottom"/>
            <w:tcBorders>
              <w:bottom w:val="single" w:sz="8" w:color="005CA9"/>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820" w:type="dxa"/>
            <w:vAlign w:val="bottom"/>
            <w:tcBorders>
              <w:bottom w:val="single" w:sz="8" w:color="005CA9"/>
            </w:tcBorders>
          </w:tcPr>
          <w:p>
            <w:pPr>
              <w:spacing w:after="0"/>
              <w:rPr>
                <w:sz w:val="2"/>
                <w:szCs w:val="2"/>
                <w:color w:val="auto"/>
              </w:rPr>
            </w:pPr>
          </w:p>
        </w:tc>
        <w:tc>
          <w:tcPr>
            <w:tcW w:w="1200" w:type="dxa"/>
            <w:vAlign w:val="bottom"/>
            <w:tcBorders>
              <w:bottom w:val="single" w:sz="8" w:color="005CA9"/>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820" w:type="dxa"/>
            <w:vAlign w:val="bottom"/>
            <w:tcBorders>
              <w:bottom w:val="single" w:sz="8" w:color="005CA9"/>
            </w:tcBorders>
          </w:tcPr>
          <w:p>
            <w:pPr>
              <w:spacing w:after="0"/>
              <w:rPr>
                <w:sz w:val="2"/>
                <w:szCs w:val="2"/>
                <w:color w:val="auto"/>
              </w:rPr>
            </w:pPr>
          </w:p>
        </w:tc>
        <w:tc>
          <w:tcPr>
            <w:tcW w:w="1200" w:type="dxa"/>
            <w:vAlign w:val="bottom"/>
            <w:tcBorders>
              <w:bottom w:val="single" w:sz="8" w:color="005CA9"/>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1540" w:type="dxa"/>
            <w:vAlign w:val="bottom"/>
          </w:tcPr>
          <w:p>
            <w:pPr>
              <w:jc w:val="right"/>
              <w:ind w:right="421"/>
              <w:spacing w:after="0" w:line="212" w:lineRule="exact"/>
              <w:rPr>
                <w:sz w:val="20"/>
                <w:szCs w:val="20"/>
                <w:color w:val="auto"/>
              </w:rPr>
            </w:pPr>
            <w:r>
              <w:rPr>
                <w:rFonts w:ascii="Calibri" w:cs="Calibri" w:eastAsia="Calibri" w:hAnsi="Calibri"/>
                <w:sz w:val="20"/>
                <w:szCs w:val="20"/>
                <w:b w:val="1"/>
                <w:bCs w:val="1"/>
                <w:color w:val="auto"/>
              </w:rPr>
              <w:t>Base Salary</w:t>
            </w:r>
          </w:p>
        </w:tc>
        <w:tc>
          <w:tcPr>
            <w:tcW w:w="1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820" w:type="dxa"/>
            <w:vAlign w:val="bottom"/>
          </w:tcPr>
          <w:p>
            <w:pPr>
              <w:jc w:val="right"/>
              <w:ind w:right="501"/>
              <w:spacing w:after="0" w:line="212" w:lineRule="exact"/>
              <w:rPr>
                <w:sz w:val="20"/>
                <w:szCs w:val="20"/>
                <w:color w:val="auto"/>
              </w:rPr>
            </w:pPr>
            <w:r>
              <w:rPr>
                <w:rFonts w:ascii="Calibri" w:cs="Calibri" w:eastAsia="Calibri" w:hAnsi="Calibri"/>
                <w:sz w:val="20"/>
                <w:szCs w:val="20"/>
                <w:b w:val="1"/>
                <w:bCs w:val="1"/>
                <w:color w:val="auto"/>
              </w:rPr>
              <w:t>Base Salary</w:t>
            </w:r>
          </w:p>
        </w:tc>
        <w:tc>
          <w:tcPr>
            <w:tcW w:w="1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820" w:type="dxa"/>
            <w:vAlign w:val="bottom"/>
          </w:tcPr>
          <w:p>
            <w:pPr>
              <w:jc w:val="right"/>
              <w:ind w:right="501"/>
              <w:spacing w:after="0" w:line="212" w:lineRule="exact"/>
              <w:rPr>
                <w:sz w:val="20"/>
                <w:szCs w:val="20"/>
                <w:color w:val="auto"/>
              </w:rPr>
            </w:pPr>
            <w:r>
              <w:rPr>
                <w:rFonts w:ascii="Calibri" w:cs="Calibri" w:eastAsia="Calibri" w:hAnsi="Calibri"/>
                <w:sz w:val="20"/>
                <w:szCs w:val="20"/>
                <w:b w:val="1"/>
                <w:bCs w:val="1"/>
                <w:color w:val="auto"/>
              </w:rPr>
              <w:t>Base Salary</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Name</w:t>
            </w:r>
          </w:p>
        </w:tc>
        <w:tc>
          <w:tcPr>
            <w:tcW w:w="1540" w:type="dxa"/>
            <w:vAlign w:val="bottom"/>
          </w:tcPr>
          <w:p>
            <w:pPr>
              <w:jc w:val="right"/>
              <w:ind w:right="781"/>
              <w:spacing w:after="0" w:line="234" w:lineRule="exact"/>
              <w:rPr>
                <w:sz w:val="20"/>
                <w:szCs w:val="20"/>
                <w:color w:val="auto"/>
              </w:rPr>
            </w:pPr>
            <w:r>
              <w:rPr>
                <w:rFonts w:ascii="Calibri" w:cs="Calibri" w:eastAsia="Calibri" w:hAnsi="Calibri"/>
                <w:sz w:val="20"/>
                <w:szCs w:val="20"/>
                <w:b w:val="1"/>
                <w:bCs w:val="1"/>
                <w:color w:val="auto"/>
              </w:rPr>
              <w:t>($)</w:t>
            </w:r>
          </w:p>
        </w:tc>
        <w:tc>
          <w:tcPr>
            <w:tcW w:w="1120" w:type="dxa"/>
            <w:vAlign w:val="bottom"/>
          </w:tcPr>
          <w:p>
            <w:pPr>
              <w:spacing w:after="0" w:line="234" w:lineRule="exact"/>
              <w:rPr>
                <w:sz w:val="20"/>
                <w:szCs w:val="20"/>
                <w:color w:val="auto"/>
              </w:rPr>
            </w:pPr>
            <w:r>
              <w:rPr>
                <w:rFonts w:ascii="Calibri" w:cs="Calibri" w:eastAsia="Calibri" w:hAnsi="Calibri"/>
                <w:sz w:val="20"/>
                <w:szCs w:val="20"/>
                <w:b w:val="1"/>
                <w:bCs w:val="1"/>
                <w:color w:val="auto"/>
              </w:rPr>
              <w:t>(%) Change</w:t>
            </w:r>
          </w:p>
        </w:tc>
        <w:tc>
          <w:tcPr>
            <w:tcW w:w="1960" w:type="dxa"/>
            <w:vAlign w:val="bottom"/>
            <w:gridSpan w:val="2"/>
          </w:tcPr>
          <w:p>
            <w:pPr>
              <w:jc w:val="right"/>
              <w:ind w:right="861"/>
              <w:spacing w:after="0" w:line="234" w:lineRule="exact"/>
              <w:rPr>
                <w:sz w:val="20"/>
                <w:szCs w:val="20"/>
                <w:color w:val="auto"/>
              </w:rPr>
            </w:pPr>
            <w:r>
              <w:rPr>
                <w:rFonts w:ascii="Calibri" w:cs="Calibri" w:eastAsia="Calibri" w:hAnsi="Calibri"/>
                <w:sz w:val="20"/>
                <w:szCs w:val="20"/>
                <w:b w:val="1"/>
                <w:bCs w:val="1"/>
                <w:color w:val="auto"/>
              </w:rPr>
              <w:t>($)</w:t>
            </w:r>
          </w:p>
        </w:tc>
        <w:tc>
          <w:tcPr>
            <w:tcW w:w="1200" w:type="dxa"/>
            <w:vAlign w:val="bottom"/>
          </w:tcPr>
          <w:p>
            <w:pPr>
              <w:ind w:left="80"/>
              <w:spacing w:after="0" w:line="234" w:lineRule="exact"/>
              <w:rPr>
                <w:sz w:val="20"/>
                <w:szCs w:val="20"/>
                <w:color w:val="auto"/>
              </w:rPr>
            </w:pPr>
            <w:r>
              <w:rPr>
                <w:rFonts w:ascii="Calibri" w:cs="Calibri" w:eastAsia="Calibri" w:hAnsi="Calibri"/>
                <w:sz w:val="20"/>
                <w:szCs w:val="20"/>
                <w:b w:val="1"/>
                <w:bCs w:val="1"/>
                <w:color w:val="auto"/>
              </w:rPr>
              <w:t>(%) Change</w:t>
            </w:r>
          </w:p>
        </w:tc>
        <w:tc>
          <w:tcPr>
            <w:tcW w:w="1940" w:type="dxa"/>
            <w:vAlign w:val="bottom"/>
            <w:gridSpan w:val="2"/>
          </w:tcPr>
          <w:p>
            <w:pPr>
              <w:jc w:val="right"/>
              <w:ind w:right="861"/>
              <w:spacing w:after="0" w:line="234" w:lineRule="exact"/>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 Change</w:t>
            </w: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2280" w:type="dxa"/>
            <w:vAlign w:val="bottom"/>
            <w:shd w:val="clear" w:color="auto" w:fill="005CA9"/>
          </w:tcPr>
          <w:p>
            <w:pPr>
              <w:spacing w:after="0"/>
              <w:rPr>
                <w:sz w:val="5"/>
                <w:szCs w:val="5"/>
                <w:color w:val="auto"/>
              </w:rPr>
            </w:pPr>
          </w:p>
        </w:tc>
        <w:tc>
          <w:tcPr>
            <w:tcW w:w="1540" w:type="dxa"/>
            <w:vAlign w:val="bottom"/>
            <w:shd w:val="clear" w:color="auto" w:fill="005CA9"/>
          </w:tcPr>
          <w:p>
            <w:pPr>
              <w:spacing w:after="0"/>
              <w:rPr>
                <w:sz w:val="5"/>
                <w:szCs w:val="5"/>
                <w:color w:val="auto"/>
              </w:rPr>
            </w:pPr>
          </w:p>
        </w:tc>
        <w:tc>
          <w:tcPr>
            <w:tcW w:w="1120" w:type="dxa"/>
            <w:vAlign w:val="bottom"/>
            <w:shd w:val="clear" w:color="auto" w:fill="005CA9"/>
          </w:tcPr>
          <w:p>
            <w:pPr>
              <w:spacing w:after="0"/>
              <w:rPr>
                <w:sz w:val="5"/>
                <w:szCs w:val="5"/>
                <w:color w:val="auto"/>
              </w:rPr>
            </w:pPr>
          </w:p>
        </w:tc>
        <w:tc>
          <w:tcPr>
            <w:tcW w:w="140" w:type="dxa"/>
            <w:vAlign w:val="bottom"/>
            <w:shd w:val="clear" w:color="auto" w:fill="005CA9"/>
          </w:tcPr>
          <w:p>
            <w:pPr>
              <w:spacing w:after="0"/>
              <w:rPr>
                <w:sz w:val="5"/>
                <w:szCs w:val="5"/>
                <w:color w:val="auto"/>
              </w:rPr>
            </w:pPr>
          </w:p>
        </w:tc>
        <w:tc>
          <w:tcPr>
            <w:tcW w:w="1820" w:type="dxa"/>
            <w:vAlign w:val="bottom"/>
            <w:shd w:val="clear" w:color="auto" w:fill="005CA9"/>
          </w:tcPr>
          <w:p>
            <w:pPr>
              <w:spacing w:after="0"/>
              <w:rPr>
                <w:sz w:val="5"/>
                <w:szCs w:val="5"/>
                <w:color w:val="auto"/>
              </w:rPr>
            </w:pPr>
          </w:p>
        </w:tc>
        <w:tc>
          <w:tcPr>
            <w:tcW w:w="1200" w:type="dxa"/>
            <w:vAlign w:val="bottom"/>
            <w:shd w:val="clear" w:color="auto" w:fill="005CA9"/>
          </w:tcPr>
          <w:p>
            <w:pPr>
              <w:spacing w:after="0"/>
              <w:rPr>
                <w:sz w:val="5"/>
                <w:szCs w:val="5"/>
                <w:color w:val="auto"/>
              </w:rPr>
            </w:pPr>
          </w:p>
        </w:tc>
        <w:tc>
          <w:tcPr>
            <w:tcW w:w="120" w:type="dxa"/>
            <w:vAlign w:val="bottom"/>
            <w:shd w:val="clear" w:color="auto" w:fill="005CA9"/>
          </w:tcPr>
          <w:p>
            <w:pPr>
              <w:spacing w:after="0"/>
              <w:rPr>
                <w:sz w:val="5"/>
                <w:szCs w:val="5"/>
                <w:color w:val="auto"/>
              </w:rPr>
            </w:pPr>
          </w:p>
        </w:tc>
        <w:tc>
          <w:tcPr>
            <w:tcW w:w="1820" w:type="dxa"/>
            <w:vAlign w:val="bottom"/>
            <w:shd w:val="clear" w:color="auto" w:fill="005CA9"/>
          </w:tcPr>
          <w:p>
            <w:pPr>
              <w:spacing w:after="0"/>
              <w:rPr>
                <w:sz w:val="5"/>
                <w:szCs w:val="5"/>
                <w:color w:val="auto"/>
              </w:rPr>
            </w:pPr>
          </w:p>
        </w:tc>
        <w:tc>
          <w:tcPr>
            <w:tcW w:w="1200" w:type="dxa"/>
            <w:vAlign w:val="bottom"/>
            <w:shd w:val="clear" w:color="auto" w:fill="005CA9"/>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Dr. Keh-Shew Lu</w:t>
            </w:r>
          </w:p>
        </w:tc>
        <w:tc>
          <w:tcPr>
            <w:tcW w:w="1540" w:type="dxa"/>
            <w:vAlign w:val="bottom"/>
            <w:shd w:val="clear" w:color="auto" w:fill="CFF0FC"/>
          </w:tcPr>
          <w:p>
            <w:pPr>
              <w:jc w:val="right"/>
              <w:ind w:right="381"/>
              <w:spacing w:after="0" w:line="234" w:lineRule="exact"/>
              <w:rPr>
                <w:sz w:val="20"/>
                <w:szCs w:val="20"/>
                <w:color w:val="auto"/>
              </w:rPr>
            </w:pPr>
            <w:r>
              <w:rPr>
                <w:rFonts w:ascii="Calibri" w:cs="Calibri" w:eastAsia="Calibri" w:hAnsi="Calibri"/>
                <w:sz w:val="20"/>
                <w:szCs w:val="20"/>
                <w:color w:val="auto"/>
              </w:rPr>
              <w:t>760,000</w:t>
            </w:r>
          </w:p>
        </w:tc>
        <w:tc>
          <w:tcPr>
            <w:tcW w:w="1120" w:type="dxa"/>
            <w:vAlign w:val="bottom"/>
            <w:shd w:val="clear" w:color="auto" w:fill="CFF0FC"/>
          </w:tcPr>
          <w:p>
            <w:pPr>
              <w:jc w:val="center"/>
              <w:ind w:right="81"/>
              <w:spacing w:after="0"/>
              <w:rPr>
                <w:sz w:val="20"/>
                <w:szCs w:val="20"/>
                <w:color w:val="auto"/>
              </w:rPr>
            </w:pPr>
            <w:r>
              <w:rPr>
                <w:rFonts w:ascii="Times New Roman" w:cs="Times New Roman" w:eastAsia="Times New Roman" w:hAnsi="Times New Roman"/>
                <w:sz w:val="20"/>
                <w:szCs w:val="20"/>
                <w:color w:val="auto"/>
                <w:w w:val="97"/>
              </w:rPr>
              <w:t>4%</w:t>
            </w:r>
          </w:p>
        </w:tc>
        <w:tc>
          <w:tcPr>
            <w:tcW w:w="1960" w:type="dxa"/>
            <w:vAlign w:val="bottom"/>
            <w:gridSpan w:val="2"/>
            <w:shd w:val="clear" w:color="auto" w:fill="CFF0FC"/>
          </w:tcPr>
          <w:p>
            <w:pPr>
              <w:jc w:val="right"/>
              <w:ind w:right="261"/>
              <w:spacing w:after="0" w:line="234" w:lineRule="exact"/>
              <w:rPr>
                <w:sz w:val="20"/>
                <w:szCs w:val="20"/>
                <w:color w:val="auto"/>
              </w:rPr>
            </w:pPr>
            <w:r>
              <w:rPr>
                <w:rFonts w:ascii="Calibri" w:cs="Calibri" w:eastAsia="Calibri" w:hAnsi="Calibri"/>
                <w:sz w:val="20"/>
                <w:szCs w:val="20"/>
                <w:color w:val="auto"/>
              </w:rPr>
              <w:t>810,000</w:t>
            </w:r>
          </w:p>
        </w:tc>
        <w:tc>
          <w:tcPr>
            <w:tcW w:w="12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7"/>
              </w:rPr>
              <w:t>7%</w:t>
            </w:r>
          </w:p>
        </w:tc>
        <w:tc>
          <w:tcPr>
            <w:tcW w:w="1940" w:type="dxa"/>
            <w:vAlign w:val="bottom"/>
            <w:gridSpan w:val="2"/>
            <w:shd w:val="clear" w:color="auto" w:fill="CFF0FC"/>
          </w:tcPr>
          <w:p>
            <w:pPr>
              <w:jc w:val="right"/>
              <w:ind w:right="261"/>
              <w:spacing w:after="0" w:line="234" w:lineRule="exact"/>
              <w:rPr>
                <w:sz w:val="20"/>
                <w:szCs w:val="20"/>
                <w:color w:val="auto"/>
              </w:rPr>
            </w:pPr>
            <w:r>
              <w:rPr>
                <w:rFonts w:ascii="Calibri" w:cs="Calibri" w:eastAsia="Calibri" w:hAnsi="Calibri"/>
                <w:sz w:val="20"/>
                <w:szCs w:val="20"/>
                <w:color w:val="auto"/>
              </w:rPr>
              <w:t>740,000</w:t>
            </w:r>
          </w:p>
        </w:tc>
        <w:tc>
          <w:tcPr>
            <w:tcW w:w="12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-9%</w:t>
            </w:r>
          </w:p>
        </w:tc>
        <w:tc>
          <w:tcPr>
            <w:tcW w:w="0" w:type="dxa"/>
            <w:vAlign w:val="bottom"/>
          </w:tcPr>
          <w:p>
            <w:pPr>
              <w:spacing w:after="0"/>
              <w:rPr>
                <w:sz w:val="1"/>
                <w:szCs w:val="1"/>
                <w:color w:val="auto"/>
              </w:rPr>
            </w:pPr>
          </w:p>
        </w:tc>
      </w:tr>
      <w:tr>
        <w:trPr>
          <w:trHeight w:val="185"/>
        </w:trPr>
        <w:tc>
          <w:tcPr>
            <w:tcW w:w="2280" w:type="dxa"/>
            <w:vAlign w:val="bottom"/>
          </w:tcPr>
          <w:p>
            <w:pPr>
              <w:ind w:left="20"/>
              <w:spacing w:after="0" w:line="185" w:lineRule="exact"/>
              <w:rPr>
                <w:sz w:val="20"/>
                <w:szCs w:val="20"/>
                <w:color w:val="auto"/>
              </w:rPr>
            </w:pPr>
            <w:r>
              <w:rPr>
                <w:rFonts w:ascii="Calibri" w:cs="Calibri" w:eastAsia="Calibri" w:hAnsi="Calibri"/>
                <w:sz w:val="20"/>
                <w:szCs w:val="20"/>
                <w:color w:val="auto"/>
              </w:rPr>
              <w:t>Bret R. Whitmire</w:t>
            </w:r>
          </w:p>
        </w:tc>
        <w:tc>
          <w:tcPr>
            <w:tcW w:w="1540" w:type="dxa"/>
            <w:vAlign w:val="bottom"/>
          </w:tcPr>
          <w:p>
            <w:pPr>
              <w:jc w:val="right"/>
              <w:ind w:right="381"/>
              <w:spacing w:after="0" w:line="185" w:lineRule="exact"/>
              <w:rPr>
                <w:sz w:val="20"/>
                <w:szCs w:val="20"/>
                <w:color w:val="auto"/>
              </w:rPr>
            </w:pPr>
            <w:r>
              <w:rPr>
                <w:rFonts w:ascii="Calibri" w:cs="Calibri" w:eastAsia="Calibri" w:hAnsi="Calibri"/>
                <w:sz w:val="20"/>
                <w:szCs w:val="20"/>
                <w:color w:val="auto"/>
              </w:rPr>
              <w:t>310,000</w:t>
            </w:r>
          </w:p>
        </w:tc>
        <w:tc>
          <w:tcPr>
            <w:tcW w:w="1120" w:type="dxa"/>
            <w:vAlign w:val="bottom"/>
          </w:tcPr>
          <w:p>
            <w:pPr>
              <w:jc w:val="center"/>
              <w:ind w:right="61"/>
              <w:spacing w:after="0" w:line="185" w:lineRule="exact"/>
              <w:rPr>
                <w:sz w:val="20"/>
                <w:szCs w:val="20"/>
                <w:color w:val="auto"/>
              </w:rPr>
            </w:pPr>
            <w:r>
              <w:rPr>
                <w:rFonts w:ascii="Calibri" w:cs="Calibri" w:eastAsia="Calibri" w:hAnsi="Calibri"/>
                <w:sz w:val="20"/>
                <w:szCs w:val="20"/>
                <w:color w:val="auto"/>
                <w:w w:val="97"/>
              </w:rPr>
              <w:t>5%</w:t>
            </w:r>
          </w:p>
        </w:tc>
        <w:tc>
          <w:tcPr>
            <w:tcW w:w="1960" w:type="dxa"/>
            <w:vAlign w:val="bottom"/>
            <w:gridSpan w:val="2"/>
          </w:tcPr>
          <w:p>
            <w:pPr>
              <w:jc w:val="right"/>
              <w:ind w:right="261"/>
              <w:spacing w:after="0" w:line="185" w:lineRule="exact"/>
              <w:rPr>
                <w:sz w:val="20"/>
                <w:szCs w:val="20"/>
                <w:color w:val="auto"/>
              </w:rPr>
            </w:pPr>
            <w:r>
              <w:rPr>
                <w:rFonts w:ascii="Calibri" w:cs="Calibri" w:eastAsia="Calibri" w:hAnsi="Calibri"/>
                <w:sz w:val="20"/>
                <w:szCs w:val="20"/>
                <w:color w:val="auto"/>
              </w:rPr>
              <w:t>330,000</w:t>
            </w:r>
          </w:p>
        </w:tc>
        <w:tc>
          <w:tcPr>
            <w:tcW w:w="1200" w:type="dxa"/>
            <w:vAlign w:val="bottom"/>
          </w:tcPr>
          <w:p>
            <w:pPr>
              <w:jc w:val="center"/>
              <w:spacing w:after="0" w:line="185" w:lineRule="exact"/>
              <w:rPr>
                <w:sz w:val="20"/>
                <w:szCs w:val="20"/>
                <w:color w:val="auto"/>
              </w:rPr>
            </w:pPr>
            <w:r>
              <w:rPr>
                <w:rFonts w:ascii="Calibri" w:cs="Calibri" w:eastAsia="Calibri" w:hAnsi="Calibri"/>
                <w:sz w:val="20"/>
                <w:szCs w:val="20"/>
                <w:color w:val="auto"/>
                <w:w w:val="97"/>
              </w:rPr>
              <w:t>6%</w:t>
            </w:r>
          </w:p>
        </w:tc>
        <w:tc>
          <w:tcPr>
            <w:tcW w:w="1940" w:type="dxa"/>
            <w:vAlign w:val="bottom"/>
            <w:gridSpan w:val="2"/>
          </w:tcPr>
          <w:p>
            <w:pPr>
              <w:jc w:val="right"/>
              <w:ind w:right="261"/>
              <w:spacing w:after="0" w:line="185" w:lineRule="exact"/>
              <w:rPr>
                <w:sz w:val="20"/>
                <w:szCs w:val="20"/>
                <w:color w:val="auto"/>
              </w:rPr>
            </w:pPr>
            <w:r>
              <w:rPr>
                <w:rFonts w:ascii="Calibri" w:cs="Calibri" w:eastAsia="Calibri" w:hAnsi="Calibri"/>
                <w:sz w:val="20"/>
                <w:szCs w:val="20"/>
                <w:color w:val="auto"/>
              </w:rPr>
              <w:t>330,000</w:t>
            </w:r>
          </w:p>
        </w:tc>
        <w:tc>
          <w:tcPr>
            <w:tcW w:w="1200" w:type="dxa"/>
            <w:vAlign w:val="bottom"/>
          </w:tcPr>
          <w:p>
            <w:pPr>
              <w:jc w:val="center"/>
              <w:spacing w:after="0" w:line="185" w:lineRule="exact"/>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76"/>
        </w:trPr>
        <w:tc>
          <w:tcPr>
            <w:tcW w:w="2280" w:type="dxa"/>
            <w:vAlign w:val="bottom"/>
          </w:tcPr>
          <w:p>
            <w:pPr>
              <w:ind w:left="20"/>
              <w:spacing w:after="0" w:line="277" w:lineRule="exact"/>
              <w:rPr>
                <w:sz w:val="20"/>
                <w:szCs w:val="20"/>
                <w:color w:val="auto"/>
              </w:rPr>
            </w:pPr>
            <w:r>
              <w:rPr>
                <w:rFonts w:ascii="Calibri" w:cs="Calibri" w:eastAsia="Calibri" w:hAnsi="Calibri"/>
                <w:sz w:val="20"/>
                <w:szCs w:val="20"/>
                <w:color w:val="auto"/>
              </w:rPr>
              <w:t xml:space="preserve">Gary Yu </w:t>
            </w:r>
            <w:r>
              <w:rPr>
                <w:rFonts w:ascii="Calibri" w:cs="Calibri" w:eastAsia="Calibri" w:hAnsi="Calibri"/>
                <w:sz w:val="26"/>
                <w:szCs w:val="26"/>
                <w:color w:val="auto"/>
                <w:vertAlign w:val="superscript"/>
              </w:rPr>
              <w:t>(1)</w:t>
            </w:r>
          </w:p>
        </w:tc>
        <w:tc>
          <w:tcPr>
            <w:tcW w:w="1540" w:type="dxa"/>
            <w:vAlign w:val="bottom"/>
          </w:tcPr>
          <w:p>
            <w:pPr>
              <w:jc w:val="right"/>
              <w:ind w:right="381"/>
              <w:spacing w:after="0"/>
              <w:rPr>
                <w:sz w:val="20"/>
                <w:szCs w:val="20"/>
                <w:color w:val="auto"/>
              </w:rPr>
            </w:pPr>
            <w:r>
              <w:rPr>
                <w:rFonts w:ascii="Calibri" w:cs="Calibri" w:eastAsia="Calibri" w:hAnsi="Calibri"/>
                <w:sz w:val="20"/>
                <w:szCs w:val="20"/>
                <w:color w:val="auto"/>
              </w:rPr>
              <w:t>350,000</w:t>
            </w:r>
          </w:p>
        </w:tc>
        <w:tc>
          <w:tcPr>
            <w:tcW w:w="1120" w:type="dxa"/>
            <w:vAlign w:val="bottom"/>
          </w:tcPr>
          <w:p>
            <w:pPr>
              <w:jc w:val="center"/>
              <w:ind w:right="61"/>
              <w:spacing w:after="0"/>
              <w:rPr>
                <w:sz w:val="20"/>
                <w:szCs w:val="20"/>
                <w:color w:val="auto"/>
              </w:rPr>
            </w:pPr>
            <w:r>
              <w:rPr>
                <w:rFonts w:ascii="Calibri" w:cs="Calibri" w:eastAsia="Calibri" w:hAnsi="Calibri"/>
                <w:sz w:val="20"/>
                <w:szCs w:val="20"/>
                <w:color w:val="auto"/>
                <w:w w:val="97"/>
              </w:rPr>
              <w:t>6%</w:t>
            </w:r>
          </w:p>
        </w:tc>
        <w:tc>
          <w:tcPr>
            <w:tcW w:w="1960" w:type="dxa"/>
            <w:vAlign w:val="bottom"/>
            <w:gridSpan w:val="2"/>
          </w:tcPr>
          <w:p>
            <w:pPr>
              <w:jc w:val="right"/>
              <w:ind w:right="261"/>
              <w:spacing w:after="0"/>
              <w:rPr>
                <w:sz w:val="20"/>
                <w:szCs w:val="20"/>
                <w:color w:val="auto"/>
              </w:rPr>
            </w:pPr>
            <w:r>
              <w:rPr>
                <w:rFonts w:ascii="Calibri" w:cs="Calibri" w:eastAsia="Calibri" w:hAnsi="Calibri"/>
                <w:sz w:val="20"/>
                <w:szCs w:val="20"/>
                <w:color w:val="auto"/>
              </w:rPr>
              <w:t>450,000</w:t>
            </w:r>
          </w:p>
        </w:tc>
        <w:tc>
          <w:tcPr>
            <w:tcW w:w="1200" w:type="dxa"/>
            <w:vAlign w:val="bottom"/>
          </w:tcPr>
          <w:p>
            <w:pPr>
              <w:jc w:val="center"/>
              <w:spacing w:after="0"/>
              <w:rPr>
                <w:sz w:val="20"/>
                <w:szCs w:val="20"/>
                <w:color w:val="auto"/>
              </w:rPr>
            </w:pPr>
            <w:r>
              <w:rPr>
                <w:rFonts w:ascii="Calibri" w:cs="Calibri" w:eastAsia="Calibri" w:hAnsi="Calibri"/>
                <w:sz w:val="20"/>
                <w:szCs w:val="20"/>
                <w:color w:val="auto"/>
              </w:rPr>
              <w:t>29%</w:t>
            </w:r>
          </w:p>
        </w:tc>
        <w:tc>
          <w:tcPr>
            <w:tcW w:w="1940" w:type="dxa"/>
            <w:vAlign w:val="bottom"/>
            <w:gridSpan w:val="2"/>
          </w:tcPr>
          <w:p>
            <w:pPr>
              <w:jc w:val="right"/>
              <w:ind w:right="261"/>
              <w:spacing w:after="0"/>
              <w:rPr>
                <w:sz w:val="20"/>
                <w:szCs w:val="20"/>
                <w:color w:val="auto"/>
              </w:rPr>
            </w:pPr>
            <w:r>
              <w:rPr>
                <w:rFonts w:ascii="Calibri" w:cs="Calibri" w:eastAsia="Calibri" w:hAnsi="Calibri"/>
                <w:sz w:val="20"/>
                <w:szCs w:val="20"/>
                <w:color w:val="auto"/>
              </w:rPr>
              <w:t>630,000</w:t>
            </w:r>
          </w:p>
        </w:tc>
        <w:tc>
          <w:tcPr>
            <w:tcW w:w="1200" w:type="dxa"/>
            <w:vAlign w:val="bottom"/>
          </w:tcPr>
          <w:p>
            <w:pPr>
              <w:jc w:val="center"/>
              <w:spacing w:after="0"/>
              <w:rPr>
                <w:sz w:val="20"/>
                <w:szCs w:val="20"/>
                <w:color w:val="auto"/>
              </w:rPr>
            </w:pPr>
            <w:r>
              <w:rPr>
                <w:rFonts w:ascii="Calibri" w:cs="Calibri" w:eastAsia="Calibri" w:hAnsi="Calibri"/>
                <w:sz w:val="20"/>
                <w:szCs w:val="20"/>
                <w:color w:val="auto"/>
                <w:w w:val="98"/>
              </w:rPr>
              <w:t>40%</w:t>
            </w:r>
          </w:p>
        </w:tc>
        <w:tc>
          <w:tcPr>
            <w:tcW w:w="0" w:type="dxa"/>
            <w:vAlign w:val="bottom"/>
          </w:tcPr>
          <w:p>
            <w:pPr>
              <w:spacing w:after="0"/>
              <w:rPr>
                <w:sz w:val="1"/>
                <w:szCs w:val="1"/>
                <w:color w:val="auto"/>
              </w:rPr>
            </w:pPr>
          </w:p>
        </w:tc>
      </w:tr>
      <w:tr>
        <w:trPr>
          <w:trHeight w:val="264"/>
        </w:trPr>
        <w:tc>
          <w:tcPr>
            <w:tcW w:w="2280" w:type="dxa"/>
            <w:vAlign w:val="bottom"/>
          </w:tcPr>
          <w:p>
            <w:pPr>
              <w:ind w:left="20"/>
              <w:spacing w:after="0" w:line="234" w:lineRule="exact"/>
              <w:rPr>
                <w:sz w:val="20"/>
                <w:szCs w:val="20"/>
                <w:color w:val="auto"/>
              </w:rPr>
            </w:pPr>
            <w:r>
              <w:rPr>
                <w:rFonts w:ascii="Calibri" w:cs="Calibri" w:eastAsia="Calibri" w:hAnsi="Calibri"/>
                <w:sz w:val="20"/>
                <w:szCs w:val="20"/>
                <w:color w:val="auto"/>
              </w:rPr>
              <w:t>Francis Tang</w:t>
            </w:r>
          </w:p>
        </w:tc>
        <w:tc>
          <w:tcPr>
            <w:tcW w:w="1540" w:type="dxa"/>
            <w:vAlign w:val="bottom"/>
          </w:tcPr>
          <w:p>
            <w:pPr>
              <w:jc w:val="right"/>
              <w:ind w:right="381"/>
              <w:spacing w:after="0" w:line="234" w:lineRule="exact"/>
              <w:rPr>
                <w:sz w:val="20"/>
                <w:szCs w:val="20"/>
                <w:color w:val="auto"/>
              </w:rPr>
            </w:pPr>
            <w:r>
              <w:rPr>
                <w:rFonts w:ascii="Calibri" w:cs="Calibri" w:eastAsia="Calibri" w:hAnsi="Calibri"/>
                <w:sz w:val="20"/>
                <w:szCs w:val="20"/>
                <w:color w:val="auto"/>
              </w:rPr>
              <w:t>400,000</w:t>
            </w: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7"/>
              </w:rPr>
              <w:t>2%</w:t>
            </w:r>
          </w:p>
        </w:tc>
        <w:tc>
          <w:tcPr>
            <w:tcW w:w="1960" w:type="dxa"/>
            <w:vAlign w:val="bottom"/>
            <w:gridSpan w:val="2"/>
          </w:tcPr>
          <w:p>
            <w:pPr>
              <w:jc w:val="right"/>
              <w:ind w:right="261"/>
              <w:spacing w:after="0" w:line="234" w:lineRule="exact"/>
              <w:rPr>
                <w:sz w:val="20"/>
                <w:szCs w:val="20"/>
                <w:color w:val="auto"/>
              </w:rPr>
            </w:pPr>
            <w:r>
              <w:rPr>
                <w:rFonts w:ascii="Calibri" w:cs="Calibri" w:eastAsia="Calibri" w:hAnsi="Calibri"/>
                <w:sz w:val="20"/>
                <w:szCs w:val="20"/>
                <w:color w:val="auto"/>
              </w:rPr>
              <w:t>410,000</w:t>
            </w:r>
          </w:p>
        </w:tc>
        <w:tc>
          <w:tcPr>
            <w:tcW w:w="1200" w:type="dxa"/>
            <w:vAlign w:val="bottom"/>
          </w:tcPr>
          <w:p>
            <w:pPr>
              <w:jc w:val="center"/>
              <w:spacing w:after="0" w:line="234" w:lineRule="exact"/>
              <w:rPr>
                <w:sz w:val="20"/>
                <w:szCs w:val="20"/>
                <w:color w:val="auto"/>
              </w:rPr>
            </w:pPr>
            <w:r>
              <w:rPr>
                <w:rFonts w:ascii="Calibri" w:cs="Calibri" w:eastAsia="Calibri" w:hAnsi="Calibri"/>
                <w:sz w:val="20"/>
                <w:szCs w:val="20"/>
                <w:color w:val="auto"/>
                <w:w w:val="97"/>
              </w:rPr>
              <w:t>2%</w:t>
            </w:r>
          </w:p>
        </w:tc>
        <w:tc>
          <w:tcPr>
            <w:tcW w:w="1940" w:type="dxa"/>
            <w:vAlign w:val="bottom"/>
            <w:gridSpan w:val="2"/>
          </w:tcPr>
          <w:p>
            <w:pPr>
              <w:jc w:val="right"/>
              <w:ind w:right="261"/>
              <w:spacing w:after="0" w:line="234" w:lineRule="exact"/>
              <w:rPr>
                <w:sz w:val="20"/>
                <w:szCs w:val="20"/>
                <w:color w:val="auto"/>
              </w:rPr>
            </w:pPr>
            <w:r>
              <w:rPr>
                <w:rFonts w:ascii="Calibri" w:cs="Calibri" w:eastAsia="Calibri" w:hAnsi="Calibri"/>
                <w:sz w:val="20"/>
                <w:szCs w:val="20"/>
                <w:color w:val="auto"/>
              </w:rPr>
              <w:t>410,000</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7"/>
        </w:trPr>
        <w:tc>
          <w:tcPr>
            <w:tcW w:w="2280" w:type="dxa"/>
            <w:vAlign w:val="bottom"/>
            <w:tcBorders>
              <w:bottom w:val="single" w:sz="8" w:color="005CA9"/>
            </w:tcBorders>
            <w:shd w:val="clear" w:color="auto" w:fill="CFF0FC"/>
          </w:tcPr>
          <w:p>
            <w:pPr>
              <w:ind w:left="20"/>
              <w:spacing w:after="0" w:line="239" w:lineRule="exact"/>
              <w:rPr>
                <w:sz w:val="20"/>
                <w:szCs w:val="20"/>
                <w:color w:val="auto"/>
              </w:rPr>
            </w:pPr>
            <w:r>
              <w:rPr>
                <w:rFonts w:ascii="Calibri" w:cs="Calibri" w:eastAsia="Calibri" w:hAnsi="Calibri"/>
                <w:sz w:val="20"/>
                <w:szCs w:val="20"/>
                <w:color w:val="auto"/>
              </w:rPr>
              <w:t>Emily Yang</w:t>
            </w:r>
          </w:p>
        </w:tc>
        <w:tc>
          <w:tcPr>
            <w:tcW w:w="1540" w:type="dxa"/>
            <w:vAlign w:val="bottom"/>
            <w:tcBorders>
              <w:bottom w:val="single" w:sz="8" w:color="005CA9"/>
            </w:tcBorders>
            <w:shd w:val="clear" w:color="auto" w:fill="CFF0FC"/>
          </w:tcPr>
          <w:p>
            <w:pPr>
              <w:jc w:val="center"/>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005CA9"/>
            </w:tcBorders>
            <w:shd w:val="clear" w:color="auto" w:fill="CFF0FC"/>
          </w:tcPr>
          <w:p>
            <w:pPr>
              <w:jc w:val="center"/>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Borders>
              <w:bottom w:val="single" w:sz="8" w:color="005CA9"/>
            </w:tcBorders>
            <w:shd w:val="clear" w:color="auto" w:fill="CFF0FC"/>
          </w:tcPr>
          <w:p>
            <w:pPr>
              <w:spacing w:after="0"/>
              <w:rPr>
                <w:sz w:val="21"/>
                <w:szCs w:val="21"/>
                <w:color w:val="auto"/>
              </w:rPr>
            </w:pPr>
          </w:p>
        </w:tc>
        <w:tc>
          <w:tcPr>
            <w:tcW w:w="1820" w:type="dxa"/>
            <w:vAlign w:val="bottom"/>
            <w:tcBorders>
              <w:bottom w:val="single" w:sz="8" w:color="005CA9"/>
            </w:tcBorders>
            <w:shd w:val="clear" w:color="auto" w:fill="CFF0FC"/>
          </w:tcPr>
          <w:p>
            <w:pPr>
              <w:jc w:val="center"/>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005CA9"/>
            </w:tcBorders>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940" w:type="dxa"/>
            <w:vAlign w:val="bottom"/>
            <w:tcBorders>
              <w:bottom w:val="single" w:sz="8" w:color="005CA9"/>
            </w:tcBorders>
            <w:gridSpan w:val="2"/>
            <w:shd w:val="clear" w:color="auto" w:fill="CFF0FC"/>
          </w:tcPr>
          <w:p>
            <w:pPr>
              <w:jc w:val="right"/>
              <w:ind w:right="261"/>
              <w:spacing w:after="0" w:line="239" w:lineRule="exact"/>
              <w:rPr>
                <w:sz w:val="20"/>
                <w:szCs w:val="20"/>
                <w:color w:val="auto"/>
              </w:rPr>
            </w:pPr>
            <w:r>
              <w:rPr>
                <w:rFonts w:ascii="Calibri" w:cs="Calibri" w:eastAsia="Calibri" w:hAnsi="Calibri"/>
                <w:sz w:val="20"/>
                <w:szCs w:val="20"/>
                <w:color w:val="auto"/>
              </w:rPr>
              <w:t>330,000</w:t>
            </w:r>
          </w:p>
        </w:tc>
        <w:tc>
          <w:tcPr>
            <w:tcW w:w="1200" w:type="dxa"/>
            <w:vAlign w:val="bottom"/>
            <w:tcBorders>
              <w:bottom w:val="single" w:sz="8" w:color="005CA9"/>
            </w:tcBorders>
            <w:shd w:val="clear" w:color="auto" w:fill="CFF0FC"/>
          </w:tcPr>
          <w:p>
            <w:pPr>
              <w:jc w:val="center"/>
              <w:spacing w:after="0" w:line="239" w:lineRule="exact"/>
              <w:rPr>
                <w:sz w:val="20"/>
                <w:szCs w:val="20"/>
                <w:color w:val="auto"/>
              </w:rPr>
            </w:pPr>
            <w:r>
              <w:rPr>
                <w:rFonts w:ascii="Calibri" w:cs="Calibri" w:eastAsia="Calibri" w:hAnsi="Calibri"/>
                <w:sz w:val="20"/>
                <w:szCs w:val="20"/>
                <w:color w:val="auto"/>
                <w:w w:val="99"/>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60"/>
        <w:spacing w:after="0" w:line="218" w:lineRule="auto"/>
        <w:rPr>
          <w:sz w:val="20"/>
          <w:szCs w:val="20"/>
          <w:color w:val="auto"/>
        </w:rPr>
      </w:pPr>
      <w:r>
        <w:rPr>
          <w:rFonts w:ascii="Calibri" w:cs="Calibri" w:eastAsia="Calibri" w:hAnsi="Calibri"/>
          <w:sz w:val="14"/>
          <w:szCs w:val="14"/>
          <w:color w:val="auto"/>
        </w:rPr>
        <w:t>(1) Mr. Yu's 2024 salary refects his appointment as President of the Company in January 2024.</w:t>
      </w: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Annual (Bonus) Incentve Plan</w:t>
      </w:r>
    </w:p>
    <w:p>
      <w:pPr>
        <w:spacing w:after="0" w:line="11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Annual incentves reward both the achievement of short-term fnancial goals, as well as the executon of actvites to advance our strategic priorites, which support near-term fnancial performance and long-term strategic objectves. Our annual bonus plan for 2023 and 2024 was simple, formulaic, and responsive to investor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132715</wp:posOffset>
            </wp:positionV>
            <wp:extent cx="3951605" cy="1165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5160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36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9" w:name="page40"/>
    <w:bookmarkEnd w:id="39"/>
    <w:p>
      <w:pPr>
        <w:spacing w:after="0"/>
        <w:rPr>
          <w:sz w:val="20"/>
          <w:szCs w:val="20"/>
          <w:color w:val="auto"/>
        </w:rPr>
      </w:pPr>
      <w:r>
        <w:rPr>
          <w:rFonts w:ascii="Calibri" w:cs="Calibri" w:eastAsia="Calibri" w:hAnsi="Calibri"/>
          <w:sz w:val="20"/>
          <w:szCs w:val="20"/>
          <w:color w:val="auto"/>
        </w:rPr>
        <w:t>This table illustrates the structure of the plan for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162560</wp:posOffset>
            </wp:positionV>
            <wp:extent cx="5725795" cy="2139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25795" cy="213995"/>
                    </a:xfrm>
                    <a:prstGeom prst="rect">
                      <a:avLst/>
                    </a:prstGeom>
                    <a:noFill/>
                  </pic:spPr>
                </pic:pic>
              </a:graphicData>
            </a:graphic>
          </wp:anchor>
        </w:drawing>
      </w:r>
    </w:p>
    <w:p>
      <w:pPr>
        <w:spacing w:after="0" w:line="24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FFFFFF"/>
        </w:rPr>
        <w:t>Annual Incentves – Plan Structure (2023 and 2024)</w:t>
      </w:r>
    </w:p>
    <w:p>
      <w:pPr>
        <w:spacing w:after="0" w:line="59" w:lineRule="exact"/>
        <w:rPr>
          <w:sz w:val="20"/>
          <w:szCs w:val="20"/>
          <w:color w:val="auto"/>
        </w:rPr>
      </w:pPr>
    </w:p>
    <w:tbl>
      <w:tblPr>
        <w:tblLayout w:type="fixed"/>
        <w:tblInd w:w="1150" w:type="dxa"/>
        <w:tblCellMar>
          <w:top w:w="0" w:type="dxa"/>
          <w:left w:w="0" w:type="dxa"/>
          <w:bottom w:w="0" w:type="dxa"/>
          <w:right w:w="0" w:type="dxa"/>
        </w:tblCellMar>
      </w:tblPr>
      <w:tr>
        <w:trPr>
          <w:trHeight w:val="251"/>
        </w:trPr>
        <w:tc>
          <w:tcPr>
            <w:tcW w:w="1200" w:type="dxa"/>
            <w:vAlign w:val="bottom"/>
            <w:tcBorders>
              <w:left w:val="single" w:sz="8" w:color="005CA9"/>
              <w:bottom w:val="single" w:sz="8" w:color="005CA9"/>
              <w:right w:val="single" w:sz="8" w:color="005CA9"/>
            </w:tcBorders>
            <w:shd w:val="clear" w:color="auto" w:fill="D9EEFF"/>
          </w:tcPr>
          <w:p>
            <w:pPr>
              <w:jc w:val="right"/>
              <w:ind w:right="21"/>
              <w:spacing w:after="0"/>
              <w:rPr>
                <w:sz w:val="20"/>
                <w:szCs w:val="20"/>
                <w:color w:val="auto"/>
              </w:rPr>
            </w:pPr>
            <w:r>
              <w:rPr>
                <w:rFonts w:ascii="Calibri" w:cs="Calibri" w:eastAsia="Calibri" w:hAnsi="Calibri"/>
                <w:sz w:val="20"/>
                <w:szCs w:val="20"/>
                <w:b w:val="1"/>
                <w:bCs w:val="1"/>
                <w:color w:val="auto"/>
              </w:rPr>
              <w:t>Weightng</w:t>
            </w:r>
          </w:p>
        </w:tc>
        <w:tc>
          <w:tcPr>
            <w:tcW w:w="2480" w:type="dxa"/>
            <w:vAlign w:val="bottom"/>
            <w:tcBorders>
              <w:bottom w:val="single" w:sz="8" w:color="005CA9"/>
              <w:right w:val="single" w:sz="8" w:color="005CA9"/>
            </w:tcBorders>
            <w:shd w:val="clear" w:color="auto" w:fill="D9EEFF"/>
          </w:tcPr>
          <w:p>
            <w:pPr>
              <w:ind w:left="260"/>
              <w:spacing w:after="0"/>
              <w:rPr>
                <w:sz w:val="20"/>
                <w:szCs w:val="20"/>
                <w:color w:val="auto"/>
              </w:rPr>
            </w:pPr>
            <w:r>
              <w:rPr>
                <w:rFonts w:ascii="Calibri" w:cs="Calibri" w:eastAsia="Calibri" w:hAnsi="Calibri"/>
                <w:sz w:val="20"/>
                <w:szCs w:val="20"/>
                <w:b w:val="1"/>
                <w:bCs w:val="1"/>
                <w:color w:val="auto"/>
              </w:rPr>
              <w:t>Performance Objectves</w:t>
            </w:r>
          </w:p>
        </w:tc>
        <w:tc>
          <w:tcPr>
            <w:tcW w:w="580" w:type="dxa"/>
            <w:vAlign w:val="bottom"/>
            <w:tcBorders>
              <w:bottom w:val="single" w:sz="8" w:color="005CA9"/>
            </w:tcBorders>
            <w:shd w:val="clear" w:color="auto" w:fill="D9EEFF"/>
          </w:tcPr>
          <w:p>
            <w:pPr>
              <w:spacing w:after="0"/>
              <w:rPr>
                <w:sz w:val="21"/>
                <w:szCs w:val="21"/>
                <w:color w:val="auto"/>
              </w:rPr>
            </w:pPr>
          </w:p>
        </w:tc>
        <w:tc>
          <w:tcPr>
            <w:tcW w:w="980" w:type="dxa"/>
            <w:vAlign w:val="bottom"/>
            <w:tcBorders>
              <w:bottom w:val="single" w:sz="8" w:color="005CA9"/>
            </w:tcBorders>
            <w:shd w:val="clear" w:color="auto" w:fill="D9EEFF"/>
          </w:tcPr>
          <w:p>
            <w:pPr>
              <w:spacing w:after="0"/>
              <w:rPr>
                <w:sz w:val="21"/>
                <w:szCs w:val="21"/>
                <w:color w:val="auto"/>
              </w:rPr>
            </w:pPr>
          </w:p>
        </w:tc>
        <w:tc>
          <w:tcPr>
            <w:tcW w:w="500" w:type="dxa"/>
            <w:vAlign w:val="bottom"/>
            <w:tcBorders>
              <w:bottom w:val="single" w:sz="8" w:color="005CA9"/>
            </w:tcBorders>
            <w:shd w:val="clear" w:color="auto" w:fill="D9EEFF"/>
          </w:tcPr>
          <w:p>
            <w:pPr>
              <w:spacing w:after="0"/>
              <w:rPr>
                <w:sz w:val="21"/>
                <w:szCs w:val="21"/>
                <w:color w:val="auto"/>
              </w:rPr>
            </w:pPr>
          </w:p>
        </w:tc>
        <w:tc>
          <w:tcPr>
            <w:tcW w:w="1080" w:type="dxa"/>
            <w:vAlign w:val="bottom"/>
            <w:tcBorders>
              <w:bottom w:val="single" w:sz="8" w:color="005CA9"/>
            </w:tcBorders>
            <w:shd w:val="clear" w:color="auto" w:fill="D9EEFF"/>
          </w:tcPr>
          <w:p>
            <w:pPr>
              <w:jc w:val="center"/>
              <w:ind w:left="41"/>
              <w:spacing w:after="0"/>
              <w:rPr>
                <w:sz w:val="20"/>
                <w:szCs w:val="20"/>
                <w:color w:val="auto"/>
              </w:rPr>
            </w:pPr>
            <w:r>
              <w:rPr>
                <w:rFonts w:ascii="Calibri" w:cs="Calibri" w:eastAsia="Calibri" w:hAnsi="Calibri"/>
                <w:sz w:val="20"/>
                <w:szCs w:val="20"/>
                <w:b w:val="1"/>
                <w:bCs w:val="1"/>
                <w:color w:val="auto"/>
                <w:w w:val="98"/>
              </w:rPr>
              <w:t>Metrics</w:t>
            </w:r>
          </w:p>
        </w:tc>
        <w:tc>
          <w:tcPr>
            <w:tcW w:w="1760" w:type="dxa"/>
            <w:vAlign w:val="bottom"/>
            <w:tcBorders>
              <w:bottom w:val="single" w:sz="8" w:color="005CA9"/>
            </w:tcBorders>
            <w:shd w:val="clear" w:color="auto" w:fill="D9EEFF"/>
          </w:tcPr>
          <w:p>
            <w:pPr>
              <w:spacing w:after="0"/>
              <w:rPr>
                <w:sz w:val="21"/>
                <w:szCs w:val="21"/>
                <w:color w:val="auto"/>
              </w:rPr>
            </w:pPr>
          </w:p>
        </w:tc>
        <w:tc>
          <w:tcPr>
            <w:tcW w:w="400" w:type="dxa"/>
            <w:vAlign w:val="bottom"/>
            <w:tcBorders>
              <w:bottom w:val="single" w:sz="8" w:color="005CA9"/>
              <w:right w:val="single" w:sz="8" w:color="005CA9"/>
            </w:tcBorders>
            <w:shd w:val="clear" w:color="auto" w:fill="D9EEFF"/>
          </w:tcPr>
          <w:p>
            <w:pPr>
              <w:spacing w:after="0"/>
              <w:rPr>
                <w:sz w:val="21"/>
                <w:szCs w:val="21"/>
                <w:color w:val="auto"/>
              </w:rPr>
            </w:pPr>
          </w:p>
        </w:tc>
      </w:tr>
      <w:tr>
        <w:trPr>
          <w:trHeight w:val="219"/>
        </w:trPr>
        <w:tc>
          <w:tcPr>
            <w:tcW w:w="1200" w:type="dxa"/>
            <w:vAlign w:val="bottom"/>
            <w:tcBorders>
              <w:left w:val="single" w:sz="8" w:color="005CA9"/>
              <w:right w:val="single" w:sz="8" w:color="005CA9"/>
            </w:tcBorders>
          </w:tcPr>
          <w:p>
            <w:pPr>
              <w:spacing w:after="0"/>
              <w:rPr>
                <w:sz w:val="19"/>
                <w:szCs w:val="19"/>
                <w:color w:val="auto"/>
              </w:rPr>
            </w:pPr>
          </w:p>
        </w:tc>
        <w:tc>
          <w:tcPr>
            <w:tcW w:w="2480" w:type="dxa"/>
            <w:vAlign w:val="bottom"/>
            <w:tcBorders>
              <w:right w:val="single" w:sz="8" w:color="005CA9"/>
            </w:tcBorders>
          </w:tcPr>
          <w:p>
            <w:pPr>
              <w:spacing w:after="0"/>
              <w:rPr>
                <w:sz w:val="19"/>
                <w:szCs w:val="19"/>
                <w:color w:val="auto"/>
              </w:rPr>
            </w:pPr>
          </w:p>
        </w:tc>
        <w:tc>
          <w:tcPr>
            <w:tcW w:w="580" w:type="dxa"/>
            <w:vAlign w:val="bottom"/>
          </w:tcPr>
          <w:p>
            <w:pPr>
              <w:spacing w:after="0"/>
              <w:rPr>
                <w:sz w:val="19"/>
                <w:szCs w:val="19"/>
                <w:color w:val="auto"/>
              </w:rPr>
            </w:pPr>
          </w:p>
        </w:tc>
        <w:tc>
          <w:tcPr>
            <w:tcW w:w="4320" w:type="dxa"/>
            <w:vAlign w:val="bottom"/>
            <w:gridSpan w:val="4"/>
          </w:tcPr>
          <w:p>
            <w:pPr>
              <w:jc w:val="center"/>
              <w:ind w:right="41"/>
              <w:spacing w:after="0" w:line="218" w:lineRule="exact"/>
              <w:rPr>
                <w:sz w:val="20"/>
                <w:szCs w:val="20"/>
                <w:color w:val="auto"/>
              </w:rPr>
            </w:pPr>
            <w:r>
              <w:rPr>
                <w:rFonts w:ascii="Calibri" w:cs="Calibri" w:eastAsia="Calibri" w:hAnsi="Calibri"/>
                <w:sz w:val="20"/>
                <w:szCs w:val="20"/>
                <w:b w:val="1"/>
                <w:bCs w:val="1"/>
                <w:color w:val="auto"/>
              </w:rPr>
              <w:t>Non-GAAP Earnings Per Share (EPS),</w:t>
            </w:r>
          </w:p>
        </w:tc>
        <w:tc>
          <w:tcPr>
            <w:tcW w:w="400" w:type="dxa"/>
            <w:vAlign w:val="bottom"/>
            <w:tcBorders>
              <w:right w:val="single" w:sz="8" w:color="005CA9"/>
            </w:tcBorders>
          </w:tcPr>
          <w:p>
            <w:pPr>
              <w:spacing w:after="0"/>
              <w:rPr>
                <w:sz w:val="19"/>
                <w:szCs w:val="19"/>
                <w:color w:val="auto"/>
              </w:rPr>
            </w:pPr>
          </w:p>
        </w:tc>
      </w:tr>
      <w:tr>
        <w:trPr>
          <w:trHeight w:val="234"/>
        </w:trPr>
        <w:tc>
          <w:tcPr>
            <w:tcW w:w="1200" w:type="dxa"/>
            <w:vAlign w:val="bottom"/>
            <w:tcBorders>
              <w:left w:val="single" w:sz="8" w:color="005CA9"/>
              <w:right w:val="single" w:sz="8" w:color="005CA9"/>
            </w:tcBorders>
          </w:tcPr>
          <w:p>
            <w:pPr>
              <w:spacing w:after="0"/>
              <w:rPr>
                <w:sz w:val="20"/>
                <w:szCs w:val="20"/>
                <w:color w:val="auto"/>
              </w:rPr>
            </w:pPr>
          </w:p>
        </w:tc>
        <w:tc>
          <w:tcPr>
            <w:tcW w:w="2480" w:type="dxa"/>
            <w:vAlign w:val="bottom"/>
            <w:tcBorders>
              <w:right w:val="single" w:sz="8" w:color="005CA9"/>
            </w:tcBorders>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gridSpan w:val="3"/>
          </w:tcPr>
          <w:p>
            <w:pPr>
              <w:ind w:left="340"/>
              <w:spacing w:after="0" w:line="234" w:lineRule="exact"/>
              <w:rPr>
                <w:sz w:val="20"/>
                <w:szCs w:val="20"/>
                <w:color w:val="auto"/>
              </w:rPr>
            </w:pPr>
            <w:r>
              <w:rPr>
                <w:rFonts w:ascii="Calibri" w:cs="Calibri" w:eastAsia="Calibri" w:hAnsi="Calibri"/>
                <w:sz w:val="20"/>
                <w:szCs w:val="20"/>
                <w:b w:val="1"/>
                <w:bCs w:val="1"/>
                <w:color w:val="auto"/>
              </w:rPr>
              <w:t>Net Sales and CSER</w:t>
            </w:r>
          </w:p>
        </w:tc>
        <w:tc>
          <w:tcPr>
            <w:tcW w:w="400" w:type="dxa"/>
            <w:vAlign w:val="bottom"/>
            <w:tcBorders>
              <w:right w:val="single" w:sz="8" w:color="005CA9"/>
            </w:tcBorders>
          </w:tcPr>
          <w:p>
            <w:pPr>
              <w:spacing w:after="0"/>
              <w:rPr>
                <w:sz w:val="20"/>
                <w:szCs w:val="20"/>
                <w:color w:val="auto"/>
              </w:rPr>
            </w:pPr>
          </w:p>
        </w:tc>
      </w:tr>
      <w:tr>
        <w:trPr>
          <w:trHeight w:val="1350"/>
        </w:trPr>
        <w:tc>
          <w:tcPr>
            <w:tcW w:w="1200" w:type="dxa"/>
            <w:vAlign w:val="bottom"/>
            <w:tcBorders>
              <w:left w:val="single" w:sz="8" w:color="005CA9"/>
              <w:right w:val="single" w:sz="8" w:color="005CA9"/>
            </w:tcBorders>
          </w:tcPr>
          <w:p>
            <w:pPr>
              <w:jc w:val="right"/>
              <w:ind w:right="341"/>
              <w:spacing w:after="0"/>
              <w:rPr>
                <w:sz w:val="20"/>
                <w:szCs w:val="20"/>
                <w:color w:val="auto"/>
              </w:rPr>
            </w:pPr>
            <w:r>
              <w:rPr>
                <w:rFonts w:ascii="Calibri" w:cs="Calibri" w:eastAsia="Calibri" w:hAnsi="Calibri"/>
                <w:sz w:val="20"/>
                <w:szCs w:val="20"/>
                <w:color w:val="auto"/>
              </w:rPr>
              <w:t>80%</w:t>
            </w:r>
          </w:p>
        </w:tc>
        <w:tc>
          <w:tcPr>
            <w:tcW w:w="2480" w:type="dxa"/>
            <w:vAlign w:val="bottom"/>
            <w:tcBorders>
              <w:right w:val="single" w:sz="8" w:color="005CA9"/>
            </w:tcBorders>
          </w:tcPr>
          <w:p>
            <w:pPr>
              <w:jc w:val="center"/>
              <w:spacing w:after="0"/>
              <w:rPr>
                <w:sz w:val="20"/>
                <w:szCs w:val="20"/>
                <w:color w:val="auto"/>
              </w:rPr>
            </w:pPr>
            <w:r>
              <w:rPr>
                <w:rFonts w:ascii="Calibri" w:cs="Calibri" w:eastAsia="Calibri" w:hAnsi="Calibri"/>
                <w:sz w:val="20"/>
                <w:szCs w:val="20"/>
                <w:color w:val="auto"/>
              </w:rPr>
              <w:t>Financial Metrics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Borders>
              <w:right w:val="single" w:sz="8" w:color="005CA9"/>
            </w:tcBorders>
          </w:tcPr>
          <w:p>
            <w:pPr>
              <w:spacing w:after="0"/>
              <w:rPr>
                <w:sz w:val="24"/>
                <w:szCs w:val="24"/>
                <w:color w:val="auto"/>
              </w:rPr>
            </w:pPr>
          </w:p>
        </w:tc>
      </w:tr>
      <w:tr>
        <w:trPr>
          <w:trHeight w:val="1626"/>
        </w:trPr>
        <w:tc>
          <w:tcPr>
            <w:tcW w:w="1200" w:type="dxa"/>
            <w:vAlign w:val="bottom"/>
            <w:tcBorders>
              <w:left w:val="single" w:sz="8" w:color="005CA9"/>
              <w:bottom w:val="single" w:sz="8" w:color="005CA9"/>
              <w:right w:val="single" w:sz="8" w:color="005CA9"/>
            </w:tcBorders>
          </w:tcPr>
          <w:p>
            <w:pPr>
              <w:spacing w:after="0"/>
              <w:rPr>
                <w:sz w:val="24"/>
                <w:szCs w:val="24"/>
                <w:color w:val="auto"/>
              </w:rPr>
            </w:pPr>
          </w:p>
        </w:tc>
        <w:tc>
          <w:tcPr>
            <w:tcW w:w="2480" w:type="dxa"/>
            <w:vAlign w:val="bottom"/>
            <w:tcBorders>
              <w:bottom w:val="single" w:sz="8" w:color="005CA9"/>
              <w:right w:val="single" w:sz="8" w:color="005CA9"/>
            </w:tcBorders>
          </w:tcPr>
          <w:p>
            <w:pPr>
              <w:spacing w:after="0"/>
              <w:rPr>
                <w:sz w:val="24"/>
                <w:szCs w:val="24"/>
                <w:color w:val="auto"/>
              </w:rPr>
            </w:pPr>
          </w:p>
        </w:tc>
        <w:tc>
          <w:tcPr>
            <w:tcW w:w="5300" w:type="dxa"/>
            <w:vAlign w:val="bottom"/>
            <w:tcBorders>
              <w:bottom w:val="single" w:sz="8" w:color="005CA9"/>
              <w:right w:val="single" w:sz="8" w:color="005CA9"/>
            </w:tcBorders>
            <w:gridSpan w:val="6"/>
          </w:tcPr>
          <w:p>
            <w:pPr>
              <w:spacing w:after="0"/>
              <w:rPr>
                <w:sz w:val="24"/>
                <w:szCs w:val="24"/>
                <w:color w:val="auto"/>
              </w:rPr>
            </w:pPr>
          </w:p>
        </w:tc>
      </w:tr>
      <w:tr>
        <w:trPr>
          <w:trHeight w:val="212"/>
        </w:trPr>
        <w:tc>
          <w:tcPr>
            <w:tcW w:w="1200" w:type="dxa"/>
            <w:vAlign w:val="bottom"/>
            <w:tcBorders>
              <w:left w:val="single" w:sz="8" w:color="005CA9"/>
              <w:right w:val="single" w:sz="8" w:color="005CA9"/>
            </w:tcBorders>
            <w:shd w:val="clear" w:color="auto" w:fill="D9EEFF"/>
          </w:tcPr>
          <w:p>
            <w:pPr>
              <w:spacing w:after="0"/>
              <w:rPr>
                <w:sz w:val="18"/>
                <w:szCs w:val="18"/>
                <w:color w:val="auto"/>
              </w:rPr>
            </w:pPr>
          </w:p>
        </w:tc>
        <w:tc>
          <w:tcPr>
            <w:tcW w:w="2480" w:type="dxa"/>
            <w:vAlign w:val="bottom"/>
            <w:tcBorders>
              <w:right w:val="single" w:sz="8" w:color="005CA9"/>
            </w:tcBorders>
            <w:shd w:val="clear" w:color="auto" w:fill="D9EEFF"/>
          </w:tcPr>
          <w:p>
            <w:pPr>
              <w:spacing w:after="0"/>
              <w:rPr>
                <w:sz w:val="18"/>
                <w:szCs w:val="18"/>
                <w:color w:val="auto"/>
              </w:rPr>
            </w:pPr>
          </w:p>
        </w:tc>
        <w:tc>
          <w:tcPr>
            <w:tcW w:w="5300" w:type="dxa"/>
            <w:vAlign w:val="bottom"/>
            <w:tcBorders>
              <w:right w:val="single" w:sz="8" w:color="005CA9"/>
            </w:tcBorders>
            <w:gridSpan w:val="6"/>
            <w:shd w:val="clear" w:color="auto" w:fill="D9EEFF"/>
          </w:tcPr>
          <w:p>
            <w:pPr>
              <w:jc w:val="center"/>
              <w:spacing w:after="0" w:line="212" w:lineRule="exact"/>
              <w:rPr>
                <w:sz w:val="20"/>
                <w:szCs w:val="20"/>
                <w:color w:val="auto"/>
              </w:rPr>
            </w:pPr>
            <w:r>
              <w:rPr>
                <w:rFonts w:ascii="Calibri" w:cs="Calibri" w:eastAsia="Calibri" w:hAnsi="Calibri"/>
                <w:sz w:val="20"/>
                <w:szCs w:val="20"/>
                <w:color w:val="auto"/>
              </w:rPr>
              <w:t>Examples of 2024 strategic initatves include, but are not</w:t>
            </w:r>
          </w:p>
        </w:tc>
      </w:tr>
      <w:tr>
        <w:trPr>
          <w:trHeight w:val="234"/>
        </w:trPr>
        <w:tc>
          <w:tcPr>
            <w:tcW w:w="1200" w:type="dxa"/>
            <w:vAlign w:val="bottom"/>
            <w:tcBorders>
              <w:left w:val="single" w:sz="8" w:color="005CA9"/>
              <w:right w:val="single" w:sz="8" w:color="005CA9"/>
            </w:tcBorders>
            <w:shd w:val="clear" w:color="auto" w:fill="D9EEFF"/>
          </w:tcPr>
          <w:p>
            <w:pPr>
              <w:spacing w:after="0"/>
              <w:rPr>
                <w:sz w:val="20"/>
                <w:szCs w:val="20"/>
                <w:color w:val="auto"/>
              </w:rPr>
            </w:pPr>
          </w:p>
        </w:tc>
        <w:tc>
          <w:tcPr>
            <w:tcW w:w="2480" w:type="dxa"/>
            <w:vAlign w:val="bottom"/>
            <w:tcBorders>
              <w:right w:val="single" w:sz="8" w:color="005CA9"/>
            </w:tcBorders>
            <w:shd w:val="clear" w:color="auto" w:fill="D9EEFF"/>
          </w:tcPr>
          <w:p>
            <w:pPr>
              <w:spacing w:after="0"/>
              <w:rPr>
                <w:sz w:val="20"/>
                <w:szCs w:val="20"/>
                <w:color w:val="auto"/>
              </w:rPr>
            </w:pPr>
          </w:p>
        </w:tc>
        <w:tc>
          <w:tcPr>
            <w:tcW w:w="580" w:type="dxa"/>
            <w:vAlign w:val="bottom"/>
            <w:shd w:val="clear" w:color="auto" w:fill="D9EEFF"/>
          </w:tcPr>
          <w:p>
            <w:pPr>
              <w:spacing w:after="0"/>
              <w:rPr>
                <w:sz w:val="20"/>
                <w:szCs w:val="20"/>
                <w:color w:val="auto"/>
              </w:rPr>
            </w:pPr>
          </w:p>
        </w:tc>
        <w:tc>
          <w:tcPr>
            <w:tcW w:w="980" w:type="dxa"/>
            <w:vAlign w:val="bottom"/>
            <w:shd w:val="clear" w:color="auto" w:fill="D9EEFF"/>
          </w:tcPr>
          <w:p>
            <w:pPr>
              <w:spacing w:after="0"/>
              <w:rPr>
                <w:sz w:val="20"/>
                <w:szCs w:val="20"/>
                <w:color w:val="auto"/>
              </w:rPr>
            </w:pPr>
          </w:p>
        </w:tc>
        <w:tc>
          <w:tcPr>
            <w:tcW w:w="500" w:type="dxa"/>
            <w:vAlign w:val="bottom"/>
            <w:shd w:val="clear" w:color="auto" w:fill="D9EEFF"/>
          </w:tcPr>
          <w:p>
            <w:pPr>
              <w:spacing w:after="0"/>
              <w:rPr>
                <w:sz w:val="20"/>
                <w:szCs w:val="20"/>
                <w:color w:val="auto"/>
              </w:rPr>
            </w:pPr>
          </w:p>
        </w:tc>
        <w:tc>
          <w:tcPr>
            <w:tcW w:w="1080" w:type="dxa"/>
            <w:vAlign w:val="bottom"/>
            <w:shd w:val="clear" w:color="auto" w:fill="D9EEFF"/>
          </w:tcPr>
          <w:p>
            <w:pPr>
              <w:jc w:val="center"/>
              <w:ind w:left="1"/>
              <w:spacing w:after="0" w:line="234" w:lineRule="exact"/>
              <w:rPr>
                <w:sz w:val="20"/>
                <w:szCs w:val="20"/>
                <w:color w:val="auto"/>
              </w:rPr>
            </w:pPr>
            <w:r>
              <w:rPr>
                <w:rFonts w:ascii="Calibri" w:cs="Calibri" w:eastAsia="Calibri" w:hAnsi="Calibri"/>
                <w:sz w:val="20"/>
                <w:szCs w:val="20"/>
                <w:color w:val="auto"/>
              </w:rPr>
              <w:t>limited to:</w:t>
            </w:r>
          </w:p>
        </w:tc>
        <w:tc>
          <w:tcPr>
            <w:tcW w:w="1760" w:type="dxa"/>
            <w:vAlign w:val="bottom"/>
            <w:shd w:val="clear" w:color="auto" w:fill="D9EEFF"/>
          </w:tcPr>
          <w:p>
            <w:pPr>
              <w:spacing w:after="0"/>
              <w:rPr>
                <w:sz w:val="20"/>
                <w:szCs w:val="20"/>
                <w:color w:val="auto"/>
              </w:rPr>
            </w:pPr>
          </w:p>
        </w:tc>
        <w:tc>
          <w:tcPr>
            <w:tcW w:w="400" w:type="dxa"/>
            <w:vAlign w:val="bottom"/>
            <w:tcBorders>
              <w:right w:val="single" w:sz="8" w:color="005CA9"/>
            </w:tcBorders>
            <w:shd w:val="clear" w:color="auto" w:fill="D9EEFF"/>
          </w:tcPr>
          <w:p>
            <w:pPr>
              <w:spacing w:after="0"/>
              <w:rPr>
                <w:sz w:val="20"/>
                <w:szCs w:val="20"/>
                <w:color w:val="auto"/>
              </w:rPr>
            </w:pPr>
          </w:p>
        </w:tc>
      </w:tr>
      <w:tr>
        <w:trPr>
          <w:trHeight w:val="373"/>
        </w:trPr>
        <w:tc>
          <w:tcPr>
            <w:tcW w:w="1200" w:type="dxa"/>
            <w:vAlign w:val="bottom"/>
            <w:tcBorders>
              <w:left w:val="single" w:sz="8" w:color="005CA9"/>
              <w:right w:val="single" w:sz="8" w:color="005CA9"/>
            </w:tcBorders>
            <w:shd w:val="clear" w:color="auto" w:fill="D9EEFF"/>
          </w:tcPr>
          <w:p>
            <w:pPr>
              <w:spacing w:after="0"/>
              <w:rPr>
                <w:sz w:val="24"/>
                <w:szCs w:val="24"/>
                <w:color w:val="auto"/>
              </w:rPr>
            </w:pPr>
          </w:p>
        </w:tc>
        <w:tc>
          <w:tcPr>
            <w:tcW w:w="2480" w:type="dxa"/>
            <w:vAlign w:val="bottom"/>
            <w:tcBorders>
              <w:right w:val="single" w:sz="8" w:color="005CA9"/>
            </w:tcBorders>
            <w:shd w:val="clear" w:color="auto" w:fill="D9EEFF"/>
          </w:tcPr>
          <w:p>
            <w:pPr>
              <w:spacing w:after="0"/>
              <w:rPr>
                <w:sz w:val="24"/>
                <w:szCs w:val="24"/>
                <w:color w:val="auto"/>
              </w:rPr>
            </w:pPr>
          </w:p>
        </w:tc>
        <w:tc>
          <w:tcPr>
            <w:tcW w:w="4900" w:type="dxa"/>
            <w:vAlign w:val="bottom"/>
            <w:gridSpan w:val="5"/>
            <w:shd w:val="clear" w:color="auto" w:fill="D9EEFF"/>
          </w:tcPr>
          <w:p>
            <w:pPr>
              <w:ind w:left="440"/>
              <w:spacing w:after="0"/>
              <w:rPr>
                <w:sz w:val="20"/>
                <w:szCs w:val="20"/>
                <w:color w:val="auto"/>
              </w:rPr>
            </w:pPr>
            <w:r>
              <w:rPr>
                <w:rFonts w:ascii="Times New Roman" w:cs="Times New Roman" w:eastAsia="Times New Roman" w:hAnsi="Times New Roman"/>
                <w:sz w:val="20"/>
                <w:szCs w:val="20"/>
                <w:color w:val="auto"/>
              </w:rPr>
              <w:t xml:space="preserve">•  </w:t>
            </w:r>
            <w:r>
              <w:rPr>
                <w:rFonts w:ascii="Calibri" w:cs="Calibri" w:eastAsia="Calibri" w:hAnsi="Calibri"/>
                <w:sz w:val="20"/>
                <w:szCs w:val="20"/>
                <w:color w:val="auto"/>
              </w:rPr>
              <w:t>Meetng and exceeding the 2024 Annual Plan while</w:t>
            </w:r>
          </w:p>
        </w:tc>
        <w:tc>
          <w:tcPr>
            <w:tcW w:w="400" w:type="dxa"/>
            <w:vAlign w:val="bottom"/>
            <w:tcBorders>
              <w:right w:val="single" w:sz="8" w:color="005CA9"/>
            </w:tcBorders>
            <w:shd w:val="clear" w:color="auto" w:fill="D9EEFF"/>
          </w:tcPr>
          <w:p>
            <w:pPr>
              <w:spacing w:after="0"/>
              <w:rPr>
                <w:sz w:val="24"/>
                <w:szCs w:val="24"/>
                <w:color w:val="auto"/>
              </w:rPr>
            </w:pPr>
          </w:p>
        </w:tc>
      </w:tr>
      <w:tr>
        <w:trPr>
          <w:trHeight w:val="234"/>
        </w:trPr>
        <w:tc>
          <w:tcPr>
            <w:tcW w:w="1200" w:type="dxa"/>
            <w:vAlign w:val="bottom"/>
            <w:tcBorders>
              <w:left w:val="single" w:sz="8" w:color="005CA9"/>
              <w:right w:val="single" w:sz="8" w:color="005CA9"/>
            </w:tcBorders>
            <w:shd w:val="clear" w:color="auto" w:fill="D9EEFF"/>
          </w:tcPr>
          <w:p>
            <w:pPr>
              <w:spacing w:after="0"/>
              <w:rPr>
                <w:sz w:val="20"/>
                <w:szCs w:val="20"/>
                <w:color w:val="auto"/>
              </w:rPr>
            </w:pPr>
          </w:p>
        </w:tc>
        <w:tc>
          <w:tcPr>
            <w:tcW w:w="2480" w:type="dxa"/>
            <w:vAlign w:val="bottom"/>
            <w:tcBorders>
              <w:right w:val="single" w:sz="8" w:color="005CA9"/>
            </w:tcBorders>
            <w:shd w:val="clear" w:color="auto" w:fill="D9EEFF"/>
          </w:tcPr>
          <w:p>
            <w:pPr>
              <w:spacing w:after="0"/>
              <w:rPr>
                <w:sz w:val="20"/>
                <w:szCs w:val="20"/>
                <w:color w:val="auto"/>
              </w:rPr>
            </w:pPr>
          </w:p>
        </w:tc>
        <w:tc>
          <w:tcPr>
            <w:tcW w:w="580" w:type="dxa"/>
            <w:vAlign w:val="bottom"/>
            <w:shd w:val="clear" w:color="auto" w:fill="D9EEFF"/>
          </w:tcPr>
          <w:p>
            <w:pPr>
              <w:spacing w:after="0"/>
              <w:rPr>
                <w:sz w:val="20"/>
                <w:szCs w:val="20"/>
                <w:color w:val="auto"/>
              </w:rPr>
            </w:pPr>
          </w:p>
        </w:tc>
        <w:tc>
          <w:tcPr>
            <w:tcW w:w="4320" w:type="dxa"/>
            <w:vAlign w:val="bottom"/>
            <w:gridSpan w:val="4"/>
            <w:shd w:val="clear" w:color="auto" w:fill="D9EEFF"/>
          </w:tcPr>
          <w:p>
            <w:pPr>
              <w:ind w:left="80"/>
              <w:spacing w:after="0" w:line="234" w:lineRule="exact"/>
              <w:rPr>
                <w:sz w:val="20"/>
                <w:szCs w:val="20"/>
                <w:color w:val="auto"/>
              </w:rPr>
            </w:pPr>
            <w:r>
              <w:rPr>
                <w:rFonts w:ascii="Calibri" w:cs="Calibri" w:eastAsia="Calibri" w:hAnsi="Calibri"/>
                <w:sz w:val="20"/>
                <w:szCs w:val="20"/>
                <w:color w:val="auto"/>
              </w:rPr>
              <w:t>maintaining momentum during the worldwide</w:t>
            </w:r>
          </w:p>
        </w:tc>
        <w:tc>
          <w:tcPr>
            <w:tcW w:w="400" w:type="dxa"/>
            <w:vAlign w:val="bottom"/>
            <w:tcBorders>
              <w:right w:val="single" w:sz="8" w:color="005CA9"/>
            </w:tcBorders>
            <w:shd w:val="clear" w:color="auto" w:fill="D9EEFF"/>
          </w:tcPr>
          <w:p>
            <w:pPr>
              <w:spacing w:after="0"/>
              <w:rPr>
                <w:sz w:val="20"/>
                <w:szCs w:val="20"/>
                <w:color w:val="auto"/>
              </w:rPr>
            </w:pPr>
          </w:p>
        </w:tc>
      </w:tr>
      <w:tr>
        <w:trPr>
          <w:trHeight w:val="243"/>
        </w:trPr>
        <w:tc>
          <w:tcPr>
            <w:tcW w:w="1200" w:type="dxa"/>
            <w:vAlign w:val="bottom"/>
            <w:tcBorders>
              <w:left w:val="single" w:sz="8" w:color="005CA9"/>
              <w:right w:val="single" w:sz="8" w:color="005CA9"/>
            </w:tcBorders>
            <w:shd w:val="clear" w:color="auto" w:fill="D9EEFF"/>
          </w:tcPr>
          <w:p>
            <w:pPr>
              <w:spacing w:after="0"/>
              <w:rPr>
                <w:sz w:val="21"/>
                <w:szCs w:val="21"/>
                <w:color w:val="auto"/>
              </w:rPr>
            </w:pPr>
          </w:p>
        </w:tc>
        <w:tc>
          <w:tcPr>
            <w:tcW w:w="2480" w:type="dxa"/>
            <w:vAlign w:val="bottom"/>
            <w:tcBorders>
              <w:right w:val="single" w:sz="8" w:color="005CA9"/>
            </w:tcBorders>
            <w:shd w:val="clear" w:color="auto" w:fill="D9EEFF"/>
          </w:tcPr>
          <w:p>
            <w:pPr>
              <w:spacing w:after="0"/>
              <w:rPr>
                <w:sz w:val="21"/>
                <w:szCs w:val="21"/>
                <w:color w:val="auto"/>
              </w:rPr>
            </w:pPr>
          </w:p>
        </w:tc>
        <w:tc>
          <w:tcPr>
            <w:tcW w:w="580" w:type="dxa"/>
            <w:vAlign w:val="bottom"/>
            <w:shd w:val="clear" w:color="auto" w:fill="D9EEFF"/>
          </w:tcPr>
          <w:p>
            <w:pPr>
              <w:spacing w:after="0"/>
              <w:rPr>
                <w:sz w:val="21"/>
                <w:szCs w:val="21"/>
                <w:color w:val="auto"/>
              </w:rPr>
            </w:pPr>
          </w:p>
        </w:tc>
        <w:tc>
          <w:tcPr>
            <w:tcW w:w="4320" w:type="dxa"/>
            <w:vAlign w:val="bottom"/>
            <w:gridSpan w:val="4"/>
            <w:shd w:val="clear" w:color="auto" w:fill="D9EEFF"/>
          </w:tcPr>
          <w:p>
            <w:pPr>
              <w:ind w:left="80"/>
              <w:spacing w:after="0" w:line="243" w:lineRule="exact"/>
              <w:rPr>
                <w:sz w:val="20"/>
                <w:szCs w:val="20"/>
                <w:color w:val="auto"/>
              </w:rPr>
            </w:pPr>
            <w:r>
              <w:rPr>
                <w:rFonts w:ascii="Calibri" w:cs="Calibri" w:eastAsia="Calibri" w:hAnsi="Calibri"/>
                <w:sz w:val="20"/>
                <w:szCs w:val="20"/>
                <w:color w:val="auto"/>
              </w:rPr>
              <w:t>economic and supply chain issues towards the</w:t>
            </w:r>
          </w:p>
        </w:tc>
        <w:tc>
          <w:tcPr>
            <w:tcW w:w="400" w:type="dxa"/>
            <w:vAlign w:val="bottom"/>
            <w:tcBorders>
              <w:right w:val="single" w:sz="8" w:color="005CA9"/>
            </w:tcBorders>
            <w:shd w:val="clear" w:color="auto" w:fill="D9EEFF"/>
          </w:tcPr>
          <w:p>
            <w:pPr>
              <w:spacing w:after="0"/>
              <w:rPr>
                <w:sz w:val="21"/>
                <w:szCs w:val="21"/>
                <w:color w:val="auto"/>
              </w:rPr>
            </w:pPr>
          </w:p>
        </w:tc>
      </w:tr>
      <w:tr>
        <w:trPr>
          <w:trHeight w:val="243"/>
        </w:trPr>
        <w:tc>
          <w:tcPr>
            <w:tcW w:w="1200" w:type="dxa"/>
            <w:vAlign w:val="bottom"/>
            <w:tcBorders>
              <w:left w:val="single" w:sz="8" w:color="005CA9"/>
              <w:right w:val="single" w:sz="8" w:color="005CA9"/>
            </w:tcBorders>
            <w:shd w:val="clear" w:color="auto" w:fill="D9EEFF"/>
          </w:tcPr>
          <w:p>
            <w:pPr>
              <w:spacing w:after="0"/>
              <w:rPr>
                <w:sz w:val="21"/>
                <w:szCs w:val="21"/>
                <w:color w:val="auto"/>
              </w:rPr>
            </w:pPr>
          </w:p>
        </w:tc>
        <w:tc>
          <w:tcPr>
            <w:tcW w:w="2480" w:type="dxa"/>
            <w:vAlign w:val="bottom"/>
            <w:tcBorders>
              <w:right w:val="single" w:sz="8" w:color="005CA9"/>
            </w:tcBorders>
            <w:shd w:val="clear" w:color="auto" w:fill="D9EEFF"/>
          </w:tcPr>
          <w:p>
            <w:pPr>
              <w:spacing w:after="0"/>
              <w:rPr>
                <w:sz w:val="21"/>
                <w:szCs w:val="21"/>
                <w:color w:val="auto"/>
              </w:rPr>
            </w:pPr>
          </w:p>
        </w:tc>
        <w:tc>
          <w:tcPr>
            <w:tcW w:w="580" w:type="dxa"/>
            <w:vAlign w:val="bottom"/>
            <w:shd w:val="clear" w:color="auto" w:fill="D9EEFF"/>
          </w:tcPr>
          <w:p>
            <w:pPr>
              <w:spacing w:after="0"/>
              <w:rPr>
                <w:sz w:val="21"/>
                <w:szCs w:val="21"/>
                <w:color w:val="auto"/>
              </w:rPr>
            </w:pPr>
          </w:p>
        </w:tc>
        <w:tc>
          <w:tcPr>
            <w:tcW w:w="2560" w:type="dxa"/>
            <w:vAlign w:val="bottom"/>
            <w:gridSpan w:val="3"/>
            <w:shd w:val="clear" w:color="auto" w:fill="D9EEFF"/>
          </w:tcPr>
          <w:p>
            <w:pPr>
              <w:ind w:left="80"/>
              <w:spacing w:after="0" w:line="243" w:lineRule="exact"/>
              <w:rPr>
                <w:sz w:val="20"/>
                <w:szCs w:val="20"/>
                <w:color w:val="auto"/>
              </w:rPr>
            </w:pPr>
            <w:r>
              <w:rPr>
                <w:rFonts w:ascii="Calibri" w:cs="Calibri" w:eastAsia="Calibri" w:hAnsi="Calibri"/>
                <w:sz w:val="20"/>
                <w:szCs w:val="20"/>
                <w:color w:val="auto"/>
              </w:rPr>
              <w:t>Company’s goals for 2025</w:t>
            </w:r>
          </w:p>
        </w:tc>
        <w:tc>
          <w:tcPr>
            <w:tcW w:w="1760" w:type="dxa"/>
            <w:vAlign w:val="bottom"/>
            <w:shd w:val="clear" w:color="auto" w:fill="D9EEFF"/>
          </w:tcPr>
          <w:p>
            <w:pPr>
              <w:spacing w:after="0"/>
              <w:rPr>
                <w:sz w:val="21"/>
                <w:szCs w:val="21"/>
                <w:color w:val="auto"/>
              </w:rPr>
            </w:pPr>
          </w:p>
        </w:tc>
        <w:tc>
          <w:tcPr>
            <w:tcW w:w="400" w:type="dxa"/>
            <w:vAlign w:val="bottom"/>
            <w:tcBorders>
              <w:right w:val="single" w:sz="8" w:color="005CA9"/>
            </w:tcBorders>
            <w:shd w:val="clear" w:color="auto" w:fill="D9EEFF"/>
          </w:tcPr>
          <w:p>
            <w:pPr>
              <w:spacing w:after="0"/>
              <w:rPr>
                <w:sz w:val="21"/>
                <w:szCs w:val="21"/>
                <w:color w:val="auto"/>
              </w:rPr>
            </w:pPr>
          </w:p>
        </w:tc>
      </w:tr>
      <w:tr>
        <w:trPr>
          <w:trHeight w:val="373"/>
        </w:trPr>
        <w:tc>
          <w:tcPr>
            <w:tcW w:w="1200" w:type="dxa"/>
            <w:vAlign w:val="bottom"/>
            <w:tcBorders>
              <w:left w:val="single" w:sz="8" w:color="005CA9"/>
              <w:right w:val="single" w:sz="8" w:color="005CA9"/>
            </w:tcBorders>
            <w:shd w:val="clear" w:color="auto" w:fill="D9EEFF"/>
          </w:tcPr>
          <w:p>
            <w:pPr>
              <w:spacing w:after="0"/>
              <w:rPr>
                <w:sz w:val="24"/>
                <w:szCs w:val="24"/>
                <w:color w:val="auto"/>
              </w:rPr>
            </w:pPr>
          </w:p>
        </w:tc>
        <w:tc>
          <w:tcPr>
            <w:tcW w:w="2480" w:type="dxa"/>
            <w:vAlign w:val="bottom"/>
            <w:tcBorders>
              <w:right w:val="single" w:sz="8" w:color="005CA9"/>
            </w:tcBorders>
            <w:shd w:val="clear" w:color="auto" w:fill="D9EEFF"/>
          </w:tcPr>
          <w:p>
            <w:pPr>
              <w:spacing w:after="0"/>
              <w:rPr>
                <w:sz w:val="24"/>
                <w:szCs w:val="24"/>
                <w:color w:val="auto"/>
              </w:rPr>
            </w:pPr>
          </w:p>
        </w:tc>
        <w:tc>
          <w:tcPr>
            <w:tcW w:w="580" w:type="dxa"/>
            <w:vAlign w:val="bottom"/>
            <w:shd w:val="clear" w:color="auto" w:fill="D9EEFF"/>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4720" w:type="dxa"/>
            <w:vAlign w:val="bottom"/>
            <w:tcBorders>
              <w:right w:val="single" w:sz="8" w:color="005CA9"/>
            </w:tcBorders>
            <w:gridSpan w:val="5"/>
            <w:shd w:val="clear" w:color="auto" w:fill="D9EEFF"/>
          </w:tcPr>
          <w:p>
            <w:pPr>
              <w:ind w:left="80"/>
              <w:spacing w:after="0"/>
              <w:rPr>
                <w:sz w:val="20"/>
                <w:szCs w:val="20"/>
                <w:color w:val="auto"/>
              </w:rPr>
            </w:pPr>
            <w:r>
              <w:rPr>
                <w:rFonts w:ascii="Calibri" w:cs="Calibri" w:eastAsia="Calibri" w:hAnsi="Calibri"/>
                <w:sz w:val="20"/>
                <w:szCs w:val="20"/>
                <w:color w:val="auto"/>
              </w:rPr>
              <w:t>Expanding  and  improving  the  Company’s  focus  on</w:t>
            </w:r>
          </w:p>
        </w:tc>
      </w:tr>
      <w:tr>
        <w:trPr>
          <w:trHeight w:val="234"/>
        </w:trPr>
        <w:tc>
          <w:tcPr>
            <w:tcW w:w="1200" w:type="dxa"/>
            <w:vAlign w:val="bottom"/>
            <w:tcBorders>
              <w:left w:val="single" w:sz="8" w:color="005CA9"/>
              <w:right w:val="single" w:sz="8" w:color="005CA9"/>
            </w:tcBorders>
            <w:shd w:val="clear" w:color="auto" w:fill="D9EEFF"/>
          </w:tcPr>
          <w:p>
            <w:pPr>
              <w:spacing w:after="0"/>
              <w:rPr>
                <w:sz w:val="20"/>
                <w:szCs w:val="20"/>
                <w:color w:val="auto"/>
              </w:rPr>
            </w:pPr>
          </w:p>
        </w:tc>
        <w:tc>
          <w:tcPr>
            <w:tcW w:w="2480" w:type="dxa"/>
            <w:vAlign w:val="bottom"/>
            <w:tcBorders>
              <w:right w:val="single" w:sz="8" w:color="005CA9"/>
            </w:tcBorders>
            <w:shd w:val="clear" w:color="auto" w:fill="D9EEFF"/>
          </w:tcPr>
          <w:p>
            <w:pPr>
              <w:spacing w:after="0"/>
              <w:rPr>
                <w:sz w:val="20"/>
                <w:szCs w:val="20"/>
                <w:color w:val="auto"/>
              </w:rPr>
            </w:pPr>
          </w:p>
        </w:tc>
        <w:tc>
          <w:tcPr>
            <w:tcW w:w="580" w:type="dxa"/>
            <w:vAlign w:val="bottom"/>
            <w:shd w:val="clear" w:color="auto" w:fill="D9EEFF"/>
          </w:tcPr>
          <w:p>
            <w:pPr>
              <w:spacing w:after="0"/>
              <w:rPr>
                <w:sz w:val="20"/>
                <w:szCs w:val="20"/>
                <w:color w:val="auto"/>
              </w:rPr>
            </w:pPr>
          </w:p>
        </w:tc>
        <w:tc>
          <w:tcPr>
            <w:tcW w:w="4720" w:type="dxa"/>
            <w:vAlign w:val="bottom"/>
            <w:tcBorders>
              <w:right w:val="single" w:sz="8" w:color="005CA9"/>
            </w:tcBorders>
            <w:gridSpan w:val="5"/>
            <w:shd w:val="clear" w:color="auto" w:fill="D9EEFF"/>
          </w:tcPr>
          <w:p>
            <w:pPr>
              <w:ind w:left="80"/>
              <w:spacing w:after="0" w:line="234" w:lineRule="exact"/>
              <w:rPr>
                <w:sz w:val="20"/>
                <w:szCs w:val="20"/>
                <w:color w:val="auto"/>
              </w:rPr>
            </w:pPr>
            <w:r>
              <w:rPr>
                <w:rFonts w:ascii="Calibri" w:cs="Calibri" w:eastAsia="Calibri" w:hAnsi="Calibri"/>
                <w:sz w:val="20"/>
                <w:szCs w:val="20"/>
                <w:color w:val="auto"/>
              </w:rPr>
              <w:t>environmental,   social,   and   governance   related</w:t>
            </w:r>
          </w:p>
        </w:tc>
      </w:tr>
      <w:tr>
        <w:trPr>
          <w:trHeight w:val="297"/>
        </w:trPr>
        <w:tc>
          <w:tcPr>
            <w:tcW w:w="1200" w:type="dxa"/>
            <w:vAlign w:val="bottom"/>
            <w:tcBorders>
              <w:left w:val="single" w:sz="8" w:color="005CA9"/>
              <w:right w:val="single" w:sz="8" w:color="005CA9"/>
            </w:tcBorders>
            <w:shd w:val="clear" w:color="auto" w:fill="D9EEFF"/>
          </w:tcPr>
          <w:p>
            <w:pPr>
              <w:jc w:val="right"/>
              <w:ind w:right="341"/>
              <w:spacing w:after="0"/>
              <w:rPr>
                <w:sz w:val="20"/>
                <w:szCs w:val="20"/>
                <w:color w:val="auto"/>
              </w:rPr>
            </w:pPr>
            <w:r>
              <w:rPr>
                <w:rFonts w:ascii="Calibri" w:cs="Calibri" w:eastAsia="Calibri" w:hAnsi="Calibri"/>
                <w:sz w:val="20"/>
                <w:szCs w:val="20"/>
                <w:color w:val="auto"/>
              </w:rPr>
              <w:t>20%</w:t>
            </w:r>
          </w:p>
        </w:tc>
        <w:tc>
          <w:tcPr>
            <w:tcW w:w="2480" w:type="dxa"/>
            <w:vAlign w:val="bottom"/>
            <w:tcBorders>
              <w:right w:val="single" w:sz="8" w:color="005CA9"/>
            </w:tcBorders>
            <w:shd w:val="clear" w:color="auto" w:fill="D9EEFF"/>
          </w:tcPr>
          <w:p>
            <w:pPr>
              <w:jc w:val="center"/>
              <w:spacing w:after="0"/>
              <w:rPr>
                <w:sz w:val="20"/>
                <w:szCs w:val="20"/>
                <w:color w:val="auto"/>
              </w:rPr>
            </w:pPr>
            <w:r>
              <w:rPr>
                <w:rFonts w:ascii="Calibri" w:cs="Calibri" w:eastAsia="Calibri" w:hAnsi="Calibri"/>
                <w:sz w:val="20"/>
                <w:szCs w:val="20"/>
                <w:color w:val="auto"/>
              </w:rPr>
              <w:t>Strategic Priorites</w:t>
            </w:r>
          </w:p>
        </w:tc>
        <w:tc>
          <w:tcPr>
            <w:tcW w:w="580" w:type="dxa"/>
            <w:vAlign w:val="bottom"/>
            <w:shd w:val="clear" w:color="auto" w:fill="D9EEFF"/>
          </w:tcPr>
          <w:p>
            <w:pPr>
              <w:spacing w:after="0"/>
              <w:rPr>
                <w:sz w:val="24"/>
                <w:szCs w:val="24"/>
                <w:color w:val="auto"/>
              </w:rPr>
            </w:pPr>
          </w:p>
        </w:tc>
        <w:tc>
          <w:tcPr>
            <w:tcW w:w="2560" w:type="dxa"/>
            <w:vAlign w:val="bottom"/>
            <w:gridSpan w:val="3"/>
            <w:shd w:val="clear" w:color="auto" w:fill="D9EEFF"/>
          </w:tcPr>
          <w:p>
            <w:pPr>
              <w:ind w:left="80"/>
              <w:spacing w:after="0" w:line="243" w:lineRule="exact"/>
              <w:rPr>
                <w:sz w:val="20"/>
                <w:szCs w:val="20"/>
                <w:color w:val="auto"/>
              </w:rPr>
            </w:pPr>
            <w:r>
              <w:rPr>
                <w:rFonts w:ascii="Calibri" w:cs="Calibri" w:eastAsia="Calibri" w:hAnsi="Calibri"/>
                <w:sz w:val="20"/>
                <w:szCs w:val="20"/>
                <w:color w:val="auto"/>
              </w:rPr>
              <w:t>actvites and reportng</w:t>
            </w:r>
          </w:p>
        </w:tc>
        <w:tc>
          <w:tcPr>
            <w:tcW w:w="1760" w:type="dxa"/>
            <w:vAlign w:val="bottom"/>
            <w:shd w:val="clear" w:color="auto" w:fill="D9EEFF"/>
          </w:tcPr>
          <w:p>
            <w:pPr>
              <w:spacing w:after="0"/>
              <w:rPr>
                <w:sz w:val="24"/>
                <w:szCs w:val="24"/>
                <w:color w:val="auto"/>
              </w:rPr>
            </w:pPr>
          </w:p>
        </w:tc>
        <w:tc>
          <w:tcPr>
            <w:tcW w:w="400" w:type="dxa"/>
            <w:vAlign w:val="bottom"/>
            <w:tcBorders>
              <w:right w:val="single" w:sz="8" w:color="005CA9"/>
            </w:tcBorders>
            <w:shd w:val="clear" w:color="auto" w:fill="D9EEFF"/>
          </w:tcPr>
          <w:p>
            <w:pPr>
              <w:spacing w:after="0"/>
              <w:rPr>
                <w:sz w:val="24"/>
                <w:szCs w:val="24"/>
                <w:color w:val="auto"/>
              </w:rPr>
            </w:pPr>
          </w:p>
        </w:tc>
      </w:tr>
      <w:tr>
        <w:trPr>
          <w:trHeight w:val="319"/>
        </w:trPr>
        <w:tc>
          <w:tcPr>
            <w:tcW w:w="1200" w:type="dxa"/>
            <w:vAlign w:val="bottom"/>
            <w:tcBorders>
              <w:left w:val="single" w:sz="8" w:color="005CA9"/>
              <w:right w:val="single" w:sz="8" w:color="005CA9"/>
            </w:tcBorders>
            <w:shd w:val="clear" w:color="auto" w:fill="D9EEFF"/>
          </w:tcPr>
          <w:p>
            <w:pPr>
              <w:spacing w:after="0"/>
              <w:rPr>
                <w:sz w:val="24"/>
                <w:szCs w:val="24"/>
                <w:color w:val="auto"/>
              </w:rPr>
            </w:pPr>
          </w:p>
        </w:tc>
        <w:tc>
          <w:tcPr>
            <w:tcW w:w="2480" w:type="dxa"/>
            <w:vAlign w:val="bottom"/>
            <w:tcBorders>
              <w:right w:val="single" w:sz="8" w:color="005CA9"/>
            </w:tcBorders>
            <w:shd w:val="clear" w:color="auto" w:fill="D9EEFF"/>
          </w:tcPr>
          <w:p>
            <w:pPr>
              <w:spacing w:after="0"/>
              <w:rPr>
                <w:sz w:val="24"/>
                <w:szCs w:val="24"/>
                <w:color w:val="auto"/>
              </w:rPr>
            </w:pPr>
          </w:p>
        </w:tc>
        <w:tc>
          <w:tcPr>
            <w:tcW w:w="1560" w:type="dxa"/>
            <w:vAlign w:val="bottom"/>
            <w:gridSpan w:val="2"/>
            <w:shd w:val="clear" w:color="auto" w:fill="D9EEFF"/>
          </w:tcPr>
          <w:p>
            <w:pPr>
              <w:ind w:left="440"/>
              <w:spacing w:after="0"/>
              <w:rPr>
                <w:sz w:val="20"/>
                <w:szCs w:val="20"/>
                <w:color w:val="auto"/>
              </w:rPr>
            </w:pPr>
            <w:r>
              <w:rPr>
                <w:rFonts w:ascii="Times New Roman" w:cs="Times New Roman" w:eastAsia="Times New Roman" w:hAnsi="Times New Roman"/>
                <w:sz w:val="20"/>
                <w:szCs w:val="20"/>
                <w:color w:val="auto"/>
              </w:rPr>
              <w:t xml:space="preserve">•  </w:t>
            </w:r>
            <w:r>
              <w:rPr>
                <w:rFonts w:ascii="Calibri" w:cs="Calibri" w:eastAsia="Calibri" w:hAnsi="Calibri"/>
                <w:sz w:val="20"/>
                <w:szCs w:val="20"/>
                <w:color w:val="auto"/>
              </w:rPr>
              <w:t>Ramping</w:t>
            </w:r>
          </w:p>
        </w:tc>
        <w:tc>
          <w:tcPr>
            <w:tcW w:w="3340" w:type="dxa"/>
            <w:vAlign w:val="bottom"/>
            <w:gridSpan w:val="3"/>
            <w:shd w:val="clear" w:color="auto" w:fill="D9EEFF"/>
          </w:tcPr>
          <w:p>
            <w:pPr>
              <w:ind w:left="20"/>
              <w:spacing w:after="0"/>
              <w:rPr>
                <w:sz w:val="20"/>
                <w:szCs w:val="20"/>
                <w:color w:val="auto"/>
              </w:rPr>
            </w:pPr>
            <w:r>
              <w:rPr>
                <w:rFonts w:ascii="Calibri" w:cs="Calibri" w:eastAsia="Calibri" w:hAnsi="Calibri"/>
                <w:sz w:val="20"/>
                <w:szCs w:val="20"/>
                <w:color w:val="auto"/>
              </w:rPr>
              <w:t>up  Diodes  product  producton  in</w:t>
            </w:r>
          </w:p>
        </w:tc>
        <w:tc>
          <w:tcPr>
            <w:tcW w:w="400" w:type="dxa"/>
            <w:vAlign w:val="bottom"/>
            <w:tcBorders>
              <w:right w:val="single" w:sz="8" w:color="005CA9"/>
            </w:tcBorders>
            <w:shd w:val="clear" w:color="auto" w:fill="D9EEFF"/>
          </w:tcPr>
          <w:p>
            <w:pPr>
              <w:jc w:val="right"/>
              <w:spacing w:after="0"/>
              <w:rPr>
                <w:sz w:val="20"/>
                <w:szCs w:val="20"/>
                <w:color w:val="auto"/>
              </w:rPr>
            </w:pPr>
            <w:r>
              <w:rPr>
                <w:rFonts w:ascii="Calibri" w:cs="Calibri" w:eastAsia="Calibri" w:hAnsi="Calibri"/>
                <w:sz w:val="20"/>
                <w:szCs w:val="20"/>
                <w:color w:val="auto"/>
              </w:rPr>
              <w:t>the</w:t>
            </w:r>
          </w:p>
        </w:tc>
      </w:tr>
      <w:tr>
        <w:trPr>
          <w:trHeight w:val="234"/>
        </w:trPr>
        <w:tc>
          <w:tcPr>
            <w:tcW w:w="1200" w:type="dxa"/>
            <w:vAlign w:val="bottom"/>
            <w:tcBorders>
              <w:left w:val="single" w:sz="8" w:color="005CA9"/>
              <w:right w:val="single" w:sz="8" w:color="005CA9"/>
            </w:tcBorders>
            <w:shd w:val="clear" w:color="auto" w:fill="D9EEFF"/>
          </w:tcPr>
          <w:p>
            <w:pPr>
              <w:spacing w:after="0"/>
              <w:rPr>
                <w:sz w:val="20"/>
                <w:szCs w:val="20"/>
                <w:color w:val="auto"/>
              </w:rPr>
            </w:pPr>
          </w:p>
        </w:tc>
        <w:tc>
          <w:tcPr>
            <w:tcW w:w="2480" w:type="dxa"/>
            <w:vAlign w:val="bottom"/>
            <w:tcBorders>
              <w:right w:val="single" w:sz="8" w:color="005CA9"/>
            </w:tcBorders>
            <w:shd w:val="clear" w:color="auto" w:fill="D9EEFF"/>
          </w:tcPr>
          <w:p>
            <w:pPr>
              <w:spacing w:after="0"/>
              <w:rPr>
                <w:sz w:val="20"/>
                <w:szCs w:val="20"/>
                <w:color w:val="auto"/>
              </w:rPr>
            </w:pPr>
          </w:p>
        </w:tc>
        <w:tc>
          <w:tcPr>
            <w:tcW w:w="580" w:type="dxa"/>
            <w:vAlign w:val="bottom"/>
            <w:shd w:val="clear" w:color="auto" w:fill="D9EEFF"/>
          </w:tcPr>
          <w:p>
            <w:pPr>
              <w:spacing w:after="0"/>
              <w:rPr>
                <w:sz w:val="20"/>
                <w:szCs w:val="20"/>
                <w:color w:val="auto"/>
              </w:rPr>
            </w:pPr>
          </w:p>
        </w:tc>
        <w:tc>
          <w:tcPr>
            <w:tcW w:w="4720" w:type="dxa"/>
            <w:vAlign w:val="bottom"/>
            <w:tcBorders>
              <w:right w:val="single" w:sz="8" w:color="005CA9"/>
            </w:tcBorders>
            <w:gridSpan w:val="5"/>
            <w:shd w:val="clear" w:color="auto" w:fill="D9EEFF"/>
          </w:tcPr>
          <w:p>
            <w:pPr>
              <w:ind w:left="80"/>
              <w:spacing w:after="0" w:line="234" w:lineRule="exact"/>
              <w:rPr>
                <w:sz w:val="20"/>
                <w:szCs w:val="20"/>
                <w:color w:val="auto"/>
              </w:rPr>
            </w:pPr>
            <w:r>
              <w:rPr>
                <w:rFonts w:ascii="Calibri" w:cs="Calibri" w:eastAsia="Calibri" w:hAnsi="Calibri"/>
                <w:sz w:val="20"/>
                <w:szCs w:val="20"/>
                <w:color w:val="auto"/>
              </w:rPr>
              <w:t>Company’s newer wafer fabricaton facility in South</w:t>
            </w:r>
          </w:p>
        </w:tc>
      </w:tr>
      <w:tr>
        <w:trPr>
          <w:trHeight w:val="243"/>
        </w:trPr>
        <w:tc>
          <w:tcPr>
            <w:tcW w:w="1200" w:type="dxa"/>
            <w:vAlign w:val="bottom"/>
            <w:tcBorders>
              <w:left w:val="single" w:sz="8" w:color="005CA9"/>
              <w:right w:val="single" w:sz="8" w:color="005CA9"/>
            </w:tcBorders>
            <w:shd w:val="clear" w:color="auto" w:fill="D9EEFF"/>
          </w:tcPr>
          <w:p>
            <w:pPr>
              <w:spacing w:after="0"/>
              <w:rPr>
                <w:sz w:val="21"/>
                <w:szCs w:val="21"/>
                <w:color w:val="auto"/>
              </w:rPr>
            </w:pPr>
          </w:p>
        </w:tc>
        <w:tc>
          <w:tcPr>
            <w:tcW w:w="2480" w:type="dxa"/>
            <w:vAlign w:val="bottom"/>
            <w:tcBorders>
              <w:right w:val="single" w:sz="8" w:color="005CA9"/>
            </w:tcBorders>
            <w:shd w:val="clear" w:color="auto" w:fill="D9EEFF"/>
          </w:tcPr>
          <w:p>
            <w:pPr>
              <w:spacing w:after="0"/>
              <w:rPr>
                <w:sz w:val="21"/>
                <w:szCs w:val="21"/>
                <w:color w:val="auto"/>
              </w:rPr>
            </w:pPr>
          </w:p>
        </w:tc>
        <w:tc>
          <w:tcPr>
            <w:tcW w:w="580" w:type="dxa"/>
            <w:vAlign w:val="bottom"/>
            <w:shd w:val="clear" w:color="auto" w:fill="D9EEFF"/>
          </w:tcPr>
          <w:p>
            <w:pPr>
              <w:spacing w:after="0"/>
              <w:rPr>
                <w:sz w:val="21"/>
                <w:szCs w:val="21"/>
                <w:color w:val="auto"/>
              </w:rPr>
            </w:pPr>
          </w:p>
        </w:tc>
        <w:tc>
          <w:tcPr>
            <w:tcW w:w="4720" w:type="dxa"/>
            <w:vAlign w:val="bottom"/>
            <w:tcBorders>
              <w:right w:val="single" w:sz="8" w:color="005CA9"/>
            </w:tcBorders>
            <w:gridSpan w:val="5"/>
            <w:shd w:val="clear" w:color="auto" w:fill="D9EEFF"/>
          </w:tcPr>
          <w:p>
            <w:pPr>
              <w:ind w:left="80"/>
              <w:spacing w:after="0" w:line="243" w:lineRule="exact"/>
              <w:rPr>
                <w:sz w:val="20"/>
                <w:szCs w:val="20"/>
                <w:color w:val="auto"/>
              </w:rPr>
            </w:pPr>
            <w:r>
              <w:rPr>
                <w:rFonts w:ascii="Calibri" w:cs="Calibri" w:eastAsia="Calibri" w:hAnsi="Calibri"/>
                <w:sz w:val="20"/>
                <w:szCs w:val="20"/>
                <w:color w:val="auto"/>
              </w:rPr>
              <w:t>Portland,  Maine  as  non-Diodes  product  producton</w:t>
            </w:r>
          </w:p>
        </w:tc>
      </w:tr>
      <w:tr>
        <w:trPr>
          <w:trHeight w:val="243"/>
        </w:trPr>
        <w:tc>
          <w:tcPr>
            <w:tcW w:w="1200" w:type="dxa"/>
            <w:vAlign w:val="bottom"/>
            <w:tcBorders>
              <w:left w:val="single" w:sz="8" w:color="005CA9"/>
              <w:right w:val="single" w:sz="8" w:color="005CA9"/>
            </w:tcBorders>
            <w:shd w:val="clear" w:color="auto" w:fill="D9EEFF"/>
          </w:tcPr>
          <w:p>
            <w:pPr>
              <w:spacing w:after="0"/>
              <w:rPr>
                <w:sz w:val="21"/>
                <w:szCs w:val="21"/>
                <w:color w:val="auto"/>
              </w:rPr>
            </w:pPr>
          </w:p>
        </w:tc>
        <w:tc>
          <w:tcPr>
            <w:tcW w:w="2480" w:type="dxa"/>
            <w:vAlign w:val="bottom"/>
            <w:tcBorders>
              <w:right w:val="single" w:sz="8" w:color="005CA9"/>
            </w:tcBorders>
            <w:shd w:val="clear" w:color="auto" w:fill="D9EEFF"/>
          </w:tcPr>
          <w:p>
            <w:pPr>
              <w:spacing w:after="0"/>
              <w:rPr>
                <w:sz w:val="21"/>
                <w:szCs w:val="21"/>
                <w:color w:val="auto"/>
              </w:rPr>
            </w:pPr>
          </w:p>
        </w:tc>
        <w:tc>
          <w:tcPr>
            <w:tcW w:w="580" w:type="dxa"/>
            <w:vAlign w:val="bottom"/>
            <w:shd w:val="clear" w:color="auto" w:fill="D9EEFF"/>
          </w:tcPr>
          <w:p>
            <w:pPr>
              <w:spacing w:after="0"/>
              <w:rPr>
                <w:sz w:val="21"/>
                <w:szCs w:val="21"/>
                <w:color w:val="auto"/>
              </w:rPr>
            </w:pPr>
          </w:p>
        </w:tc>
        <w:tc>
          <w:tcPr>
            <w:tcW w:w="1480" w:type="dxa"/>
            <w:vAlign w:val="bottom"/>
            <w:gridSpan w:val="2"/>
            <w:shd w:val="clear" w:color="auto" w:fill="D9EEFF"/>
          </w:tcPr>
          <w:p>
            <w:pPr>
              <w:ind w:left="80"/>
              <w:spacing w:after="0" w:line="243" w:lineRule="exact"/>
              <w:rPr>
                <w:sz w:val="20"/>
                <w:szCs w:val="20"/>
                <w:color w:val="auto"/>
              </w:rPr>
            </w:pPr>
            <w:r>
              <w:rPr>
                <w:rFonts w:ascii="Calibri" w:cs="Calibri" w:eastAsia="Calibri" w:hAnsi="Calibri"/>
                <w:sz w:val="20"/>
                <w:szCs w:val="20"/>
                <w:color w:val="auto"/>
              </w:rPr>
              <w:t>winds down</w:t>
            </w:r>
          </w:p>
        </w:tc>
        <w:tc>
          <w:tcPr>
            <w:tcW w:w="1080" w:type="dxa"/>
            <w:vAlign w:val="bottom"/>
            <w:shd w:val="clear" w:color="auto" w:fill="D9EEFF"/>
          </w:tcPr>
          <w:p>
            <w:pPr>
              <w:spacing w:after="0"/>
              <w:rPr>
                <w:sz w:val="21"/>
                <w:szCs w:val="21"/>
                <w:color w:val="auto"/>
              </w:rPr>
            </w:pPr>
          </w:p>
        </w:tc>
        <w:tc>
          <w:tcPr>
            <w:tcW w:w="1760" w:type="dxa"/>
            <w:vAlign w:val="bottom"/>
            <w:shd w:val="clear" w:color="auto" w:fill="D9EEFF"/>
          </w:tcPr>
          <w:p>
            <w:pPr>
              <w:spacing w:after="0"/>
              <w:rPr>
                <w:sz w:val="21"/>
                <w:szCs w:val="21"/>
                <w:color w:val="auto"/>
              </w:rPr>
            </w:pPr>
          </w:p>
        </w:tc>
        <w:tc>
          <w:tcPr>
            <w:tcW w:w="400" w:type="dxa"/>
            <w:vAlign w:val="bottom"/>
            <w:tcBorders>
              <w:right w:val="single" w:sz="8" w:color="005CA9"/>
            </w:tcBorders>
            <w:shd w:val="clear" w:color="auto" w:fill="D9EEFF"/>
          </w:tcPr>
          <w:p>
            <w:pPr>
              <w:spacing w:after="0"/>
              <w:rPr>
                <w:sz w:val="21"/>
                <w:szCs w:val="21"/>
                <w:color w:val="auto"/>
              </w:rPr>
            </w:pPr>
          </w:p>
        </w:tc>
      </w:tr>
      <w:tr>
        <w:trPr>
          <w:trHeight w:val="373"/>
        </w:trPr>
        <w:tc>
          <w:tcPr>
            <w:tcW w:w="1200" w:type="dxa"/>
            <w:vAlign w:val="bottom"/>
            <w:tcBorders>
              <w:left w:val="single" w:sz="8" w:color="005CA9"/>
              <w:right w:val="single" w:sz="8" w:color="005CA9"/>
            </w:tcBorders>
            <w:shd w:val="clear" w:color="auto" w:fill="D9EEFF"/>
          </w:tcPr>
          <w:p>
            <w:pPr>
              <w:spacing w:after="0"/>
              <w:rPr>
                <w:sz w:val="24"/>
                <w:szCs w:val="24"/>
                <w:color w:val="auto"/>
              </w:rPr>
            </w:pPr>
          </w:p>
        </w:tc>
        <w:tc>
          <w:tcPr>
            <w:tcW w:w="2480" w:type="dxa"/>
            <w:vAlign w:val="bottom"/>
            <w:tcBorders>
              <w:right w:val="single" w:sz="8" w:color="005CA9"/>
            </w:tcBorders>
            <w:shd w:val="clear" w:color="auto" w:fill="D9EEFF"/>
          </w:tcPr>
          <w:p>
            <w:pPr>
              <w:spacing w:after="0"/>
              <w:rPr>
                <w:sz w:val="24"/>
                <w:szCs w:val="24"/>
                <w:color w:val="auto"/>
              </w:rPr>
            </w:pPr>
          </w:p>
        </w:tc>
        <w:tc>
          <w:tcPr>
            <w:tcW w:w="1560" w:type="dxa"/>
            <w:vAlign w:val="bottom"/>
            <w:gridSpan w:val="2"/>
            <w:shd w:val="clear" w:color="auto" w:fill="D9EEFF"/>
          </w:tcPr>
          <w:p>
            <w:pPr>
              <w:ind w:left="440"/>
              <w:spacing w:after="0"/>
              <w:rPr>
                <w:sz w:val="20"/>
                <w:szCs w:val="20"/>
                <w:color w:val="auto"/>
              </w:rPr>
            </w:pPr>
            <w:r>
              <w:rPr>
                <w:rFonts w:ascii="Times New Roman" w:cs="Times New Roman" w:eastAsia="Times New Roman" w:hAnsi="Times New Roman"/>
                <w:sz w:val="20"/>
                <w:szCs w:val="20"/>
                <w:color w:val="auto"/>
              </w:rPr>
              <w:t xml:space="preserve">•  </w:t>
            </w:r>
            <w:r>
              <w:rPr>
                <w:rFonts w:ascii="Calibri" w:cs="Calibri" w:eastAsia="Calibri" w:hAnsi="Calibri"/>
                <w:sz w:val="20"/>
                <w:szCs w:val="20"/>
                <w:color w:val="auto"/>
              </w:rPr>
              <w:t>Reducing</w:t>
            </w:r>
          </w:p>
        </w:tc>
        <w:tc>
          <w:tcPr>
            <w:tcW w:w="500" w:type="dxa"/>
            <w:vAlign w:val="bottom"/>
            <w:shd w:val="clear" w:color="auto" w:fill="D9EEFF"/>
          </w:tcPr>
          <w:p>
            <w:pPr>
              <w:ind w:left="60"/>
              <w:spacing w:after="0"/>
              <w:rPr>
                <w:sz w:val="20"/>
                <w:szCs w:val="20"/>
                <w:color w:val="auto"/>
              </w:rPr>
            </w:pPr>
            <w:r>
              <w:rPr>
                <w:rFonts w:ascii="Calibri" w:cs="Calibri" w:eastAsia="Calibri" w:hAnsi="Calibri"/>
                <w:sz w:val="20"/>
                <w:szCs w:val="20"/>
                <w:color w:val="auto"/>
              </w:rPr>
              <w:t>the</w:t>
            </w:r>
          </w:p>
        </w:tc>
        <w:tc>
          <w:tcPr>
            <w:tcW w:w="1080" w:type="dxa"/>
            <w:vAlign w:val="bottom"/>
            <w:shd w:val="clear" w:color="auto" w:fill="D9EEFF"/>
          </w:tcPr>
          <w:p>
            <w:pPr>
              <w:jc w:val="right"/>
              <w:ind w:right="41"/>
              <w:spacing w:after="0"/>
              <w:rPr>
                <w:sz w:val="20"/>
                <w:szCs w:val="20"/>
                <w:color w:val="auto"/>
              </w:rPr>
            </w:pPr>
            <w:r>
              <w:rPr>
                <w:rFonts w:ascii="Calibri" w:cs="Calibri" w:eastAsia="Calibri" w:hAnsi="Calibri"/>
                <w:sz w:val="20"/>
                <w:szCs w:val="20"/>
                <w:color w:val="auto"/>
              </w:rPr>
              <w:t>Company’s</w:t>
            </w:r>
          </w:p>
        </w:tc>
        <w:tc>
          <w:tcPr>
            <w:tcW w:w="1760" w:type="dxa"/>
            <w:vAlign w:val="bottom"/>
            <w:shd w:val="clear" w:color="auto" w:fill="D9EEFF"/>
          </w:tcPr>
          <w:p>
            <w:pPr>
              <w:ind w:left="60"/>
              <w:spacing w:after="0"/>
              <w:rPr>
                <w:sz w:val="20"/>
                <w:szCs w:val="20"/>
                <w:color w:val="auto"/>
              </w:rPr>
            </w:pPr>
            <w:r>
              <w:rPr>
                <w:rFonts w:ascii="Calibri" w:cs="Calibri" w:eastAsia="Calibri" w:hAnsi="Calibri"/>
                <w:sz w:val="20"/>
                <w:szCs w:val="20"/>
                <w:color w:val="auto"/>
              </w:rPr>
              <w:t>dependence  upon</w:t>
            </w:r>
          </w:p>
        </w:tc>
        <w:tc>
          <w:tcPr>
            <w:tcW w:w="400" w:type="dxa"/>
            <w:vAlign w:val="bottom"/>
            <w:tcBorders>
              <w:right w:val="single" w:sz="8" w:color="005CA9"/>
            </w:tcBorders>
            <w:shd w:val="clear" w:color="auto" w:fill="D9EEFF"/>
          </w:tcPr>
          <w:p>
            <w:pPr>
              <w:jc w:val="right"/>
              <w:spacing w:after="0"/>
              <w:rPr>
                <w:sz w:val="20"/>
                <w:szCs w:val="20"/>
                <w:color w:val="auto"/>
              </w:rPr>
            </w:pPr>
            <w:r>
              <w:rPr>
                <w:rFonts w:ascii="Calibri" w:cs="Calibri" w:eastAsia="Calibri" w:hAnsi="Calibri"/>
                <w:sz w:val="20"/>
                <w:szCs w:val="20"/>
                <w:color w:val="auto"/>
              </w:rPr>
              <w:t>its</w:t>
            </w:r>
          </w:p>
        </w:tc>
      </w:tr>
      <w:tr>
        <w:trPr>
          <w:trHeight w:val="234"/>
        </w:trPr>
        <w:tc>
          <w:tcPr>
            <w:tcW w:w="1200" w:type="dxa"/>
            <w:vAlign w:val="bottom"/>
            <w:tcBorders>
              <w:left w:val="single" w:sz="8" w:color="005CA9"/>
              <w:right w:val="single" w:sz="8" w:color="005CA9"/>
            </w:tcBorders>
            <w:shd w:val="clear" w:color="auto" w:fill="D9EEFF"/>
          </w:tcPr>
          <w:p>
            <w:pPr>
              <w:spacing w:after="0"/>
              <w:rPr>
                <w:sz w:val="20"/>
                <w:szCs w:val="20"/>
                <w:color w:val="auto"/>
              </w:rPr>
            </w:pPr>
          </w:p>
        </w:tc>
        <w:tc>
          <w:tcPr>
            <w:tcW w:w="2480" w:type="dxa"/>
            <w:vAlign w:val="bottom"/>
            <w:tcBorders>
              <w:right w:val="single" w:sz="8" w:color="005CA9"/>
            </w:tcBorders>
            <w:shd w:val="clear" w:color="auto" w:fill="D9EEFF"/>
          </w:tcPr>
          <w:p>
            <w:pPr>
              <w:spacing w:after="0"/>
              <w:rPr>
                <w:sz w:val="20"/>
                <w:szCs w:val="20"/>
                <w:color w:val="auto"/>
              </w:rPr>
            </w:pPr>
          </w:p>
        </w:tc>
        <w:tc>
          <w:tcPr>
            <w:tcW w:w="580" w:type="dxa"/>
            <w:vAlign w:val="bottom"/>
            <w:shd w:val="clear" w:color="auto" w:fill="D9EEFF"/>
          </w:tcPr>
          <w:p>
            <w:pPr>
              <w:spacing w:after="0"/>
              <w:rPr>
                <w:sz w:val="20"/>
                <w:szCs w:val="20"/>
                <w:color w:val="auto"/>
              </w:rPr>
            </w:pPr>
          </w:p>
        </w:tc>
        <w:tc>
          <w:tcPr>
            <w:tcW w:w="4320" w:type="dxa"/>
            <w:vAlign w:val="bottom"/>
            <w:gridSpan w:val="4"/>
            <w:shd w:val="clear" w:color="auto" w:fill="D9EEFF"/>
          </w:tcPr>
          <w:p>
            <w:pPr>
              <w:ind w:left="80"/>
              <w:spacing w:after="0" w:line="234" w:lineRule="exact"/>
              <w:rPr>
                <w:sz w:val="20"/>
                <w:szCs w:val="20"/>
                <w:color w:val="auto"/>
              </w:rPr>
            </w:pPr>
            <w:r>
              <w:rPr>
                <w:rFonts w:ascii="Calibri" w:cs="Calibri" w:eastAsia="Calibri" w:hAnsi="Calibri"/>
                <w:sz w:val="20"/>
                <w:szCs w:val="20"/>
                <w:color w:val="auto"/>
              </w:rPr>
              <w:t>assembly test facilites in China</w:t>
            </w:r>
          </w:p>
        </w:tc>
        <w:tc>
          <w:tcPr>
            <w:tcW w:w="400" w:type="dxa"/>
            <w:vAlign w:val="bottom"/>
            <w:tcBorders>
              <w:right w:val="single" w:sz="8" w:color="005CA9"/>
            </w:tcBorders>
            <w:shd w:val="clear" w:color="auto" w:fill="D9EEFF"/>
          </w:tcPr>
          <w:p>
            <w:pPr>
              <w:spacing w:after="0"/>
              <w:rPr>
                <w:sz w:val="20"/>
                <w:szCs w:val="20"/>
                <w:color w:val="auto"/>
              </w:rPr>
            </w:pPr>
          </w:p>
        </w:tc>
      </w:tr>
      <w:tr>
        <w:trPr>
          <w:trHeight w:val="373"/>
        </w:trPr>
        <w:tc>
          <w:tcPr>
            <w:tcW w:w="1200" w:type="dxa"/>
            <w:vAlign w:val="bottom"/>
            <w:tcBorders>
              <w:left w:val="single" w:sz="8" w:color="005CA9"/>
              <w:right w:val="single" w:sz="8" w:color="005CA9"/>
            </w:tcBorders>
            <w:shd w:val="clear" w:color="auto" w:fill="D9EEFF"/>
          </w:tcPr>
          <w:p>
            <w:pPr>
              <w:spacing w:after="0"/>
              <w:rPr>
                <w:sz w:val="24"/>
                <w:szCs w:val="24"/>
                <w:color w:val="auto"/>
              </w:rPr>
            </w:pPr>
          </w:p>
        </w:tc>
        <w:tc>
          <w:tcPr>
            <w:tcW w:w="2480" w:type="dxa"/>
            <w:vAlign w:val="bottom"/>
            <w:tcBorders>
              <w:right w:val="single" w:sz="8" w:color="005CA9"/>
            </w:tcBorders>
            <w:shd w:val="clear" w:color="auto" w:fill="D9EEFF"/>
          </w:tcPr>
          <w:p>
            <w:pPr>
              <w:spacing w:after="0"/>
              <w:rPr>
                <w:sz w:val="24"/>
                <w:szCs w:val="24"/>
                <w:color w:val="auto"/>
              </w:rPr>
            </w:pPr>
          </w:p>
        </w:tc>
        <w:tc>
          <w:tcPr>
            <w:tcW w:w="1560" w:type="dxa"/>
            <w:vAlign w:val="bottom"/>
            <w:gridSpan w:val="2"/>
            <w:shd w:val="clear" w:color="auto" w:fill="D9EEFF"/>
          </w:tcPr>
          <w:p>
            <w:pPr>
              <w:ind w:left="440"/>
              <w:spacing w:after="0"/>
              <w:rPr>
                <w:sz w:val="20"/>
                <w:szCs w:val="20"/>
                <w:color w:val="auto"/>
              </w:rPr>
            </w:pPr>
            <w:r>
              <w:rPr>
                <w:rFonts w:ascii="Times New Roman" w:cs="Times New Roman" w:eastAsia="Times New Roman" w:hAnsi="Times New Roman"/>
                <w:sz w:val="20"/>
                <w:szCs w:val="20"/>
                <w:color w:val="auto"/>
              </w:rPr>
              <w:t xml:space="preserve">•  </w:t>
            </w:r>
            <w:r>
              <w:rPr>
                <w:rFonts w:ascii="Calibri" w:cs="Calibri" w:eastAsia="Calibri" w:hAnsi="Calibri"/>
                <w:sz w:val="20"/>
                <w:szCs w:val="20"/>
                <w:color w:val="auto"/>
              </w:rPr>
              <w:t>Identfying</w:t>
            </w:r>
          </w:p>
        </w:tc>
        <w:tc>
          <w:tcPr>
            <w:tcW w:w="500" w:type="dxa"/>
            <w:vAlign w:val="bottom"/>
            <w:shd w:val="clear" w:color="auto" w:fill="D9EEFF"/>
          </w:tcPr>
          <w:p>
            <w:pPr>
              <w:ind w:left="160"/>
              <w:spacing w:after="0"/>
              <w:rPr>
                <w:sz w:val="20"/>
                <w:szCs w:val="20"/>
                <w:color w:val="auto"/>
              </w:rPr>
            </w:pPr>
            <w:r>
              <w:rPr>
                <w:rFonts w:ascii="Calibri" w:cs="Calibri" w:eastAsia="Calibri" w:hAnsi="Calibri"/>
                <w:sz w:val="20"/>
                <w:szCs w:val="20"/>
                <w:color w:val="auto"/>
              </w:rPr>
              <w:t>and</w:t>
            </w:r>
          </w:p>
        </w:tc>
        <w:tc>
          <w:tcPr>
            <w:tcW w:w="1080" w:type="dxa"/>
            <w:vAlign w:val="bottom"/>
            <w:shd w:val="clear" w:color="auto" w:fill="D9EEFF"/>
          </w:tcPr>
          <w:p>
            <w:pPr>
              <w:jc w:val="right"/>
              <w:ind w:right="41"/>
              <w:spacing w:after="0"/>
              <w:rPr>
                <w:sz w:val="20"/>
                <w:szCs w:val="20"/>
                <w:color w:val="auto"/>
              </w:rPr>
            </w:pPr>
            <w:r>
              <w:rPr>
                <w:rFonts w:ascii="Calibri" w:cs="Calibri" w:eastAsia="Calibri" w:hAnsi="Calibri"/>
                <w:sz w:val="20"/>
                <w:szCs w:val="20"/>
                <w:color w:val="auto"/>
              </w:rPr>
              <w:t>executng</w:t>
            </w:r>
          </w:p>
        </w:tc>
        <w:tc>
          <w:tcPr>
            <w:tcW w:w="1760" w:type="dxa"/>
            <w:vAlign w:val="bottom"/>
            <w:shd w:val="clear" w:color="auto" w:fill="D9EEFF"/>
          </w:tcPr>
          <w:p>
            <w:pPr>
              <w:ind w:left="40"/>
              <w:spacing w:after="0"/>
              <w:rPr>
                <w:sz w:val="20"/>
                <w:szCs w:val="20"/>
                <w:color w:val="auto"/>
              </w:rPr>
            </w:pPr>
            <w:r>
              <w:rPr>
                <w:rFonts w:ascii="Calibri" w:cs="Calibri" w:eastAsia="Calibri" w:hAnsi="Calibri"/>
                <w:sz w:val="20"/>
                <w:szCs w:val="20"/>
                <w:color w:val="auto"/>
              </w:rPr>
              <w:t>strategic  mergers</w:t>
            </w:r>
          </w:p>
        </w:tc>
        <w:tc>
          <w:tcPr>
            <w:tcW w:w="400" w:type="dxa"/>
            <w:vAlign w:val="bottom"/>
            <w:tcBorders>
              <w:right w:val="single" w:sz="8" w:color="005CA9"/>
            </w:tcBorders>
            <w:shd w:val="clear" w:color="auto" w:fill="D9EEFF"/>
          </w:tcPr>
          <w:p>
            <w:pPr>
              <w:jc w:val="right"/>
              <w:spacing w:after="0"/>
              <w:rPr>
                <w:sz w:val="20"/>
                <w:szCs w:val="20"/>
                <w:color w:val="auto"/>
              </w:rPr>
            </w:pPr>
            <w:r>
              <w:rPr>
                <w:rFonts w:ascii="Calibri" w:cs="Calibri" w:eastAsia="Calibri" w:hAnsi="Calibri"/>
                <w:sz w:val="20"/>
                <w:szCs w:val="20"/>
                <w:color w:val="auto"/>
              </w:rPr>
              <w:t>and</w:t>
            </w:r>
          </w:p>
        </w:tc>
      </w:tr>
      <w:tr>
        <w:trPr>
          <w:trHeight w:val="247"/>
        </w:trPr>
        <w:tc>
          <w:tcPr>
            <w:tcW w:w="1200" w:type="dxa"/>
            <w:vAlign w:val="bottom"/>
            <w:tcBorders>
              <w:left w:val="single" w:sz="8" w:color="005CA9"/>
              <w:bottom w:val="single" w:sz="8" w:color="D9EEFF"/>
              <w:right w:val="single" w:sz="8" w:color="005CA9"/>
            </w:tcBorders>
            <w:shd w:val="clear" w:color="auto" w:fill="D9EEFF"/>
          </w:tcPr>
          <w:p>
            <w:pPr>
              <w:spacing w:after="0"/>
              <w:rPr>
                <w:sz w:val="21"/>
                <w:szCs w:val="21"/>
                <w:color w:val="auto"/>
              </w:rPr>
            </w:pPr>
          </w:p>
        </w:tc>
        <w:tc>
          <w:tcPr>
            <w:tcW w:w="2480" w:type="dxa"/>
            <w:vAlign w:val="bottom"/>
            <w:tcBorders>
              <w:bottom w:val="single" w:sz="8" w:color="D9EEFF"/>
              <w:right w:val="single" w:sz="8" w:color="005CA9"/>
            </w:tcBorders>
            <w:shd w:val="clear" w:color="auto" w:fill="D9EEFF"/>
          </w:tcPr>
          <w:p>
            <w:pPr>
              <w:spacing w:after="0"/>
              <w:rPr>
                <w:sz w:val="21"/>
                <w:szCs w:val="21"/>
                <w:color w:val="auto"/>
              </w:rPr>
            </w:pPr>
          </w:p>
        </w:tc>
        <w:tc>
          <w:tcPr>
            <w:tcW w:w="580" w:type="dxa"/>
            <w:vAlign w:val="bottom"/>
            <w:tcBorders>
              <w:bottom w:val="single" w:sz="8" w:color="D9EEFF"/>
            </w:tcBorders>
            <w:shd w:val="clear" w:color="auto" w:fill="D9EEFF"/>
          </w:tcPr>
          <w:p>
            <w:pPr>
              <w:spacing w:after="0"/>
              <w:rPr>
                <w:sz w:val="21"/>
                <w:szCs w:val="21"/>
                <w:color w:val="auto"/>
              </w:rPr>
            </w:pPr>
          </w:p>
        </w:tc>
        <w:tc>
          <w:tcPr>
            <w:tcW w:w="2560" w:type="dxa"/>
            <w:vAlign w:val="bottom"/>
            <w:tcBorders>
              <w:bottom w:val="single" w:sz="8" w:color="D9EEFF"/>
            </w:tcBorders>
            <w:gridSpan w:val="3"/>
            <w:shd w:val="clear" w:color="auto" w:fill="D9EEFF"/>
          </w:tcPr>
          <w:p>
            <w:pPr>
              <w:ind w:left="80"/>
              <w:spacing w:after="0" w:line="234" w:lineRule="exact"/>
              <w:rPr>
                <w:sz w:val="20"/>
                <w:szCs w:val="20"/>
                <w:color w:val="auto"/>
              </w:rPr>
            </w:pPr>
            <w:r>
              <w:rPr>
                <w:rFonts w:ascii="Calibri" w:cs="Calibri" w:eastAsia="Calibri" w:hAnsi="Calibri"/>
                <w:sz w:val="20"/>
                <w:szCs w:val="20"/>
                <w:color w:val="auto"/>
              </w:rPr>
              <w:t>acquisitons opportunites</w:t>
            </w:r>
          </w:p>
        </w:tc>
        <w:tc>
          <w:tcPr>
            <w:tcW w:w="1760" w:type="dxa"/>
            <w:vAlign w:val="bottom"/>
            <w:tcBorders>
              <w:bottom w:val="single" w:sz="8" w:color="D9EEFF"/>
            </w:tcBorders>
            <w:shd w:val="clear" w:color="auto" w:fill="D9EEFF"/>
          </w:tcPr>
          <w:p>
            <w:pPr>
              <w:spacing w:after="0"/>
              <w:rPr>
                <w:sz w:val="21"/>
                <w:szCs w:val="21"/>
                <w:color w:val="auto"/>
              </w:rPr>
            </w:pPr>
          </w:p>
        </w:tc>
        <w:tc>
          <w:tcPr>
            <w:tcW w:w="400" w:type="dxa"/>
            <w:vAlign w:val="bottom"/>
            <w:tcBorders>
              <w:bottom w:val="single" w:sz="8" w:color="D9EEFF"/>
              <w:right w:val="single" w:sz="8" w:color="005CA9"/>
            </w:tcBorders>
            <w:shd w:val="clear" w:color="auto" w:fill="D9EEFF"/>
          </w:tcPr>
          <w:p>
            <w:pPr>
              <w:spacing w:after="0"/>
              <w:rPr>
                <w:sz w:val="21"/>
                <w:szCs w:val="21"/>
                <w:color w:val="auto"/>
              </w:rPr>
            </w:pPr>
          </w:p>
        </w:tc>
      </w:tr>
      <w:tr>
        <w:trPr>
          <w:trHeight w:val="27"/>
        </w:trPr>
        <w:tc>
          <w:tcPr>
            <w:tcW w:w="1200" w:type="dxa"/>
            <w:vAlign w:val="bottom"/>
            <w:tcBorders>
              <w:left w:val="single" w:sz="8" w:color="005CA9"/>
              <w:right w:val="single" w:sz="8" w:color="005CA9"/>
            </w:tcBorders>
            <w:shd w:val="clear" w:color="auto" w:fill="005CA9"/>
          </w:tcPr>
          <w:p>
            <w:pPr>
              <w:spacing w:after="0"/>
              <w:rPr>
                <w:sz w:val="2"/>
                <w:szCs w:val="2"/>
                <w:color w:val="auto"/>
              </w:rPr>
            </w:pPr>
          </w:p>
        </w:tc>
        <w:tc>
          <w:tcPr>
            <w:tcW w:w="2480" w:type="dxa"/>
            <w:vAlign w:val="bottom"/>
            <w:tcBorders>
              <w:right w:val="single" w:sz="8" w:color="005CA9"/>
            </w:tcBorders>
            <w:shd w:val="clear" w:color="auto" w:fill="005CA9"/>
          </w:tcPr>
          <w:p>
            <w:pPr>
              <w:spacing w:after="0"/>
              <w:rPr>
                <w:sz w:val="2"/>
                <w:szCs w:val="2"/>
                <w:color w:val="auto"/>
              </w:rPr>
            </w:pPr>
          </w:p>
        </w:tc>
        <w:tc>
          <w:tcPr>
            <w:tcW w:w="580" w:type="dxa"/>
            <w:vAlign w:val="bottom"/>
            <w:shd w:val="clear" w:color="auto" w:fill="005CA9"/>
          </w:tcPr>
          <w:p>
            <w:pPr>
              <w:spacing w:after="0"/>
              <w:rPr>
                <w:sz w:val="2"/>
                <w:szCs w:val="2"/>
                <w:color w:val="auto"/>
              </w:rPr>
            </w:pPr>
          </w:p>
        </w:tc>
        <w:tc>
          <w:tcPr>
            <w:tcW w:w="980" w:type="dxa"/>
            <w:vAlign w:val="bottom"/>
            <w:shd w:val="clear" w:color="auto" w:fill="005CA9"/>
          </w:tcPr>
          <w:p>
            <w:pPr>
              <w:spacing w:after="0"/>
              <w:rPr>
                <w:sz w:val="2"/>
                <w:szCs w:val="2"/>
                <w:color w:val="auto"/>
              </w:rPr>
            </w:pPr>
          </w:p>
        </w:tc>
        <w:tc>
          <w:tcPr>
            <w:tcW w:w="500" w:type="dxa"/>
            <w:vAlign w:val="bottom"/>
            <w:shd w:val="clear" w:color="auto" w:fill="005CA9"/>
          </w:tcPr>
          <w:p>
            <w:pPr>
              <w:spacing w:after="0"/>
              <w:rPr>
                <w:sz w:val="2"/>
                <w:szCs w:val="2"/>
                <w:color w:val="auto"/>
              </w:rPr>
            </w:pPr>
          </w:p>
        </w:tc>
        <w:tc>
          <w:tcPr>
            <w:tcW w:w="1080" w:type="dxa"/>
            <w:vAlign w:val="bottom"/>
            <w:shd w:val="clear" w:color="auto" w:fill="005CA9"/>
          </w:tcPr>
          <w:p>
            <w:pPr>
              <w:spacing w:after="0"/>
              <w:rPr>
                <w:sz w:val="2"/>
                <w:szCs w:val="2"/>
                <w:color w:val="auto"/>
              </w:rPr>
            </w:pPr>
          </w:p>
        </w:tc>
        <w:tc>
          <w:tcPr>
            <w:tcW w:w="1760" w:type="dxa"/>
            <w:vAlign w:val="bottom"/>
            <w:shd w:val="clear" w:color="auto" w:fill="005CA9"/>
          </w:tcPr>
          <w:p>
            <w:pPr>
              <w:spacing w:after="0"/>
              <w:rPr>
                <w:sz w:val="2"/>
                <w:szCs w:val="2"/>
                <w:color w:val="auto"/>
              </w:rPr>
            </w:pPr>
          </w:p>
        </w:tc>
        <w:tc>
          <w:tcPr>
            <w:tcW w:w="400" w:type="dxa"/>
            <w:vAlign w:val="bottom"/>
            <w:tcBorders>
              <w:right w:val="single" w:sz="8" w:color="005CA9"/>
            </w:tcBorders>
            <w:shd w:val="clear" w:color="auto" w:fill="005CA9"/>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-4748530</wp:posOffset>
            </wp:positionV>
            <wp:extent cx="2331720" cy="1602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31720" cy="1602740"/>
                    </a:xfrm>
                    <a:prstGeom prst="rect">
                      <a:avLst/>
                    </a:prstGeom>
                    <a:noFill/>
                  </pic:spPr>
                </pic:pic>
              </a:graphicData>
            </a:graphic>
          </wp:anchor>
        </w:drawing>
      </w:r>
    </w:p>
    <w:p>
      <w:pPr>
        <w:spacing w:after="0" w:line="2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Both the fnancial metrics and the strategic priorites are set at the beginning of the year and on an absolute basis. The schedule below sets forth the annual incentves to be paid as a percentage of target. Performance below or above target will result in an award ranging from 0% to a maximum of 200% of target.</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Compensaton Commitee chose to use EPS and net sales as the primary measures for 2023 and 2024 to keep our NEOs focused on proftability and proftable growth. The Compensaton Commitee determined these measures to be appropriate since they are measures used by our peers in evaluatng performance and are commonly used by stakeholders in the evaluaton of company performance. The Compensaton Commitee has weighted CSER to the fnancial metrics at a 5% weightng, and established an internal commitee to improve the Company's focus on its ongoing environmental, social and governance actvites. Achieving goals in all of these areas is critcal to driving short-term results that have</w:t>
      </w: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37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0" w:name="page41"/>
    <w:bookmarkEnd w:id="40"/>
    <w:p>
      <w:pPr>
        <w:jc w:val="both"/>
        <w:spacing w:after="0" w:line="234" w:lineRule="auto"/>
        <w:rPr>
          <w:sz w:val="20"/>
          <w:szCs w:val="20"/>
          <w:color w:val="auto"/>
        </w:rPr>
      </w:pPr>
      <w:r>
        <w:rPr>
          <w:rFonts w:ascii="Calibri" w:cs="Calibri" w:eastAsia="Calibri" w:hAnsi="Calibri"/>
          <w:sz w:val="20"/>
          <w:szCs w:val="20"/>
          <w:color w:val="auto"/>
        </w:rPr>
        <w:t>long-term impact on value creaton. The strategic initatves will be evaluated based upon demonstrated performance against the specifc pre-determined targets.</w:t>
      </w:r>
    </w:p>
    <w:p>
      <w:pPr>
        <w:spacing w:after="0" w:line="257"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FFFFFF"/>
        </w:rPr>
        <w:t>Annual Incentves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-140970</wp:posOffset>
            </wp:positionV>
            <wp:extent cx="4989195" cy="3340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89195" cy="334010"/>
                    </a:xfrm>
                    <a:prstGeom prst="rect">
                      <a:avLst/>
                    </a:prstGeom>
                    <a:noFill/>
                  </pic:spPr>
                </pic:pic>
              </a:graphicData>
            </a:graphic>
          </wp:anchor>
        </w:drawing>
      </w:r>
    </w:p>
    <w:p>
      <w:pPr>
        <w:jc w:val="center"/>
        <w:ind w:right="-19"/>
        <w:spacing w:after="0" w:line="238" w:lineRule="auto"/>
        <w:rPr>
          <w:sz w:val="20"/>
          <w:szCs w:val="20"/>
          <w:color w:val="auto"/>
        </w:rPr>
      </w:pPr>
      <w:r>
        <w:rPr>
          <w:rFonts w:ascii="Calibri" w:cs="Calibri" w:eastAsia="Calibri" w:hAnsi="Calibri"/>
          <w:sz w:val="20"/>
          <w:szCs w:val="20"/>
          <w:b w:val="1"/>
          <w:bCs w:val="1"/>
          <w:color w:val="FFFFFF"/>
        </w:rPr>
        <w:t>Financial and Strategic Performance &amp; Payout Ranges</w:t>
      </w:r>
    </w:p>
    <w:p>
      <w:pPr>
        <w:spacing w:after="0" w:line="60" w:lineRule="exact"/>
        <w:rPr>
          <w:sz w:val="20"/>
          <w:szCs w:val="20"/>
          <w:color w:val="auto"/>
        </w:rPr>
      </w:pPr>
    </w:p>
    <w:tbl>
      <w:tblPr>
        <w:tblLayout w:type="fixed"/>
        <w:tblInd w:w="1710" w:type="dxa"/>
        <w:tblCellMar>
          <w:top w:w="0" w:type="dxa"/>
          <w:left w:w="0" w:type="dxa"/>
          <w:bottom w:w="0" w:type="dxa"/>
          <w:right w:w="0" w:type="dxa"/>
        </w:tblCellMar>
      </w:tblPr>
      <w:tr>
        <w:trPr>
          <w:trHeight w:val="251"/>
        </w:trPr>
        <w:tc>
          <w:tcPr>
            <w:tcW w:w="5120" w:type="dxa"/>
            <w:vAlign w:val="bottom"/>
            <w:tcBorders>
              <w:left w:val="single" w:sz="8" w:color="005CA9"/>
              <w:bottom w:val="single" w:sz="8" w:color="005CA9"/>
              <w:right w:val="single" w:sz="8" w:color="005CA9"/>
            </w:tcBorders>
            <w:shd w:val="clear" w:color="auto" w:fill="CFF0FC"/>
          </w:tcPr>
          <w:p>
            <w:pPr>
              <w:ind w:left="120"/>
              <w:spacing w:after="0"/>
              <w:rPr>
                <w:sz w:val="20"/>
                <w:szCs w:val="20"/>
                <w:color w:val="auto"/>
              </w:rPr>
            </w:pPr>
            <w:r>
              <w:rPr>
                <w:rFonts w:ascii="Calibri" w:cs="Calibri" w:eastAsia="Calibri" w:hAnsi="Calibri"/>
                <w:sz w:val="20"/>
                <w:szCs w:val="20"/>
                <w:b w:val="1"/>
                <w:bCs w:val="1"/>
                <w:color w:val="auto"/>
              </w:rPr>
              <w:t>Performance Level</w:t>
            </w:r>
          </w:p>
        </w:tc>
        <w:tc>
          <w:tcPr>
            <w:tcW w:w="2740" w:type="dxa"/>
            <w:vAlign w:val="bottom"/>
            <w:tcBorders>
              <w:bottom w:val="single" w:sz="8" w:color="005CA9"/>
              <w:right w:val="single" w:sz="8" w:color="005CA9"/>
            </w:tcBorders>
            <w:shd w:val="clear" w:color="auto" w:fill="CFF0FC"/>
          </w:tcPr>
          <w:p>
            <w:pPr>
              <w:ind w:left="100"/>
              <w:spacing w:after="0"/>
              <w:rPr>
                <w:sz w:val="20"/>
                <w:szCs w:val="20"/>
                <w:color w:val="auto"/>
              </w:rPr>
            </w:pPr>
            <w:r>
              <w:rPr>
                <w:rFonts w:ascii="Calibri" w:cs="Calibri" w:eastAsia="Calibri" w:hAnsi="Calibri"/>
                <w:sz w:val="20"/>
                <w:szCs w:val="20"/>
                <w:b w:val="1"/>
                <w:bCs w:val="1"/>
                <w:color w:val="auto"/>
              </w:rPr>
              <w:t>Range of Payout*</w:t>
            </w:r>
          </w:p>
        </w:tc>
      </w:tr>
      <w:tr>
        <w:trPr>
          <w:trHeight w:val="250"/>
        </w:trPr>
        <w:tc>
          <w:tcPr>
            <w:tcW w:w="5120" w:type="dxa"/>
            <w:vAlign w:val="bottom"/>
            <w:tcBorders>
              <w:left w:val="single" w:sz="8" w:color="005CA9"/>
              <w:bottom w:val="single" w:sz="8" w:color="005CA9"/>
              <w:right w:val="single" w:sz="8" w:color="005CA9"/>
            </w:tcBorders>
          </w:tcPr>
          <w:p>
            <w:pPr>
              <w:ind w:left="120"/>
              <w:spacing w:after="0" w:line="234" w:lineRule="exact"/>
              <w:rPr>
                <w:sz w:val="20"/>
                <w:szCs w:val="20"/>
                <w:color w:val="auto"/>
              </w:rPr>
            </w:pPr>
            <w:r>
              <w:rPr>
                <w:rFonts w:ascii="Calibri" w:cs="Calibri" w:eastAsia="Calibri" w:hAnsi="Calibri"/>
                <w:sz w:val="20"/>
                <w:szCs w:val="20"/>
                <w:color w:val="auto"/>
              </w:rPr>
              <w:t>Below 80% of Target</w:t>
            </w:r>
          </w:p>
        </w:tc>
        <w:tc>
          <w:tcPr>
            <w:tcW w:w="2740" w:type="dxa"/>
            <w:vAlign w:val="bottom"/>
            <w:tcBorders>
              <w:bottom w:val="single" w:sz="8" w:color="005CA9"/>
              <w:right w:val="single" w:sz="8" w:color="005CA9"/>
            </w:tcBorders>
          </w:tcPr>
          <w:p>
            <w:pPr>
              <w:jc w:val="center"/>
              <w:spacing w:after="0" w:line="234" w:lineRule="exact"/>
              <w:rPr>
                <w:sz w:val="20"/>
                <w:szCs w:val="20"/>
                <w:color w:val="auto"/>
              </w:rPr>
            </w:pPr>
            <w:r>
              <w:rPr>
                <w:rFonts w:ascii="Calibri" w:cs="Calibri" w:eastAsia="Calibri" w:hAnsi="Calibri"/>
                <w:sz w:val="20"/>
                <w:szCs w:val="20"/>
                <w:color w:val="auto"/>
              </w:rPr>
              <w:t>0% payout</w:t>
            </w:r>
          </w:p>
        </w:tc>
      </w:tr>
      <w:tr>
        <w:trPr>
          <w:trHeight w:val="250"/>
        </w:trPr>
        <w:tc>
          <w:tcPr>
            <w:tcW w:w="5120" w:type="dxa"/>
            <w:vAlign w:val="bottom"/>
            <w:tcBorders>
              <w:left w:val="single" w:sz="8" w:color="005CA9"/>
              <w:bottom w:val="single" w:sz="8" w:color="005CA9"/>
              <w:right w:val="single" w:sz="8" w:color="005CA9"/>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From 80% to 100% of Target</w:t>
            </w:r>
          </w:p>
        </w:tc>
        <w:tc>
          <w:tcPr>
            <w:tcW w:w="2740" w:type="dxa"/>
            <w:vAlign w:val="bottom"/>
            <w:tcBorders>
              <w:bottom w:val="single" w:sz="8" w:color="005CA9"/>
              <w:right w:val="single" w:sz="8" w:color="005CA9"/>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50% to 100% payout</w:t>
            </w:r>
          </w:p>
        </w:tc>
      </w:tr>
      <w:tr>
        <w:trPr>
          <w:trHeight w:val="250"/>
        </w:trPr>
        <w:tc>
          <w:tcPr>
            <w:tcW w:w="5120" w:type="dxa"/>
            <w:vAlign w:val="bottom"/>
            <w:tcBorders>
              <w:left w:val="single" w:sz="8" w:color="005CA9"/>
              <w:bottom w:val="single" w:sz="8" w:color="005CA9"/>
              <w:right w:val="single" w:sz="8" w:color="005CA9"/>
            </w:tcBorders>
          </w:tcPr>
          <w:p>
            <w:pPr>
              <w:ind w:left="120"/>
              <w:spacing w:after="0" w:line="234" w:lineRule="exact"/>
              <w:rPr>
                <w:sz w:val="20"/>
                <w:szCs w:val="20"/>
                <w:color w:val="auto"/>
              </w:rPr>
            </w:pPr>
            <w:r>
              <w:rPr>
                <w:rFonts w:ascii="Calibri" w:cs="Calibri" w:eastAsia="Calibri" w:hAnsi="Calibri"/>
                <w:sz w:val="20"/>
                <w:szCs w:val="20"/>
                <w:color w:val="auto"/>
              </w:rPr>
              <w:t>From 100% to 120% of Target</w:t>
            </w:r>
          </w:p>
        </w:tc>
        <w:tc>
          <w:tcPr>
            <w:tcW w:w="2740" w:type="dxa"/>
            <w:vAlign w:val="bottom"/>
            <w:tcBorders>
              <w:bottom w:val="single" w:sz="8" w:color="005CA9"/>
              <w:right w:val="single" w:sz="8" w:color="005CA9"/>
            </w:tcBorders>
          </w:tcPr>
          <w:p>
            <w:pPr>
              <w:jc w:val="center"/>
              <w:spacing w:after="0" w:line="234" w:lineRule="exact"/>
              <w:rPr>
                <w:sz w:val="20"/>
                <w:szCs w:val="20"/>
                <w:color w:val="auto"/>
              </w:rPr>
            </w:pPr>
            <w:r>
              <w:rPr>
                <w:rFonts w:ascii="Calibri" w:cs="Calibri" w:eastAsia="Calibri" w:hAnsi="Calibri"/>
                <w:sz w:val="20"/>
                <w:szCs w:val="20"/>
                <w:color w:val="auto"/>
              </w:rPr>
              <w:t>100% to 200% payout</w:t>
            </w:r>
          </w:p>
        </w:tc>
      </w:tr>
      <w:tr>
        <w:trPr>
          <w:trHeight w:val="250"/>
        </w:trPr>
        <w:tc>
          <w:tcPr>
            <w:tcW w:w="5120" w:type="dxa"/>
            <w:vAlign w:val="bottom"/>
            <w:tcBorders>
              <w:left w:val="single" w:sz="8" w:color="005CA9"/>
              <w:bottom w:val="single" w:sz="8" w:color="005CA9"/>
              <w:right w:val="single" w:sz="8" w:color="005CA9"/>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Above 120% of Target</w:t>
            </w:r>
          </w:p>
        </w:tc>
        <w:tc>
          <w:tcPr>
            <w:tcW w:w="2740" w:type="dxa"/>
            <w:vAlign w:val="bottom"/>
            <w:tcBorders>
              <w:bottom w:val="single" w:sz="8" w:color="005CA9"/>
              <w:right w:val="single" w:sz="8" w:color="005CA9"/>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200% payout (capped)</w:t>
            </w:r>
          </w:p>
        </w:tc>
      </w:tr>
    </w:tbl>
    <w:p>
      <w:pPr>
        <w:ind w:left="3500"/>
        <w:spacing w:after="0" w:line="218" w:lineRule="auto"/>
        <w:rPr>
          <w:sz w:val="20"/>
          <w:szCs w:val="20"/>
          <w:color w:val="auto"/>
        </w:rPr>
      </w:pPr>
      <w:r>
        <w:rPr>
          <w:rFonts w:ascii="Calibri" w:cs="Calibri" w:eastAsia="Calibri" w:hAnsi="Calibri"/>
          <w:sz w:val="14"/>
          <w:szCs w:val="14"/>
          <w:color w:val="auto"/>
        </w:rPr>
        <w:t>*Performance between 80% and 100% of target and between 100% and</w:t>
      </w:r>
    </w:p>
    <w:p>
      <w:pPr>
        <w:spacing w:after="0" w:line="5" w:lineRule="exact"/>
        <w:rPr>
          <w:sz w:val="20"/>
          <w:szCs w:val="20"/>
          <w:color w:val="auto"/>
        </w:rPr>
      </w:pPr>
    </w:p>
    <w:p>
      <w:pPr>
        <w:ind w:left="3520"/>
        <w:spacing w:after="0"/>
        <w:rPr>
          <w:sz w:val="20"/>
          <w:szCs w:val="20"/>
          <w:color w:val="auto"/>
        </w:rPr>
      </w:pPr>
      <w:r>
        <w:rPr>
          <w:rFonts w:ascii="Calibri" w:cs="Calibri" w:eastAsia="Calibri" w:hAnsi="Calibri"/>
          <w:sz w:val="14"/>
          <w:szCs w:val="14"/>
          <w:color w:val="auto"/>
        </w:rPr>
        <w:t>120% of Target is interpolated between the end points identfed above.</w:t>
      </w:r>
    </w:p>
    <w:p>
      <w:pPr>
        <w:spacing w:after="0" w:line="10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table sets forth the fnancial performance targets for 2024 and 2023 and the strategic objectves for 2024, established by the Compensaton Commitee and the results achieved by the Company. The lower targets for 2024, when compared to 2023, are refectve of the deterioraton of the worldwide semiconductor market resultng in reduced guidance to investors as well as reduced compensaton targets.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40" w:type="dxa"/>
            <w:vAlign w:val="bottom"/>
            <w:tcBorders>
              <w:top w:val="single" w:sz="8" w:color="4F81BD"/>
            </w:tcBorders>
          </w:tcPr>
          <w:p>
            <w:pPr>
              <w:spacing w:after="0"/>
              <w:rPr>
                <w:sz w:val="18"/>
                <w:szCs w:val="18"/>
                <w:color w:val="auto"/>
              </w:rPr>
            </w:pPr>
          </w:p>
        </w:tc>
        <w:tc>
          <w:tcPr>
            <w:tcW w:w="840" w:type="dxa"/>
            <w:vAlign w:val="bottom"/>
            <w:tcBorders>
              <w:top w:val="single" w:sz="8" w:color="4F81BD"/>
              <w:bottom w:val="single" w:sz="8" w:color="4F81BD"/>
            </w:tcBorders>
          </w:tcPr>
          <w:p>
            <w:pPr>
              <w:spacing w:after="0"/>
              <w:rPr>
                <w:sz w:val="18"/>
                <w:szCs w:val="18"/>
                <w:color w:val="auto"/>
              </w:rPr>
            </w:pPr>
          </w:p>
        </w:tc>
        <w:tc>
          <w:tcPr>
            <w:tcW w:w="300" w:type="dxa"/>
            <w:vAlign w:val="bottom"/>
            <w:tcBorders>
              <w:top w:val="single" w:sz="8" w:color="4F81BD"/>
              <w:bottom w:val="single" w:sz="8" w:color="4F81BD"/>
            </w:tcBorders>
          </w:tcPr>
          <w:p>
            <w:pPr>
              <w:spacing w:after="0"/>
              <w:rPr>
                <w:sz w:val="18"/>
                <w:szCs w:val="18"/>
                <w:color w:val="auto"/>
              </w:rPr>
            </w:pPr>
          </w:p>
        </w:tc>
        <w:tc>
          <w:tcPr>
            <w:tcW w:w="740" w:type="dxa"/>
            <w:vAlign w:val="bottom"/>
            <w:tcBorders>
              <w:top w:val="single" w:sz="8" w:color="4F81BD"/>
              <w:bottom w:val="single" w:sz="8" w:color="4F81BD"/>
            </w:tcBorders>
          </w:tcPr>
          <w:p>
            <w:pPr>
              <w:jc w:val="right"/>
              <w:ind w:right="259"/>
              <w:spacing w:after="0"/>
              <w:rPr>
                <w:sz w:val="20"/>
                <w:szCs w:val="20"/>
                <w:color w:val="auto"/>
              </w:rPr>
            </w:pPr>
            <w:r>
              <w:rPr>
                <w:rFonts w:ascii="Calibri" w:cs="Calibri" w:eastAsia="Calibri" w:hAnsi="Calibri"/>
                <w:sz w:val="16"/>
                <w:szCs w:val="16"/>
                <w:b w:val="1"/>
                <w:bCs w:val="1"/>
                <w:color w:val="auto"/>
              </w:rPr>
              <w:t>2023</w:t>
            </w:r>
          </w:p>
        </w:tc>
        <w:tc>
          <w:tcPr>
            <w:tcW w:w="300" w:type="dxa"/>
            <w:vAlign w:val="bottom"/>
            <w:tcBorders>
              <w:top w:val="single" w:sz="8" w:color="4F81BD"/>
              <w:bottom w:val="single" w:sz="8" w:color="4F81BD"/>
            </w:tcBorders>
          </w:tcPr>
          <w:p>
            <w:pPr>
              <w:spacing w:after="0"/>
              <w:rPr>
                <w:sz w:val="18"/>
                <w:szCs w:val="18"/>
                <w:color w:val="auto"/>
              </w:rPr>
            </w:pPr>
          </w:p>
        </w:tc>
        <w:tc>
          <w:tcPr>
            <w:tcW w:w="680" w:type="dxa"/>
            <w:vAlign w:val="bottom"/>
            <w:tcBorders>
              <w:top w:val="single" w:sz="8" w:color="4F81BD"/>
              <w:bottom w:val="single" w:sz="8" w:color="4F81BD"/>
            </w:tcBorders>
          </w:tcPr>
          <w:p>
            <w:pPr>
              <w:spacing w:after="0"/>
              <w:rPr>
                <w:sz w:val="18"/>
                <w:szCs w:val="18"/>
                <w:color w:val="auto"/>
              </w:rPr>
            </w:pPr>
          </w:p>
        </w:tc>
        <w:tc>
          <w:tcPr>
            <w:tcW w:w="260" w:type="dxa"/>
            <w:vAlign w:val="bottom"/>
            <w:tcBorders>
              <w:top w:val="single" w:sz="8" w:color="4F81BD"/>
            </w:tcBorders>
          </w:tcPr>
          <w:p>
            <w:pPr>
              <w:spacing w:after="0"/>
              <w:rPr>
                <w:sz w:val="18"/>
                <w:szCs w:val="18"/>
                <w:color w:val="auto"/>
              </w:rPr>
            </w:pPr>
          </w:p>
        </w:tc>
        <w:tc>
          <w:tcPr>
            <w:tcW w:w="800" w:type="dxa"/>
            <w:vAlign w:val="bottom"/>
            <w:tcBorders>
              <w:top w:val="single" w:sz="8" w:color="4F81BD"/>
              <w:bottom w:val="single" w:sz="8" w:color="4F81BD"/>
            </w:tcBorders>
          </w:tcPr>
          <w:p>
            <w:pPr>
              <w:spacing w:after="0"/>
              <w:rPr>
                <w:sz w:val="18"/>
                <w:szCs w:val="18"/>
                <w:color w:val="auto"/>
              </w:rPr>
            </w:pPr>
          </w:p>
        </w:tc>
        <w:tc>
          <w:tcPr>
            <w:tcW w:w="300" w:type="dxa"/>
            <w:vAlign w:val="bottom"/>
            <w:tcBorders>
              <w:top w:val="single" w:sz="8" w:color="4F81BD"/>
              <w:bottom w:val="single" w:sz="8" w:color="4F81BD"/>
            </w:tcBorders>
          </w:tcPr>
          <w:p>
            <w:pPr>
              <w:spacing w:after="0"/>
              <w:rPr>
                <w:sz w:val="18"/>
                <w:szCs w:val="18"/>
                <w:color w:val="auto"/>
              </w:rPr>
            </w:pPr>
          </w:p>
        </w:tc>
        <w:tc>
          <w:tcPr>
            <w:tcW w:w="800" w:type="dxa"/>
            <w:vAlign w:val="bottom"/>
            <w:tcBorders>
              <w:top w:val="single" w:sz="8" w:color="4F81BD"/>
              <w:bottom w:val="single" w:sz="8" w:color="4F81BD"/>
            </w:tcBorders>
          </w:tcPr>
          <w:p>
            <w:pPr>
              <w:jc w:val="right"/>
              <w:ind w:right="279"/>
              <w:spacing w:after="0"/>
              <w:rPr>
                <w:sz w:val="20"/>
                <w:szCs w:val="20"/>
                <w:color w:val="auto"/>
              </w:rPr>
            </w:pPr>
            <w:r>
              <w:rPr>
                <w:rFonts w:ascii="Calibri" w:cs="Calibri" w:eastAsia="Calibri" w:hAnsi="Calibri"/>
                <w:sz w:val="16"/>
                <w:szCs w:val="16"/>
                <w:b w:val="1"/>
                <w:bCs w:val="1"/>
                <w:color w:val="auto"/>
              </w:rPr>
              <w:t>2024</w:t>
            </w:r>
          </w:p>
        </w:tc>
        <w:tc>
          <w:tcPr>
            <w:tcW w:w="280" w:type="dxa"/>
            <w:vAlign w:val="bottom"/>
            <w:tcBorders>
              <w:top w:val="single" w:sz="8" w:color="4F81BD"/>
              <w:bottom w:val="single" w:sz="8" w:color="4F81BD"/>
            </w:tcBorders>
          </w:tcPr>
          <w:p>
            <w:pPr>
              <w:spacing w:after="0"/>
              <w:rPr>
                <w:sz w:val="18"/>
                <w:szCs w:val="18"/>
                <w:color w:val="auto"/>
              </w:rPr>
            </w:pPr>
          </w:p>
        </w:tc>
        <w:tc>
          <w:tcPr>
            <w:tcW w:w="680" w:type="dxa"/>
            <w:vAlign w:val="bottom"/>
            <w:tcBorders>
              <w:top w:val="single" w:sz="8" w:color="4F81BD"/>
              <w:bottom w:val="single" w:sz="8" w:color="4F81BD"/>
            </w:tcBorders>
          </w:tcPr>
          <w:p>
            <w:pPr>
              <w:spacing w:after="0"/>
              <w:rPr>
                <w:sz w:val="18"/>
                <w:szCs w:val="18"/>
                <w:color w:val="auto"/>
              </w:rPr>
            </w:pPr>
          </w:p>
        </w:tc>
        <w:tc>
          <w:tcPr>
            <w:tcW w:w="1520" w:type="dxa"/>
            <w:vAlign w:val="bottom"/>
            <w:tcBorders>
              <w:top w:val="single" w:sz="8" w:color="4F81BD"/>
            </w:tcBorders>
          </w:tcPr>
          <w:p>
            <w:pPr>
              <w:jc w:val="center"/>
              <w:spacing w:after="0"/>
              <w:rPr>
                <w:sz w:val="20"/>
                <w:szCs w:val="20"/>
                <w:color w:val="auto"/>
              </w:rPr>
            </w:pPr>
            <w:r>
              <w:rPr>
                <w:rFonts w:ascii="Calibri" w:cs="Calibri" w:eastAsia="Calibri" w:hAnsi="Calibri"/>
                <w:sz w:val="16"/>
                <w:szCs w:val="16"/>
                <w:b w:val="1"/>
                <w:bCs w:val="1"/>
                <w:color w:val="auto"/>
              </w:rPr>
              <w:t>2024 Performance</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75" w:lineRule="exact"/>
              <w:rPr>
                <w:sz w:val="20"/>
                <w:szCs w:val="20"/>
                <w:color w:val="auto"/>
              </w:rPr>
            </w:pPr>
            <w:r>
              <w:rPr>
                <w:rFonts w:ascii="Calibri" w:cs="Calibri" w:eastAsia="Calibri" w:hAnsi="Calibri"/>
                <w:sz w:val="16"/>
                <w:szCs w:val="16"/>
                <w:b w:val="1"/>
                <w:bCs w:val="1"/>
                <w:color w:val="auto"/>
              </w:rPr>
              <w:t>Objectve</w:t>
            </w:r>
          </w:p>
        </w:tc>
        <w:tc>
          <w:tcPr>
            <w:tcW w:w="840" w:type="dxa"/>
            <w:vAlign w:val="bottom"/>
          </w:tcPr>
          <w:p>
            <w:pPr>
              <w:ind w:left="140"/>
              <w:spacing w:after="0" w:line="193" w:lineRule="exact"/>
              <w:rPr>
                <w:sz w:val="20"/>
                <w:szCs w:val="20"/>
                <w:color w:val="auto"/>
              </w:rPr>
            </w:pPr>
            <w:r>
              <w:rPr>
                <w:rFonts w:ascii="Calibri" w:cs="Calibri" w:eastAsia="Calibri" w:hAnsi="Calibri"/>
                <w:sz w:val="16"/>
                <w:szCs w:val="16"/>
                <w:b w:val="1"/>
                <w:bCs w:val="1"/>
                <w:color w:val="auto"/>
              </w:rPr>
              <w:t>Weight</w:t>
            </w:r>
          </w:p>
        </w:tc>
        <w:tc>
          <w:tcPr>
            <w:tcW w:w="300" w:type="dxa"/>
            <w:vAlign w:val="bottom"/>
          </w:tcPr>
          <w:p>
            <w:pPr>
              <w:spacing w:after="0"/>
              <w:rPr>
                <w:sz w:val="17"/>
                <w:szCs w:val="17"/>
                <w:color w:val="auto"/>
              </w:rPr>
            </w:pPr>
          </w:p>
        </w:tc>
        <w:tc>
          <w:tcPr>
            <w:tcW w:w="740" w:type="dxa"/>
            <w:vAlign w:val="bottom"/>
          </w:tcPr>
          <w:p>
            <w:pPr>
              <w:jc w:val="right"/>
              <w:ind w:right="219"/>
              <w:spacing w:after="0" w:line="193" w:lineRule="exact"/>
              <w:rPr>
                <w:sz w:val="20"/>
                <w:szCs w:val="20"/>
                <w:color w:val="auto"/>
              </w:rPr>
            </w:pPr>
            <w:r>
              <w:rPr>
                <w:rFonts w:ascii="Calibri" w:cs="Calibri" w:eastAsia="Calibri" w:hAnsi="Calibri"/>
                <w:sz w:val="16"/>
                <w:szCs w:val="16"/>
                <w:b w:val="1"/>
                <w:bCs w:val="1"/>
                <w:color w:val="auto"/>
                <w:w w:val="98"/>
              </w:rPr>
              <w:t>Target</w:t>
            </w:r>
          </w:p>
        </w:tc>
        <w:tc>
          <w:tcPr>
            <w:tcW w:w="300" w:type="dxa"/>
            <w:vAlign w:val="bottom"/>
          </w:tcPr>
          <w:p>
            <w:pPr>
              <w:spacing w:after="0"/>
              <w:rPr>
                <w:sz w:val="17"/>
                <w:szCs w:val="17"/>
                <w:color w:val="auto"/>
              </w:rPr>
            </w:pPr>
          </w:p>
        </w:tc>
        <w:tc>
          <w:tcPr>
            <w:tcW w:w="680" w:type="dxa"/>
            <w:vAlign w:val="bottom"/>
          </w:tcPr>
          <w:p>
            <w:pPr>
              <w:jc w:val="right"/>
              <w:ind w:right="159"/>
              <w:spacing w:after="0" w:line="193" w:lineRule="exact"/>
              <w:rPr>
                <w:sz w:val="20"/>
                <w:szCs w:val="20"/>
                <w:color w:val="auto"/>
              </w:rPr>
            </w:pPr>
            <w:r>
              <w:rPr>
                <w:rFonts w:ascii="Calibri" w:cs="Calibri" w:eastAsia="Calibri" w:hAnsi="Calibri"/>
                <w:sz w:val="16"/>
                <w:szCs w:val="16"/>
                <w:b w:val="1"/>
                <w:bCs w:val="1"/>
                <w:color w:val="auto"/>
                <w:w w:val="99"/>
              </w:rPr>
              <w:t>Actual</w:t>
            </w:r>
          </w:p>
        </w:tc>
        <w:tc>
          <w:tcPr>
            <w:tcW w:w="260" w:type="dxa"/>
            <w:vAlign w:val="bottom"/>
          </w:tcPr>
          <w:p>
            <w:pPr>
              <w:spacing w:after="0"/>
              <w:rPr>
                <w:sz w:val="17"/>
                <w:szCs w:val="17"/>
                <w:color w:val="auto"/>
              </w:rPr>
            </w:pPr>
          </w:p>
        </w:tc>
        <w:tc>
          <w:tcPr>
            <w:tcW w:w="800" w:type="dxa"/>
            <w:vAlign w:val="bottom"/>
          </w:tcPr>
          <w:p>
            <w:pPr>
              <w:ind w:left="120"/>
              <w:spacing w:after="0" w:line="193" w:lineRule="exact"/>
              <w:rPr>
                <w:sz w:val="20"/>
                <w:szCs w:val="20"/>
                <w:color w:val="auto"/>
              </w:rPr>
            </w:pPr>
            <w:r>
              <w:rPr>
                <w:rFonts w:ascii="Calibri" w:cs="Calibri" w:eastAsia="Calibri" w:hAnsi="Calibri"/>
                <w:sz w:val="16"/>
                <w:szCs w:val="16"/>
                <w:b w:val="1"/>
                <w:bCs w:val="1"/>
                <w:color w:val="auto"/>
              </w:rPr>
              <w:t>Weight</w:t>
            </w:r>
          </w:p>
        </w:tc>
        <w:tc>
          <w:tcPr>
            <w:tcW w:w="300" w:type="dxa"/>
            <w:vAlign w:val="bottom"/>
          </w:tcPr>
          <w:p>
            <w:pPr>
              <w:spacing w:after="0"/>
              <w:rPr>
                <w:sz w:val="17"/>
                <w:szCs w:val="17"/>
                <w:color w:val="auto"/>
              </w:rPr>
            </w:pPr>
          </w:p>
        </w:tc>
        <w:tc>
          <w:tcPr>
            <w:tcW w:w="80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Target</w:t>
            </w:r>
          </w:p>
        </w:tc>
        <w:tc>
          <w:tcPr>
            <w:tcW w:w="280" w:type="dxa"/>
            <w:vAlign w:val="bottom"/>
          </w:tcPr>
          <w:p>
            <w:pPr>
              <w:spacing w:after="0"/>
              <w:rPr>
                <w:sz w:val="17"/>
                <w:szCs w:val="17"/>
                <w:color w:val="auto"/>
              </w:rPr>
            </w:pPr>
          </w:p>
        </w:tc>
        <w:tc>
          <w:tcPr>
            <w:tcW w:w="680" w:type="dxa"/>
            <w:vAlign w:val="bottom"/>
          </w:tcPr>
          <w:p>
            <w:pPr>
              <w:jc w:val="right"/>
              <w:ind w:right="159"/>
              <w:spacing w:after="0" w:line="193" w:lineRule="exact"/>
              <w:rPr>
                <w:sz w:val="20"/>
                <w:szCs w:val="20"/>
                <w:color w:val="auto"/>
              </w:rPr>
            </w:pPr>
            <w:r>
              <w:rPr>
                <w:rFonts w:ascii="Calibri" w:cs="Calibri" w:eastAsia="Calibri" w:hAnsi="Calibri"/>
                <w:sz w:val="16"/>
                <w:szCs w:val="16"/>
                <w:b w:val="1"/>
                <w:bCs w:val="1"/>
                <w:color w:val="auto"/>
                <w:w w:val="99"/>
              </w:rPr>
              <w:t>Actual</w:t>
            </w:r>
          </w:p>
        </w:tc>
        <w:tc>
          <w:tcPr>
            <w:tcW w:w="1520" w:type="dxa"/>
            <w:vAlign w:val="bottom"/>
          </w:tcPr>
          <w:p>
            <w:pPr>
              <w:jc w:val="center"/>
              <w:spacing w:after="0" w:line="175" w:lineRule="exact"/>
              <w:rPr>
                <w:sz w:val="20"/>
                <w:szCs w:val="20"/>
                <w:color w:val="auto"/>
              </w:rPr>
            </w:pPr>
            <w:r>
              <w:rPr>
                <w:rFonts w:ascii="Calibri" w:cs="Calibri" w:eastAsia="Calibri" w:hAnsi="Calibri"/>
                <w:sz w:val="16"/>
                <w:szCs w:val="16"/>
                <w:b w:val="1"/>
                <w:bCs w:val="1"/>
                <w:color w:val="auto"/>
                <w:w w:val="99"/>
              </w:rPr>
              <w:t>vs. Target</w:t>
            </w:r>
          </w:p>
        </w:tc>
        <w:tc>
          <w:tcPr>
            <w:tcW w:w="0" w:type="dxa"/>
            <w:vAlign w:val="bottom"/>
          </w:tcPr>
          <w:p>
            <w:pPr>
              <w:spacing w:after="0"/>
              <w:rPr>
                <w:sz w:val="1"/>
                <w:szCs w:val="1"/>
                <w:color w:val="auto"/>
              </w:rPr>
            </w:pPr>
          </w:p>
        </w:tc>
      </w:tr>
      <w:tr>
        <w:trPr>
          <w:trHeight w:val="72"/>
        </w:trPr>
        <w:tc>
          <w:tcPr>
            <w:tcW w:w="3740" w:type="dxa"/>
            <w:vAlign w:val="bottom"/>
            <w:shd w:val="clear" w:color="auto" w:fill="4F81BD"/>
          </w:tcPr>
          <w:p>
            <w:pPr>
              <w:spacing w:after="0"/>
              <w:rPr>
                <w:sz w:val="6"/>
                <w:szCs w:val="6"/>
                <w:color w:val="auto"/>
              </w:rPr>
            </w:pPr>
          </w:p>
        </w:tc>
        <w:tc>
          <w:tcPr>
            <w:tcW w:w="840" w:type="dxa"/>
            <w:vAlign w:val="bottom"/>
            <w:shd w:val="clear" w:color="auto" w:fill="4F81BD"/>
          </w:tcPr>
          <w:p>
            <w:pPr>
              <w:spacing w:after="0"/>
              <w:rPr>
                <w:sz w:val="6"/>
                <w:szCs w:val="6"/>
                <w:color w:val="auto"/>
              </w:rPr>
            </w:pPr>
          </w:p>
        </w:tc>
        <w:tc>
          <w:tcPr>
            <w:tcW w:w="300" w:type="dxa"/>
            <w:vAlign w:val="bottom"/>
            <w:shd w:val="clear" w:color="auto" w:fill="4F81BD"/>
          </w:tcPr>
          <w:p>
            <w:pPr>
              <w:spacing w:after="0"/>
              <w:rPr>
                <w:sz w:val="6"/>
                <w:szCs w:val="6"/>
                <w:color w:val="auto"/>
              </w:rPr>
            </w:pPr>
          </w:p>
        </w:tc>
        <w:tc>
          <w:tcPr>
            <w:tcW w:w="740" w:type="dxa"/>
            <w:vAlign w:val="bottom"/>
            <w:shd w:val="clear" w:color="auto" w:fill="4F81BD"/>
          </w:tcPr>
          <w:p>
            <w:pPr>
              <w:spacing w:after="0"/>
              <w:rPr>
                <w:sz w:val="6"/>
                <w:szCs w:val="6"/>
                <w:color w:val="auto"/>
              </w:rPr>
            </w:pPr>
          </w:p>
        </w:tc>
        <w:tc>
          <w:tcPr>
            <w:tcW w:w="300" w:type="dxa"/>
            <w:vAlign w:val="bottom"/>
            <w:shd w:val="clear" w:color="auto" w:fill="4F81BD"/>
          </w:tcPr>
          <w:p>
            <w:pPr>
              <w:spacing w:after="0"/>
              <w:rPr>
                <w:sz w:val="6"/>
                <w:szCs w:val="6"/>
                <w:color w:val="auto"/>
              </w:rPr>
            </w:pPr>
          </w:p>
        </w:tc>
        <w:tc>
          <w:tcPr>
            <w:tcW w:w="680" w:type="dxa"/>
            <w:vAlign w:val="bottom"/>
            <w:shd w:val="clear" w:color="auto" w:fill="4F81BD"/>
          </w:tcPr>
          <w:p>
            <w:pPr>
              <w:spacing w:after="0"/>
              <w:rPr>
                <w:sz w:val="6"/>
                <w:szCs w:val="6"/>
                <w:color w:val="auto"/>
              </w:rPr>
            </w:pPr>
          </w:p>
        </w:tc>
        <w:tc>
          <w:tcPr>
            <w:tcW w:w="260" w:type="dxa"/>
            <w:vAlign w:val="bottom"/>
            <w:shd w:val="clear" w:color="auto" w:fill="4F81BD"/>
          </w:tcPr>
          <w:p>
            <w:pPr>
              <w:spacing w:after="0"/>
              <w:rPr>
                <w:sz w:val="6"/>
                <w:szCs w:val="6"/>
                <w:color w:val="auto"/>
              </w:rPr>
            </w:pPr>
          </w:p>
        </w:tc>
        <w:tc>
          <w:tcPr>
            <w:tcW w:w="800" w:type="dxa"/>
            <w:vAlign w:val="bottom"/>
            <w:shd w:val="clear" w:color="auto" w:fill="4F81BD"/>
          </w:tcPr>
          <w:p>
            <w:pPr>
              <w:spacing w:after="0"/>
              <w:rPr>
                <w:sz w:val="6"/>
                <w:szCs w:val="6"/>
                <w:color w:val="auto"/>
              </w:rPr>
            </w:pPr>
          </w:p>
        </w:tc>
        <w:tc>
          <w:tcPr>
            <w:tcW w:w="300" w:type="dxa"/>
            <w:vAlign w:val="bottom"/>
            <w:shd w:val="clear" w:color="auto" w:fill="4F81BD"/>
          </w:tcPr>
          <w:p>
            <w:pPr>
              <w:spacing w:after="0"/>
              <w:rPr>
                <w:sz w:val="6"/>
                <w:szCs w:val="6"/>
                <w:color w:val="auto"/>
              </w:rPr>
            </w:pPr>
          </w:p>
        </w:tc>
        <w:tc>
          <w:tcPr>
            <w:tcW w:w="800" w:type="dxa"/>
            <w:vAlign w:val="bottom"/>
            <w:shd w:val="clear" w:color="auto" w:fill="4F81BD"/>
          </w:tcPr>
          <w:p>
            <w:pPr>
              <w:spacing w:after="0"/>
              <w:rPr>
                <w:sz w:val="6"/>
                <w:szCs w:val="6"/>
                <w:color w:val="auto"/>
              </w:rPr>
            </w:pPr>
          </w:p>
        </w:tc>
        <w:tc>
          <w:tcPr>
            <w:tcW w:w="280" w:type="dxa"/>
            <w:vAlign w:val="bottom"/>
            <w:shd w:val="clear" w:color="auto" w:fill="4F81BD"/>
          </w:tcPr>
          <w:p>
            <w:pPr>
              <w:spacing w:after="0"/>
              <w:rPr>
                <w:sz w:val="6"/>
                <w:szCs w:val="6"/>
                <w:color w:val="auto"/>
              </w:rPr>
            </w:pPr>
          </w:p>
        </w:tc>
        <w:tc>
          <w:tcPr>
            <w:tcW w:w="680" w:type="dxa"/>
            <w:vAlign w:val="bottom"/>
            <w:shd w:val="clear" w:color="auto" w:fill="4F81BD"/>
          </w:tcPr>
          <w:p>
            <w:pPr>
              <w:spacing w:after="0"/>
              <w:rPr>
                <w:sz w:val="6"/>
                <w:szCs w:val="6"/>
                <w:color w:val="auto"/>
              </w:rPr>
            </w:pPr>
          </w:p>
        </w:tc>
        <w:tc>
          <w:tcPr>
            <w:tcW w:w="1520" w:type="dxa"/>
            <w:vAlign w:val="bottom"/>
            <w:shd w:val="clear" w:color="auto" w:fill="4F81BD"/>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20"/>
              <w:spacing w:after="0" w:line="193" w:lineRule="exact"/>
              <w:rPr>
                <w:sz w:val="20"/>
                <w:szCs w:val="20"/>
                <w:color w:val="auto"/>
              </w:rPr>
            </w:pPr>
            <w:r>
              <w:rPr>
                <w:rFonts w:ascii="Calibri" w:cs="Calibri" w:eastAsia="Calibri" w:hAnsi="Calibri"/>
                <w:sz w:val="16"/>
                <w:szCs w:val="16"/>
                <w:color w:val="auto"/>
              </w:rPr>
              <w:t>Financial objectves (80% of award)</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200"/>
              <w:spacing w:after="0" w:line="193" w:lineRule="exact"/>
              <w:rPr>
                <w:sz w:val="20"/>
                <w:szCs w:val="20"/>
                <w:color w:val="auto"/>
              </w:rPr>
            </w:pPr>
            <w:r>
              <w:rPr>
                <w:rFonts w:ascii="Calibri" w:cs="Calibri" w:eastAsia="Calibri" w:hAnsi="Calibri"/>
                <w:sz w:val="16"/>
                <w:szCs w:val="16"/>
                <w:color w:val="auto"/>
              </w:rPr>
              <w:t>Net sales (millions)</w:t>
            </w:r>
          </w:p>
        </w:tc>
        <w:tc>
          <w:tcPr>
            <w:tcW w:w="840" w:type="dxa"/>
            <w:vAlign w:val="bottom"/>
          </w:tcPr>
          <w:p>
            <w:pPr>
              <w:jc w:val="center"/>
              <w:spacing w:after="0" w:line="193" w:lineRule="exact"/>
              <w:rPr>
                <w:sz w:val="20"/>
                <w:szCs w:val="20"/>
                <w:color w:val="auto"/>
              </w:rPr>
            </w:pPr>
            <w:r>
              <w:rPr>
                <w:rFonts w:ascii="Calibri" w:cs="Calibri" w:eastAsia="Calibri" w:hAnsi="Calibri"/>
                <w:sz w:val="16"/>
                <w:szCs w:val="16"/>
                <w:color w:val="auto"/>
              </w:rPr>
              <w:t>18%</w:t>
            </w:r>
          </w:p>
        </w:tc>
        <w:tc>
          <w:tcPr>
            <w:tcW w:w="3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1,971.0</w:t>
            </w:r>
          </w:p>
        </w:tc>
        <w:tc>
          <w:tcPr>
            <w:tcW w:w="3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6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1,661.7</w:t>
            </w:r>
          </w:p>
        </w:tc>
        <w:tc>
          <w:tcPr>
            <w:tcW w:w="1060" w:type="dxa"/>
            <w:vAlign w:val="bottom"/>
            <w:gridSpan w:val="2"/>
          </w:tcPr>
          <w:p>
            <w:pPr>
              <w:jc w:val="center"/>
              <w:ind w:left="99"/>
              <w:spacing w:after="0" w:line="193" w:lineRule="exact"/>
              <w:rPr>
                <w:sz w:val="20"/>
                <w:szCs w:val="20"/>
                <w:color w:val="auto"/>
              </w:rPr>
            </w:pPr>
            <w:r>
              <w:rPr>
                <w:rFonts w:ascii="Calibri" w:cs="Calibri" w:eastAsia="Calibri" w:hAnsi="Calibri"/>
                <w:sz w:val="16"/>
                <w:szCs w:val="16"/>
                <w:color w:val="auto"/>
              </w:rPr>
              <w:t>18%</w:t>
            </w:r>
          </w:p>
        </w:tc>
        <w:tc>
          <w:tcPr>
            <w:tcW w:w="3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rPr>
              <w:t>1,500.0</w:t>
            </w:r>
          </w:p>
        </w:tc>
        <w:tc>
          <w:tcPr>
            <w:tcW w:w="2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6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1,311.1</w:t>
            </w:r>
          </w:p>
        </w:tc>
        <w:tc>
          <w:tcPr>
            <w:tcW w:w="1520" w:type="dxa"/>
            <w:vAlign w:val="bottom"/>
          </w:tcPr>
          <w:p>
            <w:pPr>
              <w:jc w:val="center"/>
              <w:ind w:left="159"/>
              <w:spacing w:after="0" w:line="193" w:lineRule="exact"/>
              <w:rPr>
                <w:sz w:val="20"/>
                <w:szCs w:val="20"/>
                <w:color w:val="auto"/>
              </w:rPr>
            </w:pPr>
            <w:r>
              <w:rPr>
                <w:rFonts w:ascii="Calibri" w:cs="Calibri" w:eastAsia="Calibri" w:hAnsi="Calibri"/>
                <w:sz w:val="16"/>
                <w:szCs w:val="16"/>
                <w:color w:val="auto"/>
              </w:rPr>
              <w:t>Not Met</w:t>
            </w:r>
          </w:p>
        </w:tc>
        <w:tc>
          <w:tcPr>
            <w:tcW w:w="0" w:type="dxa"/>
            <w:vAlign w:val="bottom"/>
          </w:tcPr>
          <w:p>
            <w:pPr>
              <w:spacing w:after="0"/>
              <w:rPr>
                <w:sz w:val="1"/>
                <w:szCs w:val="1"/>
                <w:color w:val="auto"/>
              </w:rPr>
            </w:pPr>
          </w:p>
        </w:tc>
      </w:tr>
      <w:tr>
        <w:trPr>
          <w:trHeight w:val="164"/>
        </w:trPr>
        <w:tc>
          <w:tcPr>
            <w:tcW w:w="3740" w:type="dxa"/>
            <w:vAlign w:val="bottom"/>
          </w:tcPr>
          <w:p>
            <w:pPr>
              <w:ind w:left="200"/>
              <w:spacing w:after="0" w:line="164" w:lineRule="exact"/>
              <w:rPr>
                <w:sz w:val="20"/>
                <w:szCs w:val="20"/>
                <w:color w:val="auto"/>
              </w:rPr>
            </w:pPr>
            <w:r>
              <w:rPr>
                <w:rFonts w:ascii="Calibri" w:cs="Calibri" w:eastAsia="Calibri" w:hAnsi="Calibri"/>
                <w:sz w:val="16"/>
                <w:szCs w:val="16"/>
                <w:color w:val="auto"/>
              </w:rPr>
              <w:t>Non-Gaap diluted earnings per share</w:t>
            </w:r>
          </w:p>
        </w:tc>
        <w:tc>
          <w:tcPr>
            <w:tcW w:w="840" w:type="dxa"/>
            <w:vAlign w:val="bottom"/>
          </w:tcPr>
          <w:p>
            <w:pPr>
              <w:jc w:val="center"/>
              <w:spacing w:after="0" w:line="164" w:lineRule="exact"/>
              <w:rPr>
                <w:sz w:val="20"/>
                <w:szCs w:val="20"/>
                <w:color w:val="auto"/>
              </w:rPr>
            </w:pPr>
            <w:r>
              <w:rPr>
                <w:rFonts w:ascii="Calibri" w:cs="Calibri" w:eastAsia="Calibri" w:hAnsi="Calibri"/>
                <w:sz w:val="16"/>
                <w:szCs w:val="16"/>
                <w:color w:val="auto"/>
              </w:rPr>
              <w:t>77%</w:t>
            </w:r>
          </w:p>
        </w:tc>
        <w:tc>
          <w:tcPr>
            <w:tcW w:w="300" w:type="dxa"/>
            <w:vAlign w:val="bottom"/>
          </w:tcPr>
          <w:p>
            <w:pPr>
              <w:jc w:val="right"/>
              <w:spacing w:after="0" w:line="164" w:lineRule="exact"/>
              <w:rPr>
                <w:sz w:val="20"/>
                <w:szCs w:val="20"/>
                <w:color w:val="auto"/>
              </w:rPr>
            </w:pPr>
            <w:r>
              <w:rPr>
                <w:rFonts w:ascii="Calibri" w:cs="Calibri" w:eastAsia="Calibri" w:hAnsi="Calibri"/>
                <w:sz w:val="16"/>
                <w:szCs w:val="16"/>
                <w:color w:val="auto"/>
              </w:rPr>
              <w:t>$</w:t>
            </w:r>
          </w:p>
        </w:tc>
        <w:tc>
          <w:tcPr>
            <w:tcW w:w="740" w:type="dxa"/>
            <w:vAlign w:val="bottom"/>
          </w:tcPr>
          <w:p>
            <w:pPr>
              <w:jc w:val="right"/>
              <w:ind w:right="99"/>
              <w:spacing w:after="0" w:line="164" w:lineRule="exact"/>
              <w:rPr>
                <w:sz w:val="20"/>
                <w:szCs w:val="20"/>
                <w:color w:val="auto"/>
              </w:rPr>
            </w:pPr>
            <w:r>
              <w:rPr>
                <w:rFonts w:ascii="Calibri" w:cs="Calibri" w:eastAsia="Calibri" w:hAnsi="Calibri"/>
                <w:sz w:val="16"/>
                <w:szCs w:val="16"/>
                <w:color w:val="auto"/>
              </w:rPr>
              <w:t>6.55</w:t>
            </w:r>
          </w:p>
        </w:tc>
        <w:tc>
          <w:tcPr>
            <w:tcW w:w="300" w:type="dxa"/>
            <w:vAlign w:val="bottom"/>
          </w:tcPr>
          <w:p>
            <w:pPr>
              <w:jc w:val="right"/>
              <w:spacing w:after="0" w:line="164" w:lineRule="exact"/>
              <w:rPr>
                <w:sz w:val="20"/>
                <w:szCs w:val="20"/>
                <w:color w:val="auto"/>
              </w:rPr>
            </w:pPr>
            <w:r>
              <w:rPr>
                <w:rFonts w:ascii="Calibri" w:cs="Calibri" w:eastAsia="Calibri" w:hAnsi="Calibri"/>
                <w:sz w:val="16"/>
                <w:szCs w:val="16"/>
                <w:color w:val="auto"/>
              </w:rPr>
              <w:t>$</w:t>
            </w:r>
          </w:p>
        </w:tc>
        <w:tc>
          <w:tcPr>
            <w:tcW w:w="680" w:type="dxa"/>
            <w:vAlign w:val="bottom"/>
          </w:tcPr>
          <w:p>
            <w:pPr>
              <w:jc w:val="right"/>
              <w:ind w:right="39"/>
              <w:spacing w:after="0" w:line="164" w:lineRule="exact"/>
              <w:rPr>
                <w:sz w:val="20"/>
                <w:szCs w:val="20"/>
                <w:color w:val="auto"/>
              </w:rPr>
            </w:pPr>
            <w:r>
              <w:rPr>
                <w:rFonts w:ascii="Calibri" w:cs="Calibri" w:eastAsia="Calibri" w:hAnsi="Calibri"/>
                <w:sz w:val="16"/>
                <w:szCs w:val="16"/>
                <w:color w:val="auto"/>
              </w:rPr>
              <w:t>4.81</w:t>
            </w:r>
          </w:p>
        </w:tc>
        <w:tc>
          <w:tcPr>
            <w:tcW w:w="1060" w:type="dxa"/>
            <w:vAlign w:val="bottom"/>
            <w:gridSpan w:val="2"/>
          </w:tcPr>
          <w:p>
            <w:pPr>
              <w:jc w:val="center"/>
              <w:ind w:left="99"/>
              <w:spacing w:after="0" w:line="164" w:lineRule="exact"/>
              <w:rPr>
                <w:sz w:val="20"/>
                <w:szCs w:val="20"/>
                <w:color w:val="auto"/>
              </w:rPr>
            </w:pPr>
            <w:r>
              <w:rPr>
                <w:rFonts w:ascii="Calibri" w:cs="Calibri" w:eastAsia="Calibri" w:hAnsi="Calibri"/>
                <w:sz w:val="16"/>
                <w:szCs w:val="16"/>
                <w:color w:val="auto"/>
              </w:rPr>
              <w:t>77%</w:t>
            </w:r>
          </w:p>
        </w:tc>
        <w:tc>
          <w:tcPr>
            <w:tcW w:w="300" w:type="dxa"/>
            <w:vAlign w:val="bottom"/>
          </w:tcPr>
          <w:p>
            <w:pPr>
              <w:jc w:val="right"/>
              <w:spacing w:after="0" w:line="164" w:lineRule="exact"/>
              <w:rPr>
                <w:sz w:val="20"/>
                <w:szCs w:val="20"/>
                <w:color w:val="auto"/>
              </w:rPr>
            </w:pPr>
            <w:r>
              <w:rPr>
                <w:rFonts w:ascii="Calibri" w:cs="Calibri" w:eastAsia="Calibri" w:hAnsi="Calibri"/>
                <w:sz w:val="16"/>
                <w:szCs w:val="16"/>
                <w:color w:val="auto"/>
              </w:rPr>
              <w:t>$</w:t>
            </w:r>
          </w:p>
        </w:tc>
        <w:tc>
          <w:tcPr>
            <w:tcW w:w="800" w:type="dxa"/>
            <w:vAlign w:val="bottom"/>
          </w:tcPr>
          <w:p>
            <w:pPr>
              <w:jc w:val="right"/>
              <w:ind w:right="119"/>
              <w:spacing w:after="0" w:line="164" w:lineRule="exact"/>
              <w:rPr>
                <w:sz w:val="20"/>
                <w:szCs w:val="20"/>
                <w:color w:val="auto"/>
              </w:rPr>
            </w:pPr>
            <w:r>
              <w:rPr>
                <w:rFonts w:ascii="Calibri" w:cs="Calibri" w:eastAsia="Calibri" w:hAnsi="Calibri"/>
                <w:sz w:val="16"/>
                <w:szCs w:val="16"/>
                <w:color w:val="auto"/>
              </w:rPr>
              <w:t>3.40</w:t>
            </w:r>
          </w:p>
        </w:tc>
        <w:tc>
          <w:tcPr>
            <w:tcW w:w="280" w:type="dxa"/>
            <w:vAlign w:val="bottom"/>
          </w:tcPr>
          <w:p>
            <w:pPr>
              <w:jc w:val="right"/>
              <w:spacing w:after="0" w:line="164" w:lineRule="exact"/>
              <w:rPr>
                <w:sz w:val="20"/>
                <w:szCs w:val="20"/>
                <w:color w:val="auto"/>
              </w:rPr>
            </w:pPr>
            <w:r>
              <w:rPr>
                <w:rFonts w:ascii="Calibri" w:cs="Calibri" w:eastAsia="Calibri" w:hAnsi="Calibri"/>
                <w:sz w:val="16"/>
                <w:szCs w:val="16"/>
                <w:color w:val="auto"/>
              </w:rPr>
              <w:t>$</w:t>
            </w:r>
          </w:p>
        </w:tc>
        <w:tc>
          <w:tcPr>
            <w:tcW w:w="680" w:type="dxa"/>
            <w:vAlign w:val="bottom"/>
          </w:tcPr>
          <w:p>
            <w:pPr>
              <w:jc w:val="right"/>
              <w:ind w:right="39"/>
              <w:spacing w:after="0" w:line="164" w:lineRule="exact"/>
              <w:rPr>
                <w:sz w:val="20"/>
                <w:szCs w:val="20"/>
                <w:color w:val="auto"/>
              </w:rPr>
            </w:pPr>
            <w:r>
              <w:rPr>
                <w:rFonts w:ascii="Calibri" w:cs="Calibri" w:eastAsia="Calibri" w:hAnsi="Calibri"/>
                <w:sz w:val="16"/>
                <w:szCs w:val="16"/>
                <w:color w:val="auto"/>
              </w:rPr>
              <w:t>1.31</w:t>
            </w:r>
          </w:p>
        </w:tc>
        <w:tc>
          <w:tcPr>
            <w:tcW w:w="1520" w:type="dxa"/>
            <w:vAlign w:val="bottom"/>
          </w:tcPr>
          <w:p>
            <w:pPr>
              <w:jc w:val="center"/>
              <w:ind w:left="159"/>
              <w:spacing w:after="0" w:line="164" w:lineRule="exact"/>
              <w:rPr>
                <w:sz w:val="20"/>
                <w:szCs w:val="20"/>
                <w:color w:val="auto"/>
              </w:rPr>
            </w:pPr>
            <w:r>
              <w:rPr>
                <w:rFonts w:ascii="Calibri" w:cs="Calibri" w:eastAsia="Calibri" w:hAnsi="Calibri"/>
                <w:sz w:val="16"/>
                <w:szCs w:val="16"/>
                <w:color w:val="auto"/>
              </w:rPr>
              <w:t>Not Met</w:t>
            </w:r>
          </w:p>
        </w:tc>
        <w:tc>
          <w:tcPr>
            <w:tcW w:w="0" w:type="dxa"/>
            <w:vAlign w:val="bottom"/>
          </w:tcPr>
          <w:p>
            <w:pPr>
              <w:spacing w:after="0"/>
              <w:rPr>
                <w:sz w:val="1"/>
                <w:szCs w:val="1"/>
                <w:color w:val="auto"/>
              </w:rPr>
            </w:pPr>
          </w:p>
        </w:tc>
      </w:tr>
      <w:tr>
        <w:trPr>
          <w:trHeight w:val="250"/>
        </w:trPr>
        <w:tc>
          <w:tcPr>
            <w:tcW w:w="3740" w:type="dxa"/>
            <w:vAlign w:val="bottom"/>
          </w:tcPr>
          <w:p>
            <w:pPr>
              <w:ind w:left="200"/>
              <w:spacing w:after="0" w:line="249" w:lineRule="exact"/>
              <w:rPr>
                <w:sz w:val="20"/>
                <w:szCs w:val="20"/>
                <w:color w:val="auto"/>
              </w:rPr>
            </w:pPr>
            <w:r>
              <w:rPr>
                <w:rFonts w:ascii="Calibri" w:cs="Calibri" w:eastAsia="Calibri" w:hAnsi="Calibri"/>
                <w:sz w:val="16"/>
                <w:szCs w:val="16"/>
                <w:color w:val="auto"/>
              </w:rPr>
              <w:t xml:space="preserve">CSER </w:t>
            </w:r>
            <w:r>
              <w:rPr>
                <w:rFonts w:ascii="Calibri" w:cs="Calibri" w:eastAsia="Calibri" w:hAnsi="Calibri"/>
                <w:sz w:val="21"/>
                <w:szCs w:val="21"/>
                <w:color w:val="auto"/>
                <w:vertAlign w:val="superscript"/>
              </w:rPr>
              <w:t>(1)</w:t>
            </w:r>
          </w:p>
        </w:tc>
        <w:tc>
          <w:tcPr>
            <w:tcW w:w="840" w:type="dxa"/>
            <w:vAlign w:val="bottom"/>
          </w:tcPr>
          <w:p>
            <w:pPr>
              <w:jc w:val="center"/>
              <w:spacing w:after="0"/>
              <w:rPr>
                <w:sz w:val="20"/>
                <w:szCs w:val="20"/>
                <w:color w:val="auto"/>
              </w:rPr>
            </w:pPr>
            <w:r>
              <w:rPr>
                <w:rFonts w:ascii="Calibri" w:cs="Calibri" w:eastAsia="Calibri" w:hAnsi="Calibri"/>
                <w:sz w:val="16"/>
                <w:szCs w:val="16"/>
                <w:color w:val="auto"/>
              </w:rPr>
              <w:t>5%</w:t>
            </w:r>
          </w:p>
        </w:tc>
        <w:tc>
          <w:tcPr>
            <w:tcW w:w="300" w:type="dxa"/>
            <w:vAlign w:val="bottom"/>
          </w:tcPr>
          <w:p>
            <w:pPr>
              <w:spacing w:after="0"/>
              <w:rPr>
                <w:sz w:val="21"/>
                <w:szCs w:val="21"/>
                <w:color w:val="auto"/>
              </w:rPr>
            </w:pPr>
          </w:p>
        </w:tc>
        <w:tc>
          <w:tcPr>
            <w:tcW w:w="740" w:type="dxa"/>
            <w:vAlign w:val="bottom"/>
          </w:tcPr>
          <w:p>
            <w:pPr>
              <w:jc w:val="right"/>
              <w:ind w:right="99"/>
              <w:spacing w:after="0"/>
              <w:rPr>
                <w:sz w:val="20"/>
                <w:szCs w:val="20"/>
                <w:color w:val="auto"/>
              </w:rPr>
            </w:pPr>
            <w:r>
              <w:rPr>
                <w:rFonts w:ascii="Calibri" w:cs="Calibri" w:eastAsia="Calibri" w:hAnsi="Calibri"/>
                <w:sz w:val="16"/>
                <w:szCs w:val="16"/>
                <w:color w:val="auto"/>
              </w:rPr>
              <w:t>7</w:t>
            </w:r>
          </w:p>
        </w:tc>
        <w:tc>
          <w:tcPr>
            <w:tcW w:w="300" w:type="dxa"/>
            <w:vAlign w:val="bottom"/>
          </w:tcPr>
          <w:p>
            <w:pPr>
              <w:spacing w:after="0"/>
              <w:rPr>
                <w:sz w:val="21"/>
                <w:szCs w:val="21"/>
                <w:color w:val="auto"/>
              </w:rPr>
            </w:pPr>
          </w:p>
        </w:tc>
        <w:tc>
          <w:tcPr>
            <w:tcW w:w="680" w:type="dxa"/>
            <w:vAlign w:val="bottom"/>
          </w:tcPr>
          <w:p>
            <w:pPr>
              <w:jc w:val="right"/>
              <w:ind w:right="39"/>
              <w:spacing w:after="0"/>
              <w:rPr>
                <w:sz w:val="20"/>
                <w:szCs w:val="20"/>
                <w:color w:val="auto"/>
              </w:rPr>
            </w:pPr>
            <w:r>
              <w:rPr>
                <w:rFonts w:ascii="Calibri" w:cs="Calibri" w:eastAsia="Calibri" w:hAnsi="Calibri"/>
                <w:sz w:val="16"/>
                <w:szCs w:val="16"/>
                <w:color w:val="auto"/>
              </w:rPr>
              <w:t>5</w:t>
            </w:r>
          </w:p>
        </w:tc>
        <w:tc>
          <w:tcPr>
            <w:tcW w:w="1060" w:type="dxa"/>
            <w:vAlign w:val="bottom"/>
            <w:gridSpan w:val="2"/>
          </w:tcPr>
          <w:p>
            <w:pPr>
              <w:jc w:val="center"/>
              <w:ind w:left="99"/>
              <w:spacing w:after="0"/>
              <w:rPr>
                <w:sz w:val="20"/>
                <w:szCs w:val="20"/>
                <w:color w:val="auto"/>
              </w:rPr>
            </w:pPr>
            <w:r>
              <w:rPr>
                <w:rFonts w:ascii="Calibri" w:cs="Calibri" w:eastAsia="Calibri" w:hAnsi="Calibri"/>
                <w:sz w:val="16"/>
                <w:szCs w:val="16"/>
                <w:color w:val="auto"/>
              </w:rPr>
              <w:t>5%</w:t>
            </w:r>
          </w:p>
        </w:tc>
        <w:tc>
          <w:tcPr>
            <w:tcW w:w="300" w:type="dxa"/>
            <w:vAlign w:val="bottom"/>
          </w:tcPr>
          <w:p>
            <w:pPr>
              <w:spacing w:after="0"/>
              <w:rPr>
                <w:sz w:val="21"/>
                <w:szCs w:val="21"/>
                <w:color w:val="auto"/>
              </w:rPr>
            </w:pPr>
          </w:p>
        </w:tc>
        <w:tc>
          <w:tcPr>
            <w:tcW w:w="800" w:type="dxa"/>
            <w:vAlign w:val="bottom"/>
          </w:tcPr>
          <w:p>
            <w:pPr>
              <w:jc w:val="right"/>
              <w:ind w:right="119"/>
              <w:spacing w:after="0"/>
              <w:rPr>
                <w:sz w:val="20"/>
                <w:szCs w:val="20"/>
                <w:color w:val="auto"/>
              </w:rPr>
            </w:pPr>
            <w:r>
              <w:rPr>
                <w:rFonts w:ascii="Calibri" w:cs="Calibri" w:eastAsia="Calibri" w:hAnsi="Calibri"/>
                <w:sz w:val="16"/>
                <w:szCs w:val="16"/>
                <w:color w:val="auto"/>
              </w:rPr>
              <w:t>7</w:t>
            </w:r>
          </w:p>
        </w:tc>
        <w:tc>
          <w:tcPr>
            <w:tcW w:w="280" w:type="dxa"/>
            <w:vAlign w:val="bottom"/>
          </w:tcPr>
          <w:p>
            <w:pPr>
              <w:spacing w:after="0"/>
              <w:rPr>
                <w:sz w:val="21"/>
                <w:szCs w:val="21"/>
                <w:color w:val="auto"/>
              </w:rPr>
            </w:pPr>
          </w:p>
        </w:tc>
        <w:tc>
          <w:tcPr>
            <w:tcW w:w="680" w:type="dxa"/>
            <w:vAlign w:val="bottom"/>
          </w:tcPr>
          <w:p>
            <w:pPr>
              <w:jc w:val="right"/>
              <w:ind w:right="39"/>
              <w:spacing w:after="0"/>
              <w:rPr>
                <w:sz w:val="20"/>
                <w:szCs w:val="20"/>
                <w:color w:val="auto"/>
              </w:rPr>
            </w:pPr>
            <w:r>
              <w:rPr>
                <w:rFonts w:ascii="Calibri" w:cs="Calibri" w:eastAsia="Calibri" w:hAnsi="Calibri"/>
                <w:sz w:val="16"/>
                <w:szCs w:val="16"/>
                <w:color w:val="auto"/>
              </w:rPr>
              <w:t>5</w:t>
            </w:r>
          </w:p>
        </w:tc>
        <w:tc>
          <w:tcPr>
            <w:tcW w:w="1520" w:type="dxa"/>
            <w:vAlign w:val="bottom"/>
          </w:tcPr>
          <w:p>
            <w:pPr>
              <w:jc w:val="center"/>
              <w:ind w:left="159"/>
              <w:spacing w:after="0"/>
              <w:rPr>
                <w:sz w:val="20"/>
                <w:szCs w:val="20"/>
                <w:color w:val="auto"/>
              </w:rPr>
            </w:pPr>
            <w:r>
              <w:rPr>
                <w:rFonts w:ascii="Calibri" w:cs="Calibri" w:eastAsia="Calibri" w:hAnsi="Calibri"/>
                <w:sz w:val="16"/>
                <w:szCs w:val="16"/>
                <w:color w:val="auto"/>
              </w:rPr>
              <w:t>Exceeded</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20"/>
              <w:spacing w:after="0" w:line="194" w:lineRule="exact"/>
              <w:rPr>
                <w:sz w:val="20"/>
                <w:szCs w:val="20"/>
                <w:color w:val="auto"/>
              </w:rPr>
            </w:pPr>
            <w:r>
              <w:rPr>
                <w:rFonts w:ascii="Calibri" w:cs="Calibri" w:eastAsia="Calibri" w:hAnsi="Calibri"/>
                <w:sz w:val="16"/>
                <w:szCs w:val="16"/>
                <w:color w:val="auto"/>
              </w:rPr>
              <w:t>Strategic objectves (20% of award)</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40" w:type="dxa"/>
            <w:vAlign w:val="bottom"/>
          </w:tcPr>
          <w:p>
            <w:pPr>
              <w:ind w:left="200"/>
              <w:spacing w:after="0" w:line="184" w:lineRule="exact"/>
              <w:rPr>
                <w:sz w:val="20"/>
                <w:szCs w:val="20"/>
                <w:color w:val="auto"/>
              </w:rPr>
            </w:pPr>
            <w:r>
              <w:rPr>
                <w:rFonts w:ascii="Calibri" w:cs="Calibri" w:eastAsia="Calibri" w:hAnsi="Calibri"/>
                <w:sz w:val="16"/>
                <w:szCs w:val="16"/>
                <w:color w:val="auto"/>
              </w:rPr>
              <w:t>Meetng and exceeding the 2024 Annual Plan</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740" w:type="dxa"/>
            <w:vAlign w:val="bottom"/>
          </w:tcPr>
          <w:p>
            <w:pPr>
              <w:ind w:left="200"/>
              <w:spacing w:after="0" w:line="193" w:lineRule="exact"/>
              <w:rPr>
                <w:sz w:val="20"/>
                <w:szCs w:val="20"/>
                <w:color w:val="auto"/>
              </w:rPr>
            </w:pPr>
            <w:r>
              <w:rPr>
                <w:rFonts w:ascii="Calibri" w:cs="Calibri" w:eastAsia="Calibri" w:hAnsi="Calibri"/>
                <w:sz w:val="16"/>
                <w:szCs w:val="16"/>
                <w:color w:val="auto"/>
              </w:rPr>
              <w:t>while maintaining momentum during the</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20" w:type="dxa"/>
            <w:vAlign w:val="bottom"/>
          </w:tcPr>
          <w:p>
            <w:pPr>
              <w:jc w:val="center"/>
              <w:ind w:left="159"/>
              <w:spacing w:after="0" w:line="234" w:lineRule="exact"/>
              <w:rPr>
                <w:sz w:val="20"/>
                <w:szCs w:val="20"/>
                <w:color w:val="auto"/>
              </w:rPr>
            </w:pPr>
            <w:r>
              <w:rPr>
                <w:rFonts w:ascii="Calibri" w:cs="Calibri" w:eastAsia="Calibri" w:hAnsi="Calibri"/>
                <w:sz w:val="16"/>
                <w:szCs w:val="16"/>
                <w:color w:val="auto"/>
                <w:w w:val="98"/>
              </w:rPr>
              <w:t xml:space="preserve">Not met </w:t>
            </w:r>
            <w:r>
              <w:rPr>
                <w:rFonts w:ascii="Calibri" w:cs="Calibri" w:eastAsia="Calibri" w:hAnsi="Calibri"/>
                <w:sz w:val="21"/>
                <w:szCs w:val="21"/>
                <w:color w:val="auto"/>
                <w:w w:val="98"/>
                <w:vertAlign w:val="superscript"/>
              </w:rPr>
              <w:t>(2)</w:t>
            </w:r>
          </w:p>
        </w:tc>
        <w:tc>
          <w:tcPr>
            <w:tcW w:w="0" w:type="dxa"/>
            <w:vAlign w:val="bottom"/>
          </w:tcPr>
          <w:p>
            <w:pPr>
              <w:spacing w:after="0"/>
              <w:rPr>
                <w:sz w:val="1"/>
                <w:szCs w:val="1"/>
                <w:color w:val="auto"/>
              </w:rPr>
            </w:pPr>
          </w:p>
        </w:tc>
      </w:tr>
      <w:tr>
        <w:trPr>
          <w:trHeight w:val="170"/>
        </w:trPr>
        <w:tc>
          <w:tcPr>
            <w:tcW w:w="3740" w:type="dxa"/>
            <w:vAlign w:val="bottom"/>
          </w:tcPr>
          <w:p>
            <w:pPr>
              <w:ind w:left="200"/>
              <w:spacing w:after="0" w:line="171" w:lineRule="exact"/>
              <w:rPr>
                <w:sz w:val="20"/>
                <w:szCs w:val="20"/>
                <w:color w:val="auto"/>
              </w:rPr>
            </w:pPr>
            <w:r>
              <w:rPr>
                <w:rFonts w:ascii="Calibri" w:cs="Calibri" w:eastAsia="Calibri" w:hAnsi="Calibri"/>
                <w:sz w:val="16"/>
                <w:szCs w:val="16"/>
                <w:color w:val="auto"/>
              </w:rPr>
              <w:t>worldwide economic and supply chain issues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200"/>
              <w:spacing w:after="0" w:line="193" w:lineRule="exact"/>
              <w:rPr>
                <w:sz w:val="20"/>
                <w:szCs w:val="20"/>
                <w:color w:val="auto"/>
              </w:rPr>
            </w:pPr>
            <w:r>
              <w:rPr>
                <w:rFonts w:ascii="Calibri" w:cs="Calibri" w:eastAsia="Calibri" w:hAnsi="Calibri"/>
                <w:sz w:val="16"/>
                <w:szCs w:val="16"/>
                <w:color w:val="auto"/>
              </w:rPr>
              <w:t>towards the Company’s goals for 2025</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740" w:type="dxa"/>
            <w:vAlign w:val="bottom"/>
            <w:shd w:val="clear" w:color="auto" w:fill="CFF0FC"/>
          </w:tcPr>
          <w:p>
            <w:pPr>
              <w:ind w:left="200"/>
              <w:spacing w:after="0" w:line="184" w:lineRule="exact"/>
              <w:rPr>
                <w:sz w:val="20"/>
                <w:szCs w:val="20"/>
                <w:color w:val="auto"/>
              </w:rPr>
            </w:pPr>
            <w:r>
              <w:rPr>
                <w:rFonts w:ascii="Calibri" w:cs="Calibri" w:eastAsia="Calibri" w:hAnsi="Calibri"/>
                <w:sz w:val="16"/>
                <w:szCs w:val="16"/>
                <w:color w:val="auto"/>
              </w:rPr>
              <w:t>Expanding and improving the Company’s focus</w:t>
            </w: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520" w:type="dxa"/>
            <w:vAlign w:val="bottom"/>
            <w:vMerge w:val="restart"/>
            <w:shd w:val="clear" w:color="auto" w:fill="CFF0FC"/>
          </w:tcPr>
          <w:p>
            <w:pPr>
              <w:jc w:val="center"/>
              <w:ind w:left="159"/>
              <w:spacing w:after="0"/>
              <w:rPr>
                <w:sz w:val="20"/>
                <w:szCs w:val="20"/>
                <w:color w:val="auto"/>
              </w:rPr>
            </w:pPr>
            <w:r>
              <w:rPr>
                <w:rFonts w:ascii="Calibri" w:cs="Calibri" w:eastAsia="Calibri" w:hAnsi="Calibri"/>
                <w:sz w:val="16"/>
                <w:szCs w:val="16"/>
                <w:color w:val="auto"/>
                <w:w w:val="96"/>
              </w:rPr>
              <w:t xml:space="preserve">Achieved </w:t>
            </w:r>
            <w:r>
              <w:rPr>
                <w:rFonts w:ascii="Calibri" w:cs="Calibri" w:eastAsia="Calibri" w:hAnsi="Calibri"/>
                <w:sz w:val="21"/>
                <w:szCs w:val="21"/>
                <w:color w:val="auto"/>
                <w:w w:val="96"/>
                <w:vertAlign w:val="superscript"/>
              </w:rPr>
              <w:t>(3)</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on environmental, social, and governance related</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5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4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actvites and reportng</w:t>
            </w:r>
          </w:p>
        </w:tc>
        <w:tc>
          <w:tcPr>
            <w:tcW w:w="8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40" w:type="dxa"/>
            <w:vAlign w:val="bottom"/>
          </w:tcPr>
          <w:p>
            <w:pPr>
              <w:ind w:left="200"/>
              <w:spacing w:after="0" w:line="184" w:lineRule="exact"/>
              <w:rPr>
                <w:sz w:val="20"/>
                <w:szCs w:val="20"/>
                <w:color w:val="auto"/>
              </w:rPr>
            </w:pPr>
            <w:r>
              <w:rPr>
                <w:rFonts w:ascii="Calibri" w:cs="Calibri" w:eastAsia="Calibri" w:hAnsi="Calibri"/>
                <w:sz w:val="16"/>
                <w:szCs w:val="16"/>
                <w:color w:val="auto"/>
              </w:rPr>
              <w:t>Ramping up Diodes product producton in the</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740" w:type="dxa"/>
            <w:vAlign w:val="bottom"/>
          </w:tcPr>
          <w:p>
            <w:pPr>
              <w:ind w:left="200"/>
              <w:spacing w:after="0" w:line="193" w:lineRule="exact"/>
              <w:rPr>
                <w:sz w:val="20"/>
                <w:szCs w:val="20"/>
                <w:color w:val="auto"/>
              </w:rPr>
            </w:pPr>
            <w:r>
              <w:rPr>
                <w:rFonts w:ascii="Calibri" w:cs="Calibri" w:eastAsia="Calibri" w:hAnsi="Calibri"/>
                <w:sz w:val="16"/>
                <w:szCs w:val="16"/>
                <w:color w:val="auto"/>
              </w:rPr>
              <w:t>Company’s newer wafer fabricaton facility in</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20" w:type="dxa"/>
            <w:vAlign w:val="bottom"/>
          </w:tcPr>
          <w:p>
            <w:pPr>
              <w:jc w:val="center"/>
              <w:ind w:left="159"/>
              <w:spacing w:after="0" w:line="248" w:lineRule="exact"/>
              <w:rPr>
                <w:sz w:val="20"/>
                <w:szCs w:val="20"/>
                <w:color w:val="auto"/>
              </w:rPr>
            </w:pPr>
            <w:r>
              <w:rPr>
                <w:rFonts w:ascii="Calibri" w:cs="Calibri" w:eastAsia="Calibri" w:hAnsi="Calibri"/>
                <w:sz w:val="16"/>
                <w:szCs w:val="16"/>
                <w:color w:val="auto"/>
                <w:w w:val="96"/>
              </w:rPr>
              <w:t xml:space="preserve">Achieved </w:t>
            </w:r>
            <w:r>
              <w:rPr>
                <w:rFonts w:ascii="Calibri" w:cs="Calibri" w:eastAsia="Calibri" w:hAnsi="Calibri"/>
                <w:sz w:val="21"/>
                <w:szCs w:val="21"/>
                <w:color w:val="auto"/>
                <w:w w:val="96"/>
                <w:vertAlign w:val="superscript"/>
              </w:rPr>
              <w:t>(4)</w:t>
            </w:r>
          </w:p>
        </w:tc>
        <w:tc>
          <w:tcPr>
            <w:tcW w:w="0" w:type="dxa"/>
            <w:vAlign w:val="bottom"/>
          </w:tcPr>
          <w:p>
            <w:pPr>
              <w:spacing w:after="0"/>
              <w:rPr>
                <w:sz w:val="1"/>
                <w:szCs w:val="1"/>
                <w:color w:val="auto"/>
              </w:rPr>
            </w:pPr>
          </w:p>
        </w:tc>
      </w:tr>
      <w:tr>
        <w:trPr>
          <w:trHeight w:val="157"/>
        </w:trPr>
        <w:tc>
          <w:tcPr>
            <w:tcW w:w="3740" w:type="dxa"/>
            <w:vAlign w:val="bottom"/>
          </w:tcPr>
          <w:p>
            <w:pPr>
              <w:ind w:left="200"/>
              <w:spacing w:after="0" w:line="157" w:lineRule="exact"/>
              <w:rPr>
                <w:sz w:val="20"/>
                <w:szCs w:val="20"/>
                <w:color w:val="auto"/>
              </w:rPr>
            </w:pPr>
            <w:r>
              <w:rPr>
                <w:rFonts w:ascii="Calibri" w:cs="Calibri" w:eastAsia="Calibri" w:hAnsi="Calibri"/>
                <w:sz w:val="16"/>
                <w:szCs w:val="16"/>
                <w:color w:val="auto"/>
              </w:rPr>
              <w:t>South Portland, Maine as non-Diodes product</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740" w:type="dxa"/>
            <w:vAlign w:val="bottom"/>
          </w:tcPr>
          <w:p>
            <w:pPr>
              <w:ind w:left="200"/>
              <w:spacing w:after="0" w:line="193" w:lineRule="exact"/>
              <w:rPr>
                <w:sz w:val="20"/>
                <w:szCs w:val="20"/>
                <w:color w:val="auto"/>
              </w:rPr>
            </w:pPr>
            <w:r>
              <w:rPr>
                <w:rFonts w:ascii="Calibri" w:cs="Calibri" w:eastAsia="Calibri" w:hAnsi="Calibri"/>
                <w:sz w:val="16"/>
                <w:szCs w:val="16"/>
                <w:color w:val="auto"/>
              </w:rPr>
              <w:t>producton winds down</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Reducing the Company’s dependence upon its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520" w:type="dxa"/>
            <w:vAlign w:val="bottom"/>
            <w:shd w:val="clear" w:color="auto" w:fill="CFF0FC"/>
          </w:tcPr>
          <w:p>
            <w:pPr>
              <w:jc w:val="center"/>
              <w:ind w:left="159"/>
              <w:spacing w:after="0" w:line="229" w:lineRule="exact"/>
              <w:rPr>
                <w:sz w:val="20"/>
                <w:szCs w:val="20"/>
                <w:color w:val="auto"/>
              </w:rPr>
            </w:pPr>
            <w:r>
              <w:rPr>
                <w:rFonts w:ascii="Calibri" w:cs="Calibri" w:eastAsia="Calibri" w:hAnsi="Calibri"/>
                <w:sz w:val="16"/>
                <w:szCs w:val="16"/>
                <w:color w:val="auto"/>
                <w:w w:val="96"/>
              </w:rPr>
              <w:t xml:space="preserve">Achieved </w:t>
            </w:r>
            <w:r>
              <w:rPr>
                <w:rFonts w:ascii="Calibri" w:cs="Calibri" w:eastAsia="Calibri" w:hAnsi="Calibri"/>
                <w:sz w:val="21"/>
                <w:szCs w:val="21"/>
                <w:color w:val="auto"/>
                <w:w w:val="96"/>
                <w:vertAlign w:val="superscript"/>
              </w:rPr>
              <w:t>(5)</w:t>
            </w: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0"/>
              <w:spacing w:after="0" w:line="175" w:lineRule="exact"/>
              <w:rPr>
                <w:sz w:val="20"/>
                <w:szCs w:val="20"/>
                <w:color w:val="auto"/>
              </w:rPr>
            </w:pPr>
            <w:r>
              <w:rPr>
                <w:rFonts w:ascii="Calibri" w:cs="Calibri" w:eastAsia="Calibri" w:hAnsi="Calibri"/>
                <w:sz w:val="16"/>
                <w:szCs w:val="16"/>
                <w:color w:val="auto"/>
              </w:rPr>
              <w:t>assembly test facilites in China</w:t>
            </w: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hanging="192"/>
        <w:spacing w:after="0" w:line="218" w:lineRule="auto"/>
        <w:tabs>
          <w:tab w:leader="none" w:pos="2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The Company combines the social and environmental scores provided by Insttutonal Shareholder Services as a CSER measurement;</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The Company's management did not meet or exceed the 2024 Annual Plan;</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The Company has expanded its focus on ESG:</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The Company contnues to replace non-Diodes products with Diodes' products at SPFAB; and,</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The Company has reduced and contnues to reduce its dependence on its China assembly and test facilites.</w:t>
      </w:r>
    </w:p>
    <w:p>
      <w:pPr>
        <w:spacing w:after="0" w:line="104"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following payout percentages, as a percent of target opportunity, for 2024 were calculated based upon the weight of each performance objectve for 2024 and the results set forth above: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20" w:type="dxa"/>
            <w:vAlign w:val="bottom"/>
            <w:tcBorders>
              <w:top w:val="single" w:sz="8" w:color="005CA9"/>
            </w:tcBorders>
          </w:tcPr>
          <w:p>
            <w:pPr>
              <w:ind w:left="20"/>
              <w:spacing w:after="0"/>
              <w:rPr>
                <w:sz w:val="20"/>
                <w:szCs w:val="20"/>
                <w:color w:val="auto"/>
              </w:rPr>
            </w:pPr>
            <w:r>
              <w:rPr>
                <w:rFonts w:ascii="Calibri" w:cs="Calibri" w:eastAsia="Calibri" w:hAnsi="Calibri"/>
                <w:sz w:val="20"/>
                <w:szCs w:val="20"/>
                <w:b w:val="1"/>
                <w:bCs w:val="1"/>
                <w:color w:val="auto"/>
              </w:rPr>
              <w:t>Performance Objectve</w:t>
            </w:r>
          </w:p>
        </w:tc>
        <w:tc>
          <w:tcPr>
            <w:tcW w:w="2740" w:type="dxa"/>
            <w:vAlign w:val="bottom"/>
            <w:tcBorders>
              <w:top w:val="single" w:sz="8" w:color="005CA9"/>
            </w:tcBorders>
          </w:tcPr>
          <w:p>
            <w:pPr>
              <w:ind w:left="780"/>
              <w:spacing w:after="0"/>
              <w:rPr>
                <w:sz w:val="20"/>
                <w:szCs w:val="20"/>
                <w:color w:val="auto"/>
              </w:rPr>
            </w:pPr>
            <w:r>
              <w:rPr>
                <w:rFonts w:ascii="Calibri" w:cs="Calibri" w:eastAsia="Calibri" w:hAnsi="Calibri"/>
                <w:sz w:val="20"/>
                <w:szCs w:val="20"/>
                <w:b w:val="1"/>
                <w:bCs w:val="1"/>
                <w:color w:val="auto"/>
              </w:rPr>
              <w:t>% Atained to Target</w:t>
            </w:r>
          </w:p>
        </w:tc>
        <w:tc>
          <w:tcPr>
            <w:tcW w:w="2540" w:type="dxa"/>
            <w:vAlign w:val="bottom"/>
            <w:tcBorders>
              <w:top w:val="single" w:sz="8" w:color="005CA9"/>
            </w:tcBorders>
          </w:tcPr>
          <w:p>
            <w:pPr>
              <w:ind w:left="220"/>
              <w:spacing w:after="0"/>
              <w:rPr>
                <w:sz w:val="20"/>
                <w:szCs w:val="20"/>
                <w:color w:val="auto"/>
              </w:rPr>
            </w:pPr>
            <w:r>
              <w:rPr>
                <w:rFonts w:ascii="Calibri" w:cs="Calibri" w:eastAsia="Calibri" w:hAnsi="Calibri"/>
                <w:sz w:val="20"/>
                <w:szCs w:val="20"/>
                <w:b w:val="1"/>
                <w:bCs w:val="1"/>
                <w:color w:val="auto"/>
              </w:rPr>
              <w:t>% Payout to Target</w:t>
            </w:r>
          </w:p>
        </w:tc>
        <w:tc>
          <w:tcPr>
            <w:tcW w:w="2540" w:type="dxa"/>
            <w:vAlign w:val="bottom"/>
            <w:tcBorders>
              <w:top w:val="single" w:sz="8" w:color="005CA9"/>
            </w:tcBorders>
          </w:tcPr>
          <w:p>
            <w:pPr>
              <w:ind w:left="740"/>
              <w:spacing w:after="0"/>
              <w:rPr>
                <w:sz w:val="20"/>
                <w:szCs w:val="20"/>
                <w:color w:val="auto"/>
              </w:rPr>
            </w:pPr>
            <w:r>
              <w:rPr>
                <w:rFonts w:ascii="Calibri" w:cs="Calibri" w:eastAsia="Calibri" w:hAnsi="Calibri"/>
                <w:sz w:val="20"/>
                <w:szCs w:val="20"/>
                <w:b w:val="1"/>
                <w:bCs w:val="1"/>
                <w:color w:val="auto"/>
              </w:rPr>
              <w:t>Weight</w:t>
            </w:r>
          </w:p>
        </w:tc>
      </w:tr>
      <w:tr>
        <w:trPr>
          <w:trHeight w:val="72"/>
        </w:trPr>
        <w:tc>
          <w:tcPr>
            <w:tcW w:w="3420" w:type="dxa"/>
            <w:vAlign w:val="bottom"/>
            <w:shd w:val="clear" w:color="auto" w:fill="4F81BD"/>
          </w:tcPr>
          <w:p>
            <w:pPr>
              <w:spacing w:after="0"/>
              <w:rPr>
                <w:sz w:val="6"/>
                <w:szCs w:val="6"/>
                <w:color w:val="auto"/>
              </w:rPr>
            </w:pPr>
          </w:p>
        </w:tc>
        <w:tc>
          <w:tcPr>
            <w:tcW w:w="2740" w:type="dxa"/>
            <w:vAlign w:val="bottom"/>
            <w:shd w:val="clear" w:color="auto" w:fill="4F81BD"/>
          </w:tcPr>
          <w:p>
            <w:pPr>
              <w:spacing w:after="0"/>
              <w:rPr>
                <w:sz w:val="6"/>
                <w:szCs w:val="6"/>
                <w:color w:val="auto"/>
              </w:rPr>
            </w:pPr>
          </w:p>
        </w:tc>
        <w:tc>
          <w:tcPr>
            <w:tcW w:w="2540" w:type="dxa"/>
            <w:vAlign w:val="bottom"/>
            <w:shd w:val="clear" w:color="auto" w:fill="4F81BD"/>
          </w:tcPr>
          <w:p>
            <w:pPr>
              <w:spacing w:after="0"/>
              <w:rPr>
                <w:sz w:val="6"/>
                <w:szCs w:val="6"/>
                <w:color w:val="auto"/>
              </w:rPr>
            </w:pPr>
          </w:p>
        </w:tc>
        <w:tc>
          <w:tcPr>
            <w:tcW w:w="2540" w:type="dxa"/>
            <w:vAlign w:val="bottom"/>
            <w:shd w:val="clear" w:color="auto" w:fill="4F81BD"/>
          </w:tcPr>
          <w:p>
            <w:pPr>
              <w:spacing w:after="0"/>
              <w:rPr>
                <w:sz w:val="6"/>
                <w:szCs w:val="6"/>
                <w:color w:val="auto"/>
              </w:rPr>
            </w:pPr>
          </w:p>
        </w:tc>
      </w:tr>
      <w:tr>
        <w:trPr>
          <w:trHeight w:val="243"/>
        </w:trPr>
        <w:tc>
          <w:tcPr>
            <w:tcW w:w="342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Financial objectve</w:t>
            </w:r>
          </w:p>
        </w:tc>
        <w:tc>
          <w:tcPr>
            <w:tcW w:w="2740" w:type="dxa"/>
            <w:vAlign w:val="bottom"/>
            <w:shd w:val="clear" w:color="auto" w:fill="CFF0FC"/>
          </w:tcPr>
          <w:p>
            <w:pPr>
              <w:spacing w:after="0"/>
              <w:rPr>
                <w:sz w:val="21"/>
                <w:szCs w:val="21"/>
                <w:color w:val="auto"/>
              </w:rPr>
            </w:pPr>
          </w:p>
        </w:tc>
        <w:tc>
          <w:tcPr>
            <w:tcW w:w="2540" w:type="dxa"/>
            <w:vAlign w:val="bottom"/>
            <w:shd w:val="clear" w:color="auto" w:fill="CFF0FC"/>
          </w:tcPr>
          <w:p>
            <w:pPr>
              <w:spacing w:after="0"/>
              <w:rPr>
                <w:sz w:val="21"/>
                <w:szCs w:val="21"/>
                <w:color w:val="auto"/>
              </w:rPr>
            </w:pPr>
          </w:p>
        </w:tc>
        <w:tc>
          <w:tcPr>
            <w:tcW w:w="2540" w:type="dxa"/>
            <w:vAlign w:val="bottom"/>
            <w:shd w:val="clear" w:color="auto" w:fill="CFF0FC"/>
          </w:tcPr>
          <w:p>
            <w:pPr>
              <w:spacing w:after="0"/>
              <w:rPr>
                <w:sz w:val="21"/>
                <w:szCs w:val="21"/>
                <w:color w:val="auto"/>
              </w:rPr>
            </w:pPr>
          </w:p>
        </w:tc>
      </w:tr>
      <w:tr>
        <w:trPr>
          <w:trHeight w:val="239"/>
        </w:trPr>
        <w:tc>
          <w:tcPr>
            <w:tcW w:w="3420" w:type="dxa"/>
            <w:vAlign w:val="bottom"/>
          </w:tcPr>
          <w:p>
            <w:pPr>
              <w:ind w:left="200"/>
              <w:spacing w:after="0" w:line="234" w:lineRule="exact"/>
              <w:rPr>
                <w:sz w:val="20"/>
                <w:szCs w:val="20"/>
                <w:color w:val="auto"/>
              </w:rPr>
            </w:pPr>
            <w:r>
              <w:rPr>
                <w:rFonts w:ascii="Calibri" w:cs="Calibri" w:eastAsia="Calibri" w:hAnsi="Calibri"/>
                <w:sz w:val="20"/>
                <w:szCs w:val="20"/>
                <w:color w:val="auto"/>
              </w:rPr>
              <w:t>Net sales</w:t>
            </w:r>
          </w:p>
        </w:tc>
        <w:tc>
          <w:tcPr>
            <w:tcW w:w="2740" w:type="dxa"/>
            <w:vAlign w:val="bottom"/>
          </w:tcPr>
          <w:p>
            <w:pPr>
              <w:jc w:val="center"/>
              <w:ind w:left="441"/>
              <w:spacing w:after="0" w:line="234" w:lineRule="exact"/>
              <w:rPr>
                <w:sz w:val="20"/>
                <w:szCs w:val="20"/>
                <w:color w:val="auto"/>
              </w:rPr>
            </w:pPr>
            <w:r>
              <w:rPr>
                <w:rFonts w:ascii="Calibri" w:cs="Calibri" w:eastAsia="Calibri" w:hAnsi="Calibri"/>
                <w:sz w:val="20"/>
                <w:szCs w:val="20"/>
                <w:color w:val="auto"/>
              </w:rPr>
              <w:t>87.4</w:t>
            </w:r>
          </w:p>
        </w:tc>
        <w:tc>
          <w:tcPr>
            <w:tcW w:w="2540" w:type="dxa"/>
            <w:vAlign w:val="bottom"/>
          </w:tcPr>
          <w:p>
            <w:pPr>
              <w:jc w:val="center"/>
              <w:ind w:right="401"/>
              <w:spacing w:after="0" w:line="234" w:lineRule="exact"/>
              <w:rPr>
                <w:sz w:val="20"/>
                <w:szCs w:val="20"/>
                <w:color w:val="auto"/>
              </w:rPr>
            </w:pPr>
            <w:r>
              <w:rPr>
                <w:rFonts w:ascii="Calibri" w:cs="Calibri" w:eastAsia="Calibri" w:hAnsi="Calibri"/>
                <w:sz w:val="20"/>
                <w:szCs w:val="20"/>
                <w:color w:val="auto"/>
                <w:w w:val="98"/>
              </w:rPr>
              <w:t>69</w:t>
            </w:r>
          </w:p>
        </w:tc>
        <w:tc>
          <w:tcPr>
            <w:tcW w:w="2540" w:type="dxa"/>
            <w:vAlign w:val="bottom"/>
          </w:tcPr>
          <w:p>
            <w:pPr>
              <w:jc w:val="center"/>
              <w:ind w:right="361"/>
              <w:spacing w:after="0" w:line="234" w:lineRule="exact"/>
              <w:rPr>
                <w:sz w:val="20"/>
                <w:szCs w:val="20"/>
                <w:color w:val="auto"/>
              </w:rPr>
            </w:pPr>
            <w:r>
              <w:rPr>
                <w:rFonts w:ascii="Calibri" w:cs="Calibri" w:eastAsia="Calibri" w:hAnsi="Calibri"/>
                <w:sz w:val="20"/>
                <w:szCs w:val="20"/>
                <w:color w:val="auto"/>
              </w:rPr>
              <w:t>14%</w:t>
            </w:r>
          </w:p>
        </w:tc>
      </w:tr>
      <w:tr>
        <w:trPr>
          <w:trHeight w:val="247"/>
        </w:trPr>
        <w:tc>
          <w:tcPr>
            <w:tcW w:w="3420" w:type="dxa"/>
            <w:vAlign w:val="bottom"/>
            <w:shd w:val="clear" w:color="auto" w:fill="CFF0FC"/>
          </w:tcPr>
          <w:p>
            <w:pPr>
              <w:ind w:left="200"/>
              <w:spacing w:after="0" w:line="239" w:lineRule="exact"/>
              <w:rPr>
                <w:sz w:val="20"/>
                <w:szCs w:val="20"/>
                <w:color w:val="auto"/>
              </w:rPr>
            </w:pPr>
            <w:r>
              <w:rPr>
                <w:rFonts w:ascii="Calibri" w:cs="Calibri" w:eastAsia="Calibri" w:hAnsi="Calibri"/>
                <w:sz w:val="20"/>
                <w:szCs w:val="20"/>
                <w:color w:val="auto"/>
              </w:rPr>
              <w:t>Non-GAAP earnings per share</w:t>
            </w:r>
          </w:p>
        </w:tc>
        <w:tc>
          <w:tcPr>
            <w:tcW w:w="2740" w:type="dxa"/>
            <w:vAlign w:val="bottom"/>
            <w:shd w:val="clear" w:color="auto" w:fill="CFF0FC"/>
          </w:tcPr>
          <w:p>
            <w:pPr>
              <w:jc w:val="center"/>
              <w:ind w:left="441"/>
              <w:spacing w:after="0" w:line="239" w:lineRule="exact"/>
              <w:rPr>
                <w:sz w:val="20"/>
                <w:szCs w:val="20"/>
                <w:color w:val="auto"/>
              </w:rPr>
            </w:pPr>
            <w:r>
              <w:rPr>
                <w:rFonts w:ascii="Calibri" w:cs="Calibri" w:eastAsia="Calibri" w:hAnsi="Calibri"/>
                <w:sz w:val="20"/>
                <w:szCs w:val="20"/>
                <w:color w:val="auto"/>
              </w:rPr>
              <w:t>38.5</w:t>
            </w:r>
          </w:p>
        </w:tc>
        <w:tc>
          <w:tcPr>
            <w:tcW w:w="2540" w:type="dxa"/>
            <w:vAlign w:val="bottom"/>
            <w:shd w:val="clear" w:color="auto" w:fill="CFF0FC"/>
          </w:tcPr>
          <w:p>
            <w:pPr>
              <w:jc w:val="center"/>
              <w:ind w:right="381"/>
              <w:spacing w:after="0" w:line="239" w:lineRule="exact"/>
              <w:rPr>
                <w:sz w:val="20"/>
                <w:szCs w:val="20"/>
                <w:color w:val="auto"/>
              </w:rPr>
            </w:pPr>
            <w:r>
              <w:rPr>
                <w:rFonts w:ascii="Calibri" w:cs="Calibri" w:eastAsia="Calibri" w:hAnsi="Calibri"/>
                <w:sz w:val="20"/>
                <w:szCs w:val="20"/>
                <w:color w:val="auto"/>
                <w:w w:val="99"/>
              </w:rPr>
              <w:t>—</w:t>
            </w:r>
          </w:p>
        </w:tc>
        <w:tc>
          <w:tcPr>
            <w:tcW w:w="2540" w:type="dxa"/>
            <w:vAlign w:val="bottom"/>
            <w:shd w:val="clear" w:color="auto" w:fill="CFF0FC"/>
          </w:tcPr>
          <w:p>
            <w:pPr>
              <w:jc w:val="center"/>
              <w:ind w:right="361"/>
              <w:spacing w:after="0" w:line="239" w:lineRule="exact"/>
              <w:rPr>
                <w:sz w:val="20"/>
                <w:szCs w:val="20"/>
                <w:color w:val="auto"/>
              </w:rPr>
            </w:pPr>
            <w:r>
              <w:rPr>
                <w:rFonts w:ascii="Calibri" w:cs="Calibri" w:eastAsia="Calibri" w:hAnsi="Calibri"/>
                <w:sz w:val="20"/>
                <w:szCs w:val="20"/>
                <w:color w:val="auto"/>
              </w:rPr>
              <w:t>62%</w:t>
            </w:r>
          </w:p>
        </w:tc>
      </w:tr>
      <w:tr>
        <w:trPr>
          <w:trHeight w:val="239"/>
        </w:trPr>
        <w:tc>
          <w:tcPr>
            <w:tcW w:w="3420" w:type="dxa"/>
            <w:vAlign w:val="bottom"/>
          </w:tcPr>
          <w:p>
            <w:pPr>
              <w:ind w:left="200"/>
              <w:spacing w:after="0" w:line="234" w:lineRule="exact"/>
              <w:rPr>
                <w:sz w:val="20"/>
                <w:szCs w:val="20"/>
                <w:color w:val="auto"/>
              </w:rPr>
            </w:pPr>
            <w:r>
              <w:rPr>
                <w:rFonts w:ascii="Calibri" w:cs="Calibri" w:eastAsia="Calibri" w:hAnsi="Calibri"/>
                <w:sz w:val="20"/>
                <w:szCs w:val="20"/>
                <w:color w:val="auto"/>
              </w:rPr>
              <w:t>CSER</w:t>
            </w:r>
          </w:p>
        </w:tc>
        <w:tc>
          <w:tcPr>
            <w:tcW w:w="2740" w:type="dxa"/>
            <w:vAlign w:val="bottom"/>
          </w:tcPr>
          <w:p>
            <w:pPr>
              <w:jc w:val="center"/>
              <w:ind w:left="421"/>
              <w:spacing w:after="0" w:line="234" w:lineRule="exact"/>
              <w:rPr>
                <w:sz w:val="20"/>
                <w:szCs w:val="20"/>
                <w:color w:val="auto"/>
              </w:rPr>
            </w:pPr>
            <w:r>
              <w:rPr>
                <w:rFonts w:ascii="Calibri" w:cs="Calibri" w:eastAsia="Calibri" w:hAnsi="Calibri"/>
                <w:sz w:val="20"/>
                <w:szCs w:val="20"/>
                <w:color w:val="auto"/>
                <w:w w:val="98"/>
              </w:rPr>
              <w:t>120</w:t>
            </w:r>
          </w:p>
        </w:tc>
        <w:tc>
          <w:tcPr>
            <w:tcW w:w="2540" w:type="dxa"/>
            <w:vAlign w:val="bottom"/>
          </w:tcPr>
          <w:p>
            <w:pPr>
              <w:jc w:val="center"/>
              <w:ind w:right="401"/>
              <w:spacing w:after="0" w:line="234" w:lineRule="exact"/>
              <w:rPr>
                <w:sz w:val="20"/>
                <w:szCs w:val="20"/>
                <w:color w:val="auto"/>
              </w:rPr>
            </w:pPr>
            <w:r>
              <w:rPr>
                <w:rFonts w:ascii="Calibri" w:cs="Calibri" w:eastAsia="Calibri" w:hAnsi="Calibri"/>
                <w:sz w:val="20"/>
                <w:szCs w:val="20"/>
                <w:color w:val="auto"/>
              </w:rPr>
              <w:t>200</w:t>
            </w:r>
          </w:p>
        </w:tc>
        <w:tc>
          <w:tcPr>
            <w:tcW w:w="2540" w:type="dxa"/>
            <w:vAlign w:val="bottom"/>
          </w:tcPr>
          <w:p>
            <w:pPr>
              <w:jc w:val="center"/>
              <w:ind w:right="361"/>
              <w:spacing w:after="0" w:line="234" w:lineRule="exact"/>
              <w:rPr>
                <w:sz w:val="20"/>
                <w:szCs w:val="20"/>
                <w:color w:val="auto"/>
              </w:rPr>
            </w:pPr>
            <w:r>
              <w:rPr>
                <w:rFonts w:ascii="Calibri" w:cs="Calibri" w:eastAsia="Calibri" w:hAnsi="Calibri"/>
                <w:sz w:val="20"/>
                <w:szCs w:val="20"/>
                <w:color w:val="auto"/>
                <w:w w:val="97"/>
              </w:rPr>
              <w:t>4%</w:t>
            </w:r>
          </w:p>
        </w:tc>
      </w:tr>
      <w:tr>
        <w:trPr>
          <w:trHeight w:val="243"/>
        </w:trPr>
        <w:tc>
          <w:tcPr>
            <w:tcW w:w="3420" w:type="dxa"/>
            <w:vAlign w:val="bottom"/>
            <w:tcBorders>
              <w:bottom w:val="single" w:sz="8" w:color="005CA9"/>
            </w:tcBorders>
            <w:shd w:val="clear" w:color="auto" w:fill="CFF0FC"/>
          </w:tcPr>
          <w:p>
            <w:pPr>
              <w:ind w:left="120"/>
              <w:spacing w:after="0" w:line="239" w:lineRule="exact"/>
              <w:rPr>
                <w:sz w:val="20"/>
                <w:szCs w:val="20"/>
                <w:color w:val="auto"/>
              </w:rPr>
            </w:pPr>
            <w:r>
              <w:rPr>
                <w:rFonts w:ascii="Calibri" w:cs="Calibri" w:eastAsia="Calibri" w:hAnsi="Calibri"/>
                <w:sz w:val="20"/>
                <w:szCs w:val="20"/>
                <w:color w:val="auto"/>
              </w:rPr>
              <w:t>Strategic objectves</w:t>
            </w:r>
          </w:p>
        </w:tc>
        <w:tc>
          <w:tcPr>
            <w:tcW w:w="2740" w:type="dxa"/>
            <w:vAlign w:val="bottom"/>
            <w:tcBorders>
              <w:bottom w:val="single" w:sz="8" w:color="005CA9"/>
            </w:tcBorders>
            <w:shd w:val="clear" w:color="auto" w:fill="CFF0FC"/>
          </w:tcPr>
          <w:p>
            <w:pPr>
              <w:jc w:val="center"/>
              <w:ind w:left="421"/>
              <w:spacing w:after="0" w:line="239" w:lineRule="exact"/>
              <w:rPr>
                <w:sz w:val="20"/>
                <w:szCs w:val="20"/>
                <w:color w:val="auto"/>
              </w:rPr>
            </w:pPr>
            <w:r>
              <w:rPr>
                <w:rFonts w:ascii="Calibri" w:cs="Calibri" w:eastAsia="Calibri" w:hAnsi="Calibri"/>
                <w:sz w:val="20"/>
                <w:szCs w:val="20"/>
                <w:color w:val="auto"/>
                <w:w w:val="99"/>
              </w:rPr>
              <w:t>—</w:t>
            </w:r>
          </w:p>
        </w:tc>
        <w:tc>
          <w:tcPr>
            <w:tcW w:w="2540" w:type="dxa"/>
            <w:vAlign w:val="bottom"/>
            <w:tcBorders>
              <w:bottom w:val="single" w:sz="8" w:color="005CA9"/>
            </w:tcBorders>
            <w:shd w:val="clear" w:color="auto" w:fill="CFF0FC"/>
          </w:tcPr>
          <w:p>
            <w:pPr>
              <w:jc w:val="center"/>
              <w:ind w:right="401"/>
              <w:spacing w:after="0" w:line="239" w:lineRule="exact"/>
              <w:rPr>
                <w:sz w:val="20"/>
                <w:szCs w:val="20"/>
                <w:color w:val="auto"/>
              </w:rPr>
            </w:pPr>
            <w:r>
              <w:rPr>
                <w:rFonts w:ascii="Calibri" w:cs="Calibri" w:eastAsia="Calibri" w:hAnsi="Calibri"/>
                <w:sz w:val="20"/>
                <w:szCs w:val="20"/>
                <w:color w:val="auto"/>
                <w:w w:val="98"/>
              </w:rPr>
              <w:t>88</w:t>
            </w:r>
          </w:p>
        </w:tc>
        <w:tc>
          <w:tcPr>
            <w:tcW w:w="2540" w:type="dxa"/>
            <w:vAlign w:val="bottom"/>
            <w:tcBorders>
              <w:bottom w:val="single" w:sz="8" w:color="005CA9"/>
            </w:tcBorders>
            <w:shd w:val="clear" w:color="auto" w:fill="CFF0FC"/>
          </w:tcPr>
          <w:p>
            <w:pPr>
              <w:jc w:val="center"/>
              <w:ind w:right="361"/>
              <w:spacing w:after="0" w:line="239" w:lineRule="exact"/>
              <w:rPr>
                <w:sz w:val="20"/>
                <w:szCs w:val="20"/>
                <w:color w:val="auto"/>
              </w:rPr>
            </w:pPr>
            <w:r>
              <w:rPr>
                <w:rFonts w:ascii="Calibri" w:cs="Calibri" w:eastAsia="Calibri" w:hAnsi="Calibri"/>
                <w:sz w:val="20"/>
                <w:szCs w:val="20"/>
                <w:color w:val="auto"/>
              </w:rPr>
              <w:t>20%</w:t>
            </w:r>
          </w:p>
        </w:tc>
      </w:tr>
    </w:tbl>
    <w:p>
      <w:pPr>
        <w:spacing w:after="0" w:line="8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 fscal 2023 and 2024, each fnancial objectve (</w:t>
      </w:r>
      <w:r>
        <w:rPr>
          <w:rFonts w:ascii="Calibri" w:cs="Calibri" w:eastAsia="Calibri" w:hAnsi="Calibri"/>
          <w:sz w:val="20"/>
          <w:szCs w:val="20"/>
          <w:i w:val="1"/>
          <w:iCs w:val="1"/>
          <w:color w:val="auto"/>
        </w:rPr>
        <w:t>i.e.</w:t>
      </w:r>
      <w:r>
        <w:rPr>
          <w:rFonts w:ascii="Calibri" w:cs="Calibri" w:eastAsia="Calibri" w:hAnsi="Calibri"/>
          <w:sz w:val="20"/>
          <w:szCs w:val="20"/>
          <w:color w:val="auto"/>
        </w:rPr>
        <w:t>, net sales, Non-GAAP diluted earnings per share and CSER) was established afer consideraton by the Compensaton Commitee to ensure that the performance targets establish challenging goals and thereby align the interests of our executves with the interests of our stockholders.</w:t>
      </w:r>
    </w:p>
    <w:p>
      <w:pPr>
        <w:spacing w:after="0" w:line="34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38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1" w:name="page42"/>
    <w:bookmarkEnd w:id="41"/>
    <w:p>
      <w:pPr>
        <w:jc w:val="both"/>
        <w:spacing w:after="0" w:line="234" w:lineRule="auto"/>
        <w:rPr>
          <w:sz w:val="20"/>
          <w:szCs w:val="20"/>
          <w:color w:val="auto"/>
        </w:rPr>
      </w:pPr>
      <w:r>
        <w:rPr>
          <w:rFonts w:ascii="Calibri" w:cs="Calibri" w:eastAsia="Calibri" w:hAnsi="Calibri"/>
          <w:sz w:val="20"/>
          <w:szCs w:val="20"/>
          <w:color w:val="auto"/>
        </w:rPr>
        <w:t>The following table shows each NEO’s maximum executve bonus opportunity for 2022, 2023, and 2024 and the percentage change from the prior year. Ms. Yang was not an NEO in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77470</wp:posOffset>
            </wp:positionV>
            <wp:extent cx="10287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Borders>
              <w:top w:val="single" w:sz="8" w:color="005CA9"/>
            </w:tcBorders>
          </w:tcPr>
          <w:p>
            <w:pPr>
              <w:spacing w:after="0"/>
              <w:rPr>
                <w:sz w:val="18"/>
                <w:szCs w:val="18"/>
                <w:color w:val="auto"/>
              </w:rPr>
            </w:pPr>
          </w:p>
        </w:tc>
        <w:tc>
          <w:tcPr>
            <w:tcW w:w="1260" w:type="dxa"/>
            <w:vAlign w:val="bottom"/>
            <w:tcBorders>
              <w:top w:val="single" w:sz="8" w:color="005CA9"/>
              <w:bottom w:val="single" w:sz="8" w:color="005CA9"/>
            </w:tcBorders>
          </w:tcPr>
          <w:p>
            <w:pPr>
              <w:spacing w:after="0"/>
              <w:rPr>
                <w:sz w:val="18"/>
                <w:szCs w:val="18"/>
                <w:color w:val="auto"/>
              </w:rPr>
            </w:pPr>
          </w:p>
        </w:tc>
        <w:tc>
          <w:tcPr>
            <w:tcW w:w="1620" w:type="dxa"/>
            <w:vAlign w:val="bottom"/>
            <w:tcBorders>
              <w:top w:val="single" w:sz="8" w:color="005CA9"/>
              <w:bottom w:val="single" w:sz="8" w:color="005CA9"/>
            </w:tcBorders>
          </w:tcPr>
          <w:p>
            <w:pPr>
              <w:jc w:val="right"/>
              <w:ind w:right="1199"/>
              <w:spacing w:after="0"/>
              <w:rPr>
                <w:sz w:val="20"/>
                <w:szCs w:val="20"/>
                <w:color w:val="auto"/>
              </w:rPr>
            </w:pPr>
            <w:r>
              <w:rPr>
                <w:rFonts w:ascii="Calibri" w:cs="Calibri" w:eastAsia="Calibri" w:hAnsi="Calibri"/>
                <w:sz w:val="16"/>
                <w:szCs w:val="16"/>
                <w:b w:val="1"/>
                <w:bCs w:val="1"/>
                <w:color w:val="auto"/>
                <w:w w:val="98"/>
              </w:rPr>
              <w:t>2022</w:t>
            </w:r>
          </w:p>
        </w:tc>
        <w:tc>
          <w:tcPr>
            <w:tcW w:w="140" w:type="dxa"/>
            <w:vAlign w:val="bottom"/>
            <w:tcBorders>
              <w:top w:val="single" w:sz="8" w:color="005CA9"/>
            </w:tcBorders>
          </w:tcPr>
          <w:p>
            <w:pPr>
              <w:spacing w:after="0"/>
              <w:rPr>
                <w:sz w:val="18"/>
                <w:szCs w:val="18"/>
                <w:color w:val="auto"/>
              </w:rPr>
            </w:pPr>
          </w:p>
        </w:tc>
        <w:tc>
          <w:tcPr>
            <w:tcW w:w="1260" w:type="dxa"/>
            <w:vAlign w:val="bottom"/>
            <w:tcBorders>
              <w:top w:val="single" w:sz="8" w:color="005CA9"/>
              <w:bottom w:val="single" w:sz="8" w:color="005CA9"/>
            </w:tcBorders>
          </w:tcPr>
          <w:p>
            <w:pPr>
              <w:spacing w:after="0"/>
              <w:rPr>
                <w:sz w:val="18"/>
                <w:szCs w:val="18"/>
                <w:color w:val="auto"/>
              </w:rPr>
            </w:pPr>
          </w:p>
        </w:tc>
        <w:tc>
          <w:tcPr>
            <w:tcW w:w="1600" w:type="dxa"/>
            <w:vAlign w:val="bottom"/>
            <w:tcBorders>
              <w:top w:val="single" w:sz="8" w:color="005CA9"/>
              <w:bottom w:val="single" w:sz="8" w:color="005CA9"/>
            </w:tcBorders>
          </w:tcPr>
          <w:p>
            <w:pPr>
              <w:jc w:val="right"/>
              <w:ind w:right="1179"/>
              <w:spacing w:after="0"/>
              <w:rPr>
                <w:sz w:val="20"/>
                <w:szCs w:val="20"/>
                <w:color w:val="auto"/>
              </w:rPr>
            </w:pPr>
            <w:r>
              <w:rPr>
                <w:rFonts w:ascii="Calibri" w:cs="Calibri" w:eastAsia="Calibri" w:hAnsi="Calibri"/>
                <w:sz w:val="16"/>
                <w:szCs w:val="16"/>
                <w:b w:val="1"/>
                <w:bCs w:val="1"/>
                <w:color w:val="auto"/>
                <w:w w:val="98"/>
              </w:rPr>
              <w:t>2023</w:t>
            </w:r>
          </w:p>
        </w:tc>
        <w:tc>
          <w:tcPr>
            <w:tcW w:w="140" w:type="dxa"/>
            <w:vAlign w:val="bottom"/>
          </w:tcPr>
          <w:p>
            <w:pPr>
              <w:spacing w:after="0"/>
              <w:rPr>
                <w:sz w:val="18"/>
                <w:szCs w:val="18"/>
                <w:color w:val="auto"/>
              </w:rPr>
            </w:pPr>
          </w:p>
        </w:tc>
        <w:tc>
          <w:tcPr>
            <w:tcW w:w="1240" w:type="dxa"/>
            <w:vAlign w:val="bottom"/>
            <w:tcBorders>
              <w:top w:val="single" w:sz="8" w:color="005CA9"/>
              <w:bottom w:val="single" w:sz="8" w:color="005CA9"/>
            </w:tcBorders>
          </w:tcPr>
          <w:p>
            <w:pPr>
              <w:spacing w:after="0"/>
              <w:rPr>
                <w:sz w:val="18"/>
                <w:szCs w:val="18"/>
                <w:color w:val="auto"/>
              </w:rPr>
            </w:pPr>
          </w:p>
        </w:tc>
        <w:tc>
          <w:tcPr>
            <w:tcW w:w="1600" w:type="dxa"/>
            <w:vAlign w:val="bottom"/>
            <w:tcBorders>
              <w:top w:val="single" w:sz="8" w:color="005CA9"/>
              <w:bottom w:val="single" w:sz="8" w:color="005CA9"/>
            </w:tcBorders>
          </w:tcPr>
          <w:p>
            <w:pPr>
              <w:jc w:val="right"/>
              <w:ind w:right="1179"/>
              <w:spacing w:after="0"/>
              <w:rPr>
                <w:sz w:val="20"/>
                <w:szCs w:val="20"/>
                <w:color w:val="auto"/>
              </w:rPr>
            </w:pPr>
            <w:r>
              <w:rPr>
                <w:rFonts w:ascii="Calibri" w:cs="Calibri" w:eastAsia="Calibri" w:hAnsi="Calibri"/>
                <w:sz w:val="16"/>
                <w:szCs w:val="16"/>
                <w:b w:val="1"/>
                <w:bCs w:val="1"/>
                <w:color w:val="auto"/>
                <w:w w:val="98"/>
              </w:rPr>
              <w:t>2024</w:t>
            </w:r>
          </w:p>
        </w:tc>
      </w:tr>
      <w:tr>
        <w:trPr>
          <w:trHeight w:val="198"/>
        </w:trPr>
        <w:tc>
          <w:tcPr>
            <w:tcW w:w="2380" w:type="dxa"/>
            <w:vAlign w:val="bottom"/>
          </w:tcPr>
          <w:p>
            <w:pPr>
              <w:ind w:left="20"/>
              <w:spacing w:after="0" w:line="175" w:lineRule="exact"/>
              <w:rPr>
                <w:sz w:val="20"/>
                <w:szCs w:val="20"/>
                <w:color w:val="auto"/>
              </w:rPr>
            </w:pPr>
            <w:r>
              <w:rPr>
                <w:rFonts w:ascii="Calibri" w:cs="Calibri" w:eastAsia="Calibri" w:hAnsi="Calibri"/>
                <w:sz w:val="16"/>
                <w:szCs w:val="16"/>
                <w:b w:val="1"/>
                <w:bCs w:val="1"/>
                <w:color w:val="auto"/>
              </w:rPr>
              <w:t>Name</w:t>
            </w:r>
          </w:p>
        </w:tc>
        <w:tc>
          <w:tcPr>
            <w:tcW w:w="1260" w:type="dxa"/>
            <w:vAlign w:val="bottom"/>
          </w:tcPr>
          <w:p>
            <w:pPr>
              <w:jc w:val="right"/>
              <w:ind w:right="519"/>
              <w:spacing w:after="0" w:line="193" w:lineRule="exact"/>
              <w:rPr>
                <w:sz w:val="20"/>
                <w:szCs w:val="20"/>
                <w:color w:val="auto"/>
              </w:rPr>
            </w:pPr>
            <w:r>
              <w:rPr>
                <w:rFonts w:ascii="Calibri" w:cs="Calibri" w:eastAsia="Calibri" w:hAnsi="Calibri"/>
                <w:sz w:val="16"/>
                <w:szCs w:val="16"/>
                <w:b w:val="1"/>
                <w:bCs w:val="1"/>
                <w:color w:val="auto"/>
              </w:rPr>
              <w:t>$</w:t>
            </w:r>
          </w:p>
        </w:tc>
        <w:tc>
          <w:tcPr>
            <w:tcW w:w="1620" w:type="dxa"/>
            <w:vAlign w:val="bottom"/>
          </w:tcPr>
          <w:p>
            <w:pPr>
              <w:jc w:val="center"/>
              <w:ind w:left="199"/>
              <w:spacing w:after="0" w:line="193" w:lineRule="exact"/>
              <w:rPr>
                <w:sz w:val="20"/>
                <w:szCs w:val="20"/>
                <w:color w:val="auto"/>
              </w:rPr>
            </w:pPr>
            <w:r>
              <w:rPr>
                <w:rFonts w:ascii="Calibri" w:cs="Calibri" w:eastAsia="Calibri" w:hAnsi="Calibri"/>
                <w:sz w:val="16"/>
                <w:szCs w:val="16"/>
                <w:b w:val="1"/>
                <w:bCs w:val="1"/>
                <w:color w:val="auto"/>
                <w:w w:val="99"/>
              </w:rPr>
              <w:t>Change (%)</w:t>
            </w:r>
          </w:p>
        </w:tc>
        <w:tc>
          <w:tcPr>
            <w:tcW w:w="140" w:type="dxa"/>
            <w:vAlign w:val="bottom"/>
          </w:tcPr>
          <w:p>
            <w:pPr>
              <w:spacing w:after="0"/>
              <w:rPr>
                <w:sz w:val="17"/>
                <w:szCs w:val="17"/>
                <w:color w:val="auto"/>
              </w:rPr>
            </w:pPr>
          </w:p>
        </w:tc>
        <w:tc>
          <w:tcPr>
            <w:tcW w:w="1260" w:type="dxa"/>
            <w:vAlign w:val="bottom"/>
          </w:tcPr>
          <w:p>
            <w:pPr>
              <w:jc w:val="right"/>
              <w:ind w:right="499"/>
              <w:spacing w:after="0" w:line="193" w:lineRule="exact"/>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center"/>
              <w:ind w:left="219"/>
              <w:spacing w:after="0" w:line="193" w:lineRule="exact"/>
              <w:rPr>
                <w:sz w:val="20"/>
                <w:szCs w:val="20"/>
                <w:color w:val="auto"/>
              </w:rPr>
            </w:pPr>
            <w:r>
              <w:rPr>
                <w:rFonts w:ascii="Calibri" w:cs="Calibri" w:eastAsia="Calibri" w:hAnsi="Calibri"/>
                <w:sz w:val="16"/>
                <w:szCs w:val="16"/>
                <w:b w:val="1"/>
                <w:bCs w:val="1"/>
                <w:color w:val="auto"/>
                <w:w w:val="99"/>
              </w:rPr>
              <w:t>Change (%)</w:t>
            </w:r>
          </w:p>
        </w:tc>
        <w:tc>
          <w:tcPr>
            <w:tcW w:w="140" w:type="dxa"/>
            <w:vAlign w:val="bottom"/>
          </w:tcPr>
          <w:p>
            <w:pPr>
              <w:spacing w:after="0"/>
              <w:rPr>
                <w:sz w:val="17"/>
                <w:szCs w:val="17"/>
                <w:color w:val="auto"/>
              </w:rPr>
            </w:pPr>
          </w:p>
        </w:tc>
        <w:tc>
          <w:tcPr>
            <w:tcW w:w="1240" w:type="dxa"/>
            <w:vAlign w:val="bottom"/>
          </w:tcPr>
          <w:p>
            <w:pPr>
              <w:jc w:val="right"/>
              <w:ind w:right="499"/>
              <w:spacing w:after="0" w:line="193" w:lineRule="exact"/>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center"/>
              <w:ind w:left="199"/>
              <w:spacing w:after="0" w:line="193" w:lineRule="exact"/>
              <w:rPr>
                <w:sz w:val="20"/>
                <w:szCs w:val="20"/>
                <w:color w:val="auto"/>
              </w:rPr>
            </w:pPr>
            <w:r>
              <w:rPr>
                <w:rFonts w:ascii="Calibri" w:cs="Calibri" w:eastAsia="Calibri" w:hAnsi="Calibri"/>
                <w:sz w:val="16"/>
                <w:szCs w:val="16"/>
                <w:b w:val="1"/>
                <w:bCs w:val="1"/>
                <w:color w:val="auto"/>
              </w:rPr>
              <w:t>Change (%)</w:t>
            </w:r>
          </w:p>
        </w:tc>
      </w:tr>
      <w:tr>
        <w:trPr>
          <w:trHeight w:val="72"/>
        </w:trPr>
        <w:tc>
          <w:tcPr>
            <w:tcW w:w="2380" w:type="dxa"/>
            <w:vAlign w:val="bottom"/>
            <w:shd w:val="clear" w:color="auto" w:fill="005CA9"/>
          </w:tcPr>
          <w:p>
            <w:pPr>
              <w:spacing w:after="0"/>
              <w:rPr>
                <w:sz w:val="6"/>
                <w:szCs w:val="6"/>
                <w:color w:val="auto"/>
              </w:rPr>
            </w:pPr>
          </w:p>
        </w:tc>
        <w:tc>
          <w:tcPr>
            <w:tcW w:w="1260" w:type="dxa"/>
            <w:vAlign w:val="bottom"/>
            <w:shd w:val="clear" w:color="auto" w:fill="005CA9"/>
          </w:tcPr>
          <w:p>
            <w:pPr>
              <w:spacing w:after="0"/>
              <w:rPr>
                <w:sz w:val="6"/>
                <w:szCs w:val="6"/>
                <w:color w:val="auto"/>
              </w:rPr>
            </w:pPr>
          </w:p>
        </w:tc>
        <w:tc>
          <w:tcPr>
            <w:tcW w:w="1620" w:type="dxa"/>
            <w:vAlign w:val="bottom"/>
            <w:shd w:val="clear" w:color="auto" w:fill="005CA9"/>
          </w:tcPr>
          <w:p>
            <w:pPr>
              <w:spacing w:after="0"/>
              <w:rPr>
                <w:sz w:val="6"/>
                <w:szCs w:val="6"/>
                <w:color w:val="auto"/>
              </w:rPr>
            </w:pPr>
          </w:p>
        </w:tc>
        <w:tc>
          <w:tcPr>
            <w:tcW w:w="140" w:type="dxa"/>
            <w:vAlign w:val="bottom"/>
            <w:shd w:val="clear" w:color="auto" w:fill="005CA9"/>
          </w:tcPr>
          <w:p>
            <w:pPr>
              <w:spacing w:after="0"/>
              <w:rPr>
                <w:sz w:val="6"/>
                <w:szCs w:val="6"/>
                <w:color w:val="auto"/>
              </w:rPr>
            </w:pPr>
          </w:p>
        </w:tc>
        <w:tc>
          <w:tcPr>
            <w:tcW w:w="1260" w:type="dxa"/>
            <w:vAlign w:val="bottom"/>
            <w:shd w:val="clear" w:color="auto" w:fill="005CA9"/>
          </w:tcPr>
          <w:p>
            <w:pPr>
              <w:spacing w:after="0"/>
              <w:rPr>
                <w:sz w:val="6"/>
                <w:szCs w:val="6"/>
                <w:color w:val="auto"/>
              </w:rPr>
            </w:pPr>
          </w:p>
        </w:tc>
        <w:tc>
          <w:tcPr>
            <w:tcW w:w="1600" w:type="dxa"/>
            <w:vAlign w:val="bottom"/>
            <w:shd w:val="clear" w:color="auto" w:fill="005CA9"/>
          </w:tcPr>
          <w:p>
            <w:pPr>
              <w:spacing w:after="0"/>
              <w:rPr>
                <w:sz w:val="6"/>
                <w:szCs w:val="6"/>
                <w:color w:val="auto"/>
              </w:rPr>
            </w:pPr>
          </w:p>
        </w:tc>
        <w:tc>
          <w:tcPr>
            <w:tcW w:w="140" w:type="dxa"/>
            <w:vAlign w:val="bottom"/>
            <w:shd w:val="clear" w:color="auto" w:fill="005CA9"/>
          </w:tcPr>
          <w:p>
            <w:pPr>
              <w:spacing w:after="0"/>
              <w:rPr>
                <w:sz w:val="6"/>
                <w:szCs w:val="6"/>
                <w:color w:val="auto"/>
              </w:rPr>
            </w:pPr>
          </w:p>
        </w:tc>
        <w:tc>
          <w:tcPr>
            <w:tcW w:w="1240" w:type="dxa"/>
            <w:vAlign w:val="bottom"/>
            <w:shd w:val="clear" w:color="auto" w:fill="005CA9"/>
          </w:tcPr>
          <w:p>
            <w:pPr>
              <w:spacing w:after="0"/>
              <w:rPr>
                <w:sz w:val="6"/>
                <w:szCs w:val="6"/>
                <w:color w:val="auto"/>
              </w:rPr>
            </w:pPr>
          </w:p>
        </w:tc>
        <w:tc>
          <w:tcPr>
            <w:tcW w:w="1600" w:type="dxa"/>
            <w:vAlign w:val="bottom"/>
            <w:shd w:val="clear" w:color="auto" w:fill="005CA9"/>
          </w:tcPr>
          <w:p>
            <w:pPr>
              <w:spacing w:after="0"/>
              <w:rPr>
                <w:sz w:val="6"/>
                <w:szCs w:val="6"/>
                <w:color w:val="auto"/>
              </w:rPr>
            </w:pPr>
          </w:p>
        </w:tc>
      </w:tr>
      <w:tr>
        <w:trPr>
          <w:trHeight w:val="203"/>
        </w:trPr>
        <w:tc>
          <w:tcPr>
            <w:tcW w:w="2380" w:type="dxa"/>
            <w:vAlign w:val="bottom"/>
            <w:shd w:val="clear" w:color="auto" w:fill="CFF0FC"/>
          </w:tcPr>
          <w:p>
            <w:pPr>
              <w:ind w:left="120"/>
              <w:spacing w:after="0" w:line="193" w:lineRule="exact"/>
              <w:rPr>
                <w:sz w:val="20"/>
                <w:szCs w:val="20"/>
                <w:color w:val="auto"/>
              </w:rPr>
            </w:pPr>
            <w:r>
              <w:rPr>
                <w:rFonts w:ascii="Calibri" w:cs="Calibri" w:eastAsia="Calibri" w:hAnsi="Calibri"/>
                <w:sz w:val="16"/>
                <w:szCs w:val="16"/>
                <w:color w:val="auto"/>
              </w:rPr>
              <w:t>Dr. Keh-Shew Lu</w:t>
            </w:r>
          </w:p>
        </w:tc>
        <w:tc>
          <w:tcPr>
            <w:tcW w:w="12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1,893,259</w:t>
            </w:r>
          </w:p>
        </w:tc>
        <w:tc>
          <w:tcPr>
            <w:tcW w:w="1620" w:type="dxa"/>
            <w:vAlign w:val="bottom"/>
            <w:shd w:val="clear" w:color="auto" w:fill="CFF0FC"/>
          </w:tcPr>
          <w:p>
            <w:pPr>
              <w:jc w:val="center"/>
              <w:ind w:left="219"/>
              <w:spacing w:after="0" w:line="193" w:lineRule="exact"/>
              <w:rPr>
                <w:sz w:val="20"/>
                <w:szCs w:val="20"/>
                <w:color w:val="auto"/>
              </w:rPr>
            </w:pPr>
            <w:r>
              <w:rPr>
                <w:rFonts w:ascii="Calibri" w:cs="Calibri" w:eastAsia="Calibri" w:hAnsi="Calibri"/>
                <w:sz w:val="16"/>
                <w:szCs w:val="16"/>
                <w:color w:val="auto"/>
              </w:rPr>
              <w:t>4.0%</w:t>
            </w:r>
          </w:p>
        </w:tc>
        <w:tc>
          <w:tcPr>
            <w:tcW w:w="140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2,049,000</w:t>
            </w:r>
          </w:p>
        </w:tc>
        <w:tc>
          <w:tcPr>
            <w:tcW w:w="1600" w:type="dxa"/>
            <w:vAlign w:val="bottom"/>
            <w:shd w:val="clear" w:color="auto" w:fill="CFF0FC"/>
          </w:tcPr>
          <w:p>
            <w:pPr>
              <w:jc w:val="center"/>
              <w:ind w:left="199"/>
              <w:spacing w:after="0" w:line="193" w:lineRule="exact"/>
              <w:rPr>
                <w:sz w:val="20"/>
                <w:szCs w:val="20"/>
                <w:color w:val="auto"/>
              </w:rPr>
            </w:pPr>
            <w:r>
              <w:rPr>
                <w:rFonts w:ascii="Calibri" w:cs="Calibri" w:eastAsia="Calibri" w:hAnsi="Calibri"/>
                <w:sz w:val="16"/>
                <w:szCs w:val="16"/>
                <w:color w:val="auto"/>
              </w:rPr>
              <w:t>8.2%</w:t>
            </w:r>
          </w:p>
        </w:tc>
        <w:tc>
          <w:tcPr>
            <w:tcW w:w="13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1,480,000</w:t>
            </w:r>
          </w:p>
        </w:tc>
        <w:tc>
          <w:tcPr>
            <w:tcW w:w="1600" w:type="dxa"/>
            <w:vAlign w:val="bottom"/>
            <w:shd w:val="clear" w:color="auto" w:fill="CFF0FC"/>
          </w:tcPr>
          <w:p>
            <w:pPr>
              <w:jc w:val="center"/>
              <w:ind w:left="199"/>
              <w:spacing w:after="0" w:line="193" w:lineRule="exact"/>
              <w:rPr>
                <w:sz w:val="20"/>
                <w:szCs w:val="20"/>
                <w:color w:val="auto"/>
              </w:rPr>
            </w:pPr>
            <w:r>
              <w:rPr>
                <w:rFonts w:ascii="Calibri" w:cs="Calibri" w:eastAsia="Calibri" w:hAnsi="Calibri"/>
                <w:sz w:val="16"/>
                <w:szCs w:val="16"/>
                <w:color w:val="auto"/>
                <w:w w:val="98"/>
              </w:rPr>
              <w:t>-27.8%</w:t>
            </w:r>
          </w:p>
        </w:tc>
      </w:tr>
      <w:tr>
        <w:trPr>
          <w:trHeight w:val="198"/>
        </w:trPr>
        <w:tc>
          <w:tcPr>
            <w:tcW w:w="2380" w:type="dxa"/>
            <w:vAlign w:val="bottom"/>
          </w:tcPr>
          <w:p>
            <w:pPr>
              <w:ind w:left="120"/>
              <w:spacing w:after="0" w:line="193" w:lineRule="exact"/>
              <w:rPr>
                <w:sz w:val="20"/>
                <w:szCs w:val="20"/>
                <w:color w:val="auto"/>
              </w:rPr>
            </w:pPr>
            <w:r>
              <w:rPr>
                <w:rFonts w:ascii="Calibri" w:cs="Calibri" w:eastAsia="Calibri" w:hAnsi="Calibri"/>
                <w:sz w:val="16"/>
                <w:szCs w:val="16"/>
                <w:color w:val="auto"/>
              </w:rPr>
              <w:t>Bret R. Whitmire</w:t>
            </w: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432,098</w:t>
            </w:r>
          </w:p>
        </w:tc>
        <w:tc>
          <w:tcPr>
            <w:tcW w:w="1620" w:type="dxa"/>
            <w:vAlign w:val="bottom"/>
          </w:tcPr>
          <w:p>
            <w:pPr>
              <w:jc w:val="center"/>
              <w:ind w:left="219"/>
              <w:spacing w:after="0" w:line="193" w:lineRule="exact"/>
              <w:rPr>
                <w:sz w:val="20"/>
                <w:szCs w:val="20"/>
                <w:color w:val="auto"/>
              </w:rPr>
            </w:pPr>
            <w:r>
              <w:rPr>
                <w:rFonts w:ascii="Calibri" w:cs="Calibri" w:eastAsia="Calibri" w:hAnsi="Calibri"/>
                <w:sz w:val="16"/>
                <w:szCs w:val="16"/>
                <w:color w:val="auto"/>
              </w:rPr>
              <w:t>5.0%</w:t>
            </w:r>
          </w:p>
        </w:tc>
        <w:tc>
          <w:tcPr>
            <w:tcW w:w="14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462,000</w:t>
            </w:r>
          </w:p>
        </w:tc>
        <w:tc>
          <w:tcPr>
            <w:tcW w:w="1600" w:type="dxa"/>
            <w:vAlign w:val="bottom"/>
          </w:tcPr>
          <w:p>
            <w:pPr>
              <w:jc w:val="center"/>
              <w:ind w:left="199"/>
              <w:spacing w:after="0" w:line="193" w:lineRule="exact"/>
              <w:rPr>
                <w:sz w:val="20"/>
                <w:szCs w:val="20"/>
                <w:color w:val="auto"/>
              </w:rPr>
            </w:pPr>
            <w:r>
              <w:rPr>
                <w:rFonts w:ascii="Calibri" w:cs="Calibri" w:eastAsia="Calibri" w:hAnsi="Calibri"/>
                <w:sz w:val="16"/>
                <w:szCs w:val="16"/>
                <w:color w:val="auto"/>
              </w:rPr>
              <w:t>6.9%</w:t>
            </w:r>
          </w:p>
        </w:tc>
        <w:tc>
          <w:tcPr>
            <w:tcW w:w="13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429,000</w:t>
            </w:r>
          </w:p>
        </w:tc>
        <w:tc>
          <w:tcPr>
            <w:tcW w:w="1600" w:type="dxa"/>
            <w:vAlign w:val="bottom"/>
          </w:tcPr>
          <w:p>
            <w:pPr>
              <w:jc w:val="center"/>
              <w:ind w:left="199"/>
              <w:spacing w:after="0" w:line="193" w:lineRule="exact"/>
              <w:rPr>
                <w:sz w:val="20"/>
                <w:szCs w:val="20"/>
                <w:color w:val="auto"/>
              </w:rPr>
            </w:pPr>
            <w:r>
              <w:rPr>
                <w:rFonts w:ascii="Calibri" w:cs="Calibri" w:eastAsia="Calibri" w:hAnsi="Calibri"/>
                <w:sz w:val="16"/>
                <w:szCs w:val="16"/>
                <w:color w:val="auto"/>
                <w:w w:val="98"/>
              </w:rPr>
              <w:t>-7.1%</w:t>
            </w:r>
          </w:p>
        </w:tc>
      </w:tr>
      <w:tr>
        <w:trPr>
          <w:trHeight w:val="207"/>
        </w:trPr>
        <w:tc>
          <w:tcPr>
            <w:tcW w:w="2380" w:type="dxa"/>
            <w:vAlign w:val="bottom"/>
            <w:shd w:val="clear" w:color="auto" w:fill="CFF0FC"/>
          </w:tcPr>
          <w:p>
            <w:pPr>
              <w:ind w:left="120"/>
              <w:spacing w:after="0"/>
              <w:rPr>
                <w:sz w:val="20"/>
                <w:szCs w:val="20"/>
                <w:color w:val="auto"/>
              </w:rPr>
            </w:pPr>
            <w:r>
              <w:rPr>
                <w:rFonts w:ascii="Calibri" w:cs="Calibri" w:eastAsia="Calibri" w:hAnsi="Calibri"/>
                <w:sz w:val="16"/>
                <w:szCs w:val="16"/>
                <w:color w:val="auto"/>
              </w:rPr>
              <w:t>Gary Yu</w:t>
            </w:r>
          </w:p>
        </w:tc>
        <w:tc>
          <w:tcPr>
            <w:tcW w:w="12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487,622</w:t>
            </w:r>
          </w:p>
        </w:tc>
        <w:tc>
          <w:tcPr>
            <w:tcW w:w="1620" w:type="dxa"/>
            <w:vAlign w:val="bottom"/>
            <w:shd w:val="clear" w:color="auto" w:fill="CFF0FC"/>
          </w:tcPr>
          <w:p>
            <w:pPr>
              <w:jc w:val="center"/>
              <w:ind w:left="219"/>
              <w:spacing w:after="0"/>
              <w:rPr>
                <w:sz w:val="20"/>
                <w:szCs w:val="20"/>
                <w:color w:val="auto"/>
              </w:rPr>
            </w:pPr>
            <w:r>
              <w:rPr>
                <w:rFonts w:ascii="Calibri" w:cs="Calibri" w:eastAsia="Calibri" w:hAnsi="Calibri"/>
                <w:sz w:val="16"/>
                <w:szCs w:val="16"/>
                <w:color w:val="auto"/>
              </w:rPr>
              <w:t>5.5%</w:t>
            </w:r>
          </w:p>
        </w:tc>
        <w:tc>
          <w:tcPr>
            <w:tcW w:w="14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630,000</w:t>
            </w:r>
          </w:p>
        </w:tc>
        <w:tc>
          <w:tcPr>
            <w:tcW w:w="1600" w:type="dxa"/>
            <w:vAlign w:val="bottom"/>
            <w:shd w:val="clear" w:color="auto" w:fill="CFF0FC"/>
          </w:tcPr>
          <w:p>
            <w:pPr>
              <w:jc w:val="center"/>
              <w:ind w:left="219"/>
              <w:spacing w:after="0"/>
              <w:rPr>
                <w:sz w:val="20"/>
                <w:szCs w:val="20"/>
                <w:color w:val="auto"/>
              </w:rPr>
            </w:pPr>
            <w:r>
              <w:rPr>
                <w:rFonts w:ascii="Calibri" w:cs="Calibri" w:eastAsia="Calibri" w:hAnsi="Calibri"/>
                <w:sz w:val="16"/>
                <w:szCs w:val="16"/>
                <w:color w:val="auto"/>
              </w:rPr>
              <w:t>29.2%</w:t>
            </w:r>
          </w:p>
        </w:tc>
        <w:tc>
          <w:tcPr>
            <w:tcW w:w="13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1,134,000</w:t>
            </w:r>
          </w:p>
        </w:tc>
        <w:tc>
          <w:tcPr>
            <w:tcW w:w="1600" w:type="dxa"/>
            <w:vAlign w:val="bottom"/>
            <w:shd w:val="clear" w:color="auto" w:fill="CFF0FC"/>
          </w:tcPr>
          <w:p>
            <w:pPr>
              <w:jc w:val="center"/>
              <w:ind w:left="199"/>
              <w:spacing w:after="0"/>
              <w:rPr>
                <w:sz w:val="20"/>
                <w:szCs w:val="20"/>
                <w:color w:val="auto"/>
              </w:rPr>
            </w:pPr>
            <w:r>
              <w:rPr>
                <w:rFonts w:ascii="Calibri" w:cs="Calibri" w:eastAsia="Calibri" w:hAnsi="Calibri"/>
                <w:sz w:val="16"/>
                <w:szCs w:val="16"/>
                <w:color w:val="auto"/>
              </w:rPr>
              <w:t>80.0%</w:t>
            </w:r>
          </w:p>
        </w:tc>
      </w:tr>
      <w:tr>
        <w:trPr>
          <w:trHeight w:val="198"/>
        </w:trPr>
        <w:tc>
          <w:tcPr>
            <w:tcW w:w="2380" w:type="dxa"/>
            <w:vAlign w:val="bottom"/>
          </w:tcPr>
          <w:p>
            <w:pPr>
              <w:ind w:left="120"/>
              <w:spacing w:after="0" w:line="193" w:lineRule="exact"/>
              <w:rPr>
                <w:sz w:val="20"/>
                <w:szCs w:val="20"/>
                <w:color w:val="auto"/>
              </w:rPr>
            </w:pPr>
            <w:r>
              <w:rPr>
                <w:rFonts w:ascii="Calibri" w:cs="Calibri" w:eastAsia="Calibri" w:hAnsi="Calibri"/>
                <w:sz w:val="16"/>
                <w:szCs w:val="16"/>
                <w:color w:val="auto"/>
              </w:rPr>
              <w:t>Francis Tang</w:t>
            </w: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558,870</w:t>
            </w:r>
          </w:p>
        </w:tc>
        <w:tc>
          <w:tcPr>
            <w:tcW w:w="1620" w:type="dxa"/>
            <w:vAlign w:val="bottom"/>
          </w:tcPr>
          <w:p>
            <w:pPr>
              <w:jc w:val="center"/>
              <w:ind w:left="219"/>
              <w:spacing w:after="0" w:line="193" w:lineRule="exact"/>
              <w:rPr>
                <w:sz w:val="20"/>
                <w:szCs w:val="20"/>
                <w:color w:val="auto"/>
              </w:rPr>
            </w:pPr>
            <w:r>
              <w:rPr>
                <w:rFonts w:ascii="Calibri" w:cs="Calibri" w:eastAsia="Calibri" w:hAnsi="Calibri"/>
                <w:sz w:val="16"/>
                <w:szCs w:val="16"/>
                <w:color w:val="auto"/>
              </w:rPr>
              <w:t>2.2%</w:t>
            </w:r>
          </w:p>
        </w:tc>
        <w:tc>
          <w:tcPr>
            <w:tcW w:w="14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462,000</w:t>
            </w:r>
          </w:p>
        </w:tc>
        <w:tc>
          <w:tcPr>
            <w:tcW w:w="1600" w:type="dxa"/>
            <w:vAlign w:val="bottom"/>
          </w:tcPr>
          <w:p>
            <w:pPr>
              <w:jc w:val="center"/>
              <w:ind w:left="219"/>
              <w:spacing w:after="0" w:line="193" w:lineRule="exact"/>
              <w:rPr>
                <w:sz w:val="20"/>
                <w:szCs w:val="20"/>
                <w:color w:val="auto"/>
              </w:rPr>
            </w:pPr>
            <w:r>
              <w:rPr>
                <w:rFonts w:ascii="Calibri" w:cs="Calibri" w:eastAsia="Calibri" w:hAnsi="Calibri"/>
                <w:sz w:val="16"/>
                <w:szCs w:val="16"/>
                <w:color w:val="auto"/>
              </w:rPr>
              <w:t>-17.3%</w:t>
            </w:r>
          </w:p>
        </w:tc>
        <w:tc>
          <w:tcPr>
            <w:tcW w:w="13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533,000</w:t>
            </w:r>
          </w:p>
        </w:tc>
        <w:tc>
          <w:tcPr>
            <w:tcW w:w="1600" w:type="dxa"/>
            <w:vAlign w:val="bottom"/>
          </w:tcPr>
          <w:p>
            <w:pPr>
              <w:jc w:val="center"/>
              <w:ind w:left="199"/>
              <w:spacing w:after="0" w:line="193" w:lineRule="exact"/>
              <w:rPr>
                <w:sz w:val="20"/>
                <w:szCs w:val="20"/>
                <w:color w:val="auto"/>
              </w:rPr>
            </w:pPr>
            <w:r>
              <w:rPr>
                <w:rFonts w:ascii="Calibri" w:cs="Calibri" w:eastAsia="Calibri" w:hAnsi="Calibri"/>
                <w:sz w:val="16"/>
                <w:szCs w:val="16"/>
                <w:color w:val="auto"/>
              </w:rPr>
              <w:t>15.4%</w:t>
            </w:r>
          </w:p>
        </w:tc>
      </w:tr>
      <w:tr>
        <w:trPr>
          <w:trHeight w:val="203"/>
        </w:trPr>
        <w:tc>
          <w:tcPr>
            <w:tcW w:w="2380" w:type="dxa"/>
            <w:vAlign w:val="bottom"/>
            <w:tcBorders>
              <w:bottom w:val="single" w:sz="8" w:color="005CA9"/>
            </w:tcBorders>
            <w:shd w:val="clear" w:color="auto" w:fill="CFF0FC"/>
          </w:tcPr>
          <w:p>
            <w:pPr>
              <w:ind w:left="120"/>
              <w:spacing w:after="0"/>
              <w:rPr>
                <w:sz w:val="20"/>
                <w:szCs w:val="20"/>
                <w:color w:val="auto"/>
              </w:rPr>
            </w:pPr>
            <w:r>
              <w:rPr>
                <w:rFonts w:ascii="Calibri" w:cs="Calibri" w:eastAsia="Calibri" w:hAnsi="Calibri"/>
                <w:sz w:val="16"/>
                <w:szCs w:val="16"/>
                <w:color w:val="auto"/>
              </w:rPr>
              <w:t>Emily Yang</w:t>
            </w:r>
          </w:p>
        </w:tc>
        <w:tc>
          <w:tcPr>
            <w:tcW w:w="1260" w:type="dxa"/>
            <w:vAlign w:val="bottom"/>
            <w:tcBorders>
              <w:bottom w:val="single" w:sz="8" w:color="005CA9"/>
            </w:tcBorders>
            <w:shd w:val="clear" w:color="auto" w:fill="CFF0FC"/>
          </w:tcPr>
          <w:p>
            <w:pPr>
              <w:jc w:val="right"/>
              <w:ind w:right="419"/>
              <w:spacing w:after="0"/>
              <w:rPr>
                <w:sz w:val="20"/>
                <w:szCs w:val="20"/>
                <w:color w:val="auto"/>
              </w:rPr>
            </w:pPr>
            <w:r>
              <w:rPr>
                <w:rFonts w:ascii="Calibri" w:cs="Calibri" w:eastAsia="Calibri" w:hAnsi="Calibri"/>
                <w:sz w:val="16"/>
                <w:szCs w:val="16"/>
                <w:color w:val="auto"/>
              </w:rPr>
              <w:t>N/A</w:t>
            </w:r>
          </w:p>
        </w:tc>
        <w:tc>
          <w:tcPr>
            <w:tcW w:w="1620" w:type="dxa"/>
            <w:vAlign w:val="bottom"/>
            <w:tcBorders>
              <w:bottom w:val="single" w:sz="8" w:color="005CA9"/>
            </w:tcBorders>
            <w:shd w:val="clear" w:color="auto" w:fill="CFF0FC"/>
          </w:tcPr>
          <w:p>
            <w:pPr>
              <w:jc w:val="center"/>
              <w:ind w:left="199"/>
              <w:spacing w:after="0"/>
              <w:rPr>
                <w:sz w:val="20"/>
                <w:szCs w:val="20"/>
                <w:color w:val="auto"/>
              </w:rPr>
            </w:pPr>
            <w:r>
              <w:rPr>
                <w:rFonts w:ascii="Calibri" w:cs="Calibri" w:eastAsia="Calibri" w:hAnsi="Calibri"/>
                <w:sz w:val="16"/>
                <w:szCs w:val="16"/>
                <w:color w:val="auto"/>
              </w:rPr>
              <w:t>N/A</w:t>
            </w:r>
          </w:p>
        </w:tc>
        <w:tc>
          <w:tcPr>
            <w:tcW w:w="140" w:type="dxa"/>
            <w:vAlign w:val="bottom"/>
            <w:tcBorders>
              <w:bottom w:val="single" w:sz="8" w:color="005CA9"/>
            </w:tcBorders>
            <w:shd w:val="clear" w:color="auto" w:fill="CFF0FC"/>
          </w:tcPr>
          <w:p>
            <w:pPr>
              <w:spacing w:after="0"/>
              <w:rPr>
                <w:sz w:val="17"/>
                <w:szCs w:val="17"/>
                <w:color w:val="auto"/>
              </w:rPr>
            </w:pPr>
          </w:p>
        </w:tc>
        <w:tc>
          <w:tcPr>
            <w:tcW w:w="1260" w:type="dxa"/>
            <w:vAlign w:val="bottom"/>
            <w:tcBorders>
              <w:bottom w:val="single" w:sz="8" w:color="005CA9"/>
            </w:tcBorders>
            <w:shd w:val="clear" w:color="auto" w:fill="CFF0FC"/>
          </w:tcPr>
          <w:p>
            <w:pPr>
              <w:jc w:val="right"/>
              <w:ind w:right="419"/>
              <w:spacing w:after="0"/>
              <w:rPr>
                <w:sz w:val="20"/>
                <w:szCs w:val="20"/>
                <w:color w:val="auto"/>
              </w:rPr>
            </w:pPr>
            <w:r>
              <w:rPr>
                <w:rFonts w:ascii="Calibri" w:cs="Calibri" w:eastAsia="Calibri" w:hAnsi="Calibri"/>
                <w:sz w:val="16"/>
                <w:szCs w:val="16"/>
                <w:color w:val="auto"/>
              </w:rPr>
              <w:t>N/A</w:t>
            </w:r>
          </w:p>
        </w:tc>
        <w:tc>
          <w:tcPr>
            <w:tcW w:w="1600" w:type="dxa"/>
            <w:vAlign w:val="bottom"/>
            <w:tcBorders>
              <w:bottom w:val="single" w:sz="8" w:color="005CA9"/>
            </w:tcBorders>
            <w:shd w:val="clear" w:color="auto" w:fill="CFF0FC"/>
          </w:tcPr>
          <w:p>
            <w:pPr>
              <w:jc w:val="center"/>
              <w:ind w:left="219"/>
              <w:spacing w:after="0"/>
              <w:rPr>
                <w:sz w:val="20"/>
                <w:szCs w:val="20"/>
                <w:color w:val="auto"/>
              </w:rPr>
            </w:pPr>
            <w:r>
              <w:rPr>
                <w:rFonts w:ascii="Calibri" w:cs="Calibri" w:eastAsia="Calibri" w:hAnsi="Calibri"/>
                <w:sz w:val="16"/>
                <w:szCs w:val="16"/>
                <w:color w:val="auto"/>
              </w:rPr>
              <w:t>N/A</w:t>
            </w:r>
          </w:p>
        </w:tc>
        <w:tc>
          <w:tcPr>
            <w:tcW w:w="1380" w:type="dxa"/>
            <w:vAlign w:val="bottom"/>
            <w:tcBorders>
              <w:bottom w:val="single" w:sz="8" w:color="005CA9"/>
            </w:tcBorders>
            <w:gridSpan w:val="2"/>
            <w:shd w:val="clear" w:color="auto" w:fill="CFF0FC"/>
          </w:tcPr>
          <w:p>
            <w:pPr>
              <w:jc w:val="right"/>
              <w:spacing w:after="0"/>
              <w:rPr>
                <w:sz w:val="20"/>
                <w:szCs w:val="20"/>
                <w:color w:val="auto"/>
              </w:rPr>
            </w:pPr>
            <w:r>
              <w:rPr>
                <w:rFonts w:ascii="Calibri" w:cs="Calibri" w:eastAsia="Calibri" w:hAnsi="Calibri"/>
                <w:sz w:val="16"/>
                <w:szCs w:val="16"/>
                <w:color w:val="auto"/>
              </w:rPr>
              <w:t>429,000</w:t>
            </w:r>
          </w:p>
        </w:tc>
        <w:tc>
          <w:tcPr>
            <w:tcW w:w="1600" w:type="dxa"/>
            <w:vAlign w:val="bottom"/>
            <w:tcBorders>
              <w:bottom w:val="single" w:sz="8" w:color="005CA9"/>
            </w:tcBorders>
            <w:shd w:val="clear" w:color="auto" w:fill="CFF0FC"/>
          </w:tcPr>
          <w:p>
            <w:pPr>
              <w:jc w:val="center"/>
              <w:ind w:left="179"/>
              <w:spacing w:after="0"/>
              <w:rPr>
                <w:sz w:val="20"/>
                <w:szCs w:val="20"/>
                <w:color w:val="auto"/>
              </w:rPr>
            </w:pPr>
            <w:r>
              <w:rPr>
                <w:rFonts w:ascii="Calibri" w:cs="Calibri" w:eastAsia="Calibri" w:hAnsi="Calibri"/>
                <w:sz w:val="16"/>
                <w:szCs w:val="16"/>
                <w:color w:val="auto"/>
              </w:rPr>
              <w:t>N/A</w:t>
            </w:r>
          </w:p>
        </w:tc>
      </w:tr>
    </w:tbl>
    <w:p>
      <w:pPr>
        <w:spacing w:after="0" w:line="84"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In late 2023, the Compensaton Commitee reviewed the design of our annual incentve plan for 2024. For 2024, the Compensaton Commitee set the bonus target for the CEO at 100% of annual salary, the bonus target for the President at 90% of salary and the bonus target for all other executves to 65% of salary. Previous targets were 125% of salary for the CEO and 70% for all other executves No changes were made to the fnancial objectves, the strategic objectves, or the relatve weight of the fnancial objectves as compared to the strategic objectves. The weightng of the Non-GAAP diluted earnings per share fnancial metric will contnue to be 77% to emphasize proftability, the weightng of net sales will be 18% and CSER will be 5%. The Compensaton Commitee feels these measures refect the Company’s longer-term goal of achieving a 40% gross margin and the increased focus on corporate governance. Due to the sensitvity of earnings per share and net sales forecasts and the correlaton of earnings per share to our stock price, the 2024 targets are not being disclosed at this tme. However, the targets will be disclosed at the end of the performance period along with the achievement levels against such targets.</w:t>
      </w:r>
    </w:p>
    <w:p>
      <w:pPr>
        <w:spacing w:after="0" w:line="1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Long-Term Incentve (LTI) Plan</w:t>
      </w:r>
    </w:p>
    <w:p>
      <w:pPr>
        <w:spacing w:after="0" w:line="11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Under the Company's 2022 Plan, the Company may grant any type of equity award whose value is derived from the value of the Common Stock of the Company, including, but not limited to, shares of Common Stock, stock optons, stock appreciaton rights (“SARs”), restricted stock units (“RSUs”), performance stock units (“PSUs”), and restricted stock. Equity awards encourage our NEOs to execute on longer-term fnancial goals that drive stockholder value creaton and support our retenton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74295</wp:posOffset>
            </wp:positionV>
            <wp:extent cx="4225925" cy="7797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259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In February 2024, the Commitee granted long-term incentve (“LTI”) awards under the 2022 Plan to certain executve ofcers. Each LTI award consisted of (1) restricted stock units (“RSUs”) which vest over four years and (2) performance stock units (“PSUs”) which contain</w:t>
      </w:r>
    </w:p>
    <w:p>
      <w:pPr>
        <w:spacing w:after="0" w:line="10" w:lineRule="exact"/>
        <w:rPr>
          <w:sz w:val="20"/>
          <w:szCs w:val="20"/>
          <w:color w:val="auto"/>
        </w:rPr>
      </w:pPr>
    </w:p>
    <w:p>
      <w:pPr>
        <w:ind w:right="20" w:firstLine="8"/>
        <w:spacing w:after="0" w:line="234" w:lineRule="auto"/>
        <w:tabs>
          <w:tab w:leader="none" w:pos="167"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performance-based vestng conditon under which the PSUs will vest upon the Company achieving a cumulatve 3-year Non-GAAP operatng income target for 2024-2026.</w:t>
      </w:r>
    </w:p>
    <w:p>
      <w:pPr>
        <w:spacing w:after="0" w:line="91"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In December 2024, the Compensaton Commitee reviewed the design of our LTI plan. No changes were made to the structure of the plan compared to 2024, except for a change to the 3-year Non-GAAP operatng income target for 2025-2027.</w:t>
      </w:r>
    </w:p>
    <w:p>
      <w:pPr>
        <w:spacing w:after="0" w:line="9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 PSU awards granted in fscal 2022, 2023, and 2024 each year a 3-year cumulatve operatng income goal is set as a target. It is not adjusted for market changes or company performance throughout the 3-year period. For the 2022‐2024 award cycle, the Compensaton Commitee chose a GAAP operatng income target of $1.0 billion, with actual results being $709 million. With this target not being met there was no vestng of the 2022 awards.</w:t>
      </w:r>
    </w:p>
    <w:p>
      <w:pPr>
        <w:spacing w:after="0" w:line="3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39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2" w:name="page43"/>
    <w:bookmarkEnd w:id="42"/>
    <w:p>
      <w:pPr>
        <w:spacing w:after="0" w:line="234" w:lineRule="auto"/>
        <w:rPr>
          <w:sz w:val="20"/>
          <w:szCs w:val="20"/>
          <w:color w:val="auto"/>
        </w:rPr>
      </w:pPr>
      <w:r>
        <w:rPr>
          <w:rFonts w:ascii="Calibri" w:cs="Calibri" w:eastAsia="Calibri" w:hAnsi="Calibri"/>
          <w:sz w:val="20"/>
          <w:szCs w:val="20"/>
          <w:color w:val="auto"/>
        </w:rPr>
        <w:t>The following chart illustrates the structure of the plan for 2022, 2023, and 2024. The structure of the LTI awards is the same for the CEO and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27774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FFFFFF"/>
        </w:rPr>
        <w:t>LTI Plan Structure</w:t>
      </w:r>
    </w:p>
    <w:p>
      <w:pPr>
        <w:spacing w:after="0" w:line="59"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000" w:type="dxa"/>
            <w:vAlign w:val="bottom"/>
            <w:tcBorders>
              <w:left w:val="single" w:sz="8" w:color="005CA9"/>
              <w:bottom w:val="single" w:sz="8" w:color="005CA9"/>
              <w:right w:val="single" w:sz="8" w:color="005CA9"/>
            </w:tcBorders>
            <w:shd w:val="clear" w:color="auto" w:fill="D9EEFF"/>
          </w:tcPr>
          <w:p>
            <w:pPr>
              <w:jc w:val="center"/>
              <w:spacing w:after="0"/>
              <w:rPr>
                <w:sz w:val="20"/>
                <w:szCs w:val="20"/>
                <w:color w:val="auto"/>
              </w:rPr>
            </w:pPr>
            <w:r>
              <w:rPr>
                <w:rFonts w:ascii="Calibri" w:cs="Calibri" w:eastAsia="Calibri" w:hAnsi="Calibri"/>
                <w:sz w:val="20"/>
                <w:szCs w:val="20"/>
                <w:b w:val="1"/>
                <w:bCs w:val="1"/>
                <w:color w:val="auto"/>
              </w:rPr>
              <w:t>Weightng</w:t>
            </w:r>
          </w:p>
        </w:tc>
        <w:tc>
          <w:tcPr>
            <w:tcW w:w="5120" w:type="dxa"/>
            <w:vAlign w:val="bottom"/>
            <w:tcBorders>
              <w:bottom w:val="single" w:sz="8" w:color="005CA9"/>
              <w:right w:val="single" w:sz="8" w:color="005CA9"/>
            </w:tcBorders>
            <w:shd w:val="clear" w:color="auto" w:fill="D9EEFF"/>
          </w:tcPr>
          <w:p>
            <w:pPr>
              <w:ind w:left="1920"/>
              <w:spacing w:after="0"/>
              <w:rPr>
                <w:sz w:val="20"/>
                <w:szCs w:val="20"/>
                <w:color w:val="auto"/>
              </w:rPr>
            </w:pPr>
            <w:r>
              <w:rPr>
                <w:rFonts w:ascii="Calibri" w:cs="Calibri" w:eastAsia="Calibri" w:hAnsi="Calibri"/>
                <w:sz w:val="20"/>
                <w:szCs w:val="20"/>
                <w:b w:val="1"/>
                <w:bCs w:val="1"/>
                <w:color w:val="auto"/>
              </w:rPr>
              <w:t>Equity Vehicles</w:t>
            </w:r>
          </w:p>
        </w:tc>
        <w:tc>
          <w:tcPr>
            <w:tcW w:w="2500" w:type="dxa"/>
            <w:vAlign w:val="bottom"/>
            <w:tcBorders>
              <w:bottom w:val="single" w:sz="8" w:color="005CA9"/>
            </w:tcBorders>
            <w:shd w:val="clear" w:color="auto" w:fill="D9EEFF"/>
          </w:tcPr>
          <w:p>
            <w:pPr>
              <w:ind w:left="1720"/>
              <w:spacing w:after="0"/>
              <w:rPr>
                <w:sz w:val="20"/>
                <w:szCs w:val="20"/>
                <w:color w:val="auto"/>
              </w:rPr>
            </w:pPr>
            <w:r>
              <w:rPr>
                <w:rFonts w:ascii="Calibri" w:cs="Calibri" w:eastAsia="Calibri" w:hAnsi="Calibri"/>
                <w:sz w:val="20"/>
                <w:szCs w:val="20"/>
                <w:b w:val="1"/>
                <w:bCs w:val="1"/>
                <w:color w:val="auto"/>
              </w:rPr>
              <w:t>Metrics</w:t>
            </w:r>
          </w:p>
        </w:tc>
        <w:tc>
          <w:tcPr>
            <w:tcW w:w="1180" w:type="dxa"/>
            <w:vAlign w:val="bottom"/>
            <w:tcBorders>
              <w:bottom w:val="single" w:sz="8" w:color="005CA9"/>
            </w:tcBorders>
            <w:shd w:val="clear" w:color="auto" w:fill="D9EEFF"/>
          </w:tcPr>
          <w:p>
            <w:pPr>
              <w:spacing w:after="0"/>
              <w:rPr>
                <w:sz w:val="21"/>
                <w:szCs w:val="21"/>
                <w:color w:val="auto"/>
              </w:rPr>
            </w:pPr>
          </w:p>
        </w:tc>
        <w:tc>
          <w:tcPr>
            <w:tcW w:w="440" w:type="dxa"/>
            <w:vAlign w:val="bottom"/>
            <w:tcBorders>
              <w:bottom w:val="single" w:sz="8" w:color="005CA9"/>
              <w:right w:val="single" w:sz="8" w:color="005CA9"/>
            </w:tcBorders>
            <w:shd w:val="clear" w:color="auto" w:fill="D9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00" w:type="dxa"/>
            <w:vAlign w:val="bottom"/>
            <w:tcBorders>
              <w:left w:val="single" w:sz="8" w:color="005CA9"/>
              <w:right w:val="single" w:sz="8" w:color="005CA9"/>
            </w:tcBorders>
          </w:tcPr>
          <w:p>
            <w:pPr>
              <w:spacing w:after="0"/>
              <w:rPr>
                <w:sz w:val="19"/>
                <w:szCs w:val="19"/>
                <w:color w:val="auto"/>
              </w:rPr>
            </w:pPr>
          </w:p>
        </w:tc>
        <w:tc>
          <w:tcPr>
            <w:tcW w:w="5120" w:type="dxa"/>
            <w:vAlign w:val="bottom"/>
            <w:tcBorders>
              <w:right w:val="single" w:sz="8" w:color="005CA9"/>
            </w:tcBorders>
          </w:tcPr>
          <w:p>
            <w:pPr>
              <w:spacing w:after="0"/>
              <w:rPr>
                <w:sz w:val="19"/>
                <w:szCs w:val="19"/>
                <w:color w:val="auto"/>
              </w:rPr>
            </w:pPr>
          </w:p>
        </w:tc>
        <w:tc>
          <w:tcPr>
            <w:tcW w:w="4120" w:type="dxa"/>
            <w:vAlign w:val="bottom"/>
            <w:tcBorders>
              <w:right w:val="single" w:sz="8" w:color="005CA9"/>
            </w:tcBorders>
            <w:gridSpan w:val="3"/>
          </w:tcPr>
          <w:p>
            <w:pPr>
              <w:ind w:left="100"/>
              <w:spacing w:after="0" w:line="218" w:lineRule="exact"/>
              <w:rPr>
                <w:sz w:val="20"/>
                <w:szCs w:val="20"/>
                <w:color w:val="auto"/>
              </w:rPr>
            </w:pPr>
            <w:r>
              <w:rPr>
                <w:rFonts w:ascii="Calibri" w:cs="Calibri" w:eastAsia="Calibri" w:hAnsi="Calibri"/>
                <w:sz w:val="20"/>
                <w:szCs w:val="20"/>
                <w:color w:val="auto"/>
              </w:rPr>
              <w:t>For   the   2022‐2024   award   cycle,   the</w:t>
            </w:r>
          </w:p>
        </w:tc>
        <w:tc>
          <w:tcPr>
            <w:tcW w:w="0" w:type="dxa"/>
            <w:vAlign w:val="bottom"/>
          </w:tcPr>
          <w:p>
            <w:pPr>
              <w:spacing w:after="0"/>
              <w:rPr>
                <w:sz w:val="1"/>
                <w:szCs w:val="1"/>
                <w:color w:val="auto"/>
              </w:rPr>
            </w:pPr>
          </w:p>
        </w:tc>
      </w:tr>
      <w:tr>
        <w:trPr>
          <w:trHeight w:val="234"/>
        </w:trPr>
        <w:tc>
          <w:tcPr>
            <w:tcW w:w="2000" w:type="dxa"/>
            <w:vAlign w:val="bottom"/>
            <w:tcBorders>
              <w:left w:val="single" w:sz="8" w:color="005CA9"/>
              <w:right w:val="single" w:sz="8" w:color="005CA9"/>
            </w:tcBorders>
          </w:tcPr>
          <w:p>
            <w:pPr>
              <w:spacing w:after="0"/>
              <w:rPr>
                <w:sz w:val="20"/>
                <w:szCs w:val="20"/>
                <w:color w:val="auto"/>
              </w:rPr>
            </w:pPr>
          </w:p>
        </w:tc>
        <w:tc>
          <w:tcPr>
            <w:tcW w:w="5120" w:type="dxa"/>
            <w:vAlign w:val="bottom"/>
            <w:tcBorders>
              <w:right w:val="single" w:sz="8" w:color="005CA9"/>
            </w:tcBorders>
            <w:vMerge w:val="restart"/>
          </w:tcPr>
          <w:p>
            <w:pPr>
              <w:ind w:left="100"/>
              <w:spacing w:after="0"/>
              <w:rPr>
                <w:sz w:val="20"/>
                <w:szCs w:val="20"/>
                <w:color w:val="auto"/>
              </w:rPr>
            </w:pPr>
            <w:r>
              <w:rPr>
                <w:rFonts w:ascii="Calibri" w:cs="Calibri" w:eastAsia="Calibri" w:hAnsi="Calibri"/>
                <w:sz w:val="20"/>
                <w:szCs w:val="20"/>
                <w:b w:val="1"/>
                <w:bCs w:val="1"/>
                <w:color w:val="auto"/>
              </w:rPr>
              <w:t xml:space="preserve">Performance-Based Stock Units: </w:t>
            </w:r>
            <w:r>
              <w:rPr>
                <w:rFonts w:ascii="Calibri" w:cs="Calibri" w:eastAsia="Calibri" w:hAnsi="Calibri"/>
                <w:sz w:val="20"/>
                <w:szCs w:val="20"/>
                <w:color w:val="auto"/>
              </w:rPr>
              <w:t>Vest according to actual</w:t>
            </w:r>
          </w:p>
        </w:tc>
        <w:tc>
          <w:tcPr>
            <w:tcW w:w="4120" w:type="dxa"/>
            <w:vAlign w:val="bottom"/>
            <w:tcBorders>
              <w:right w:val="single" w:sz="8" w:color="005CA9"/>
            </w:tcBorders>
            <w:gridSpan w:val="3"/>
          </w:tcPr>
          <w:p>
            <w:pPr>
              <w:ind w:left="100"/>
              <w:spacing w:after="0" w:line="234" w:lineRule="exact"/>
              <w:rPr>
                <w:sz w:val="20"/>
                <w:szCs w:val="20"/>
                <w:color w:val="auto"/>
              </w:rPr>
            </w:pPr>
            <w:r>
              <w:rPr>
                <w:rFonts w:ascii="Calibri" w:cs="Calibri" w:eastAsia="Calibri" w:hAnsi="Calibri"/>
                <w:sz w:val="20"/>
                <w:szCs w:val="20"/>
                <w:color w:val="auto"/>
              </w:rPr>
              <w:t>Compensaton  Commitee  chose  a  GAAP</w:t>
            </w:r>
          </w:p>
        </w:tc>
        <w:tc>
          <w:tcPr>
            <w:tcW w:w="0" w:type="dxa"/>
            <w:vAlign w:val="bottom"/>
          </w:tcPr>
          <w:p>
            <w:pPr>
              <w:spacing w:after="0"/>
              <w:rPr>
                <w:sz w:val="1"/>
                <w:szCs w:val="1"/>
                <w:color w:val="auto"/>
              </w:rPr>
            </w:pPr>
          </w:p>
        </w:tc>
      </w:tr>
      <w:tr>
        <w:trPr>
          <w:trHeight w:val="195"/>
        </w:trPr>
        <w:tc>
          <w:tcPr>
            <w:tcW w:w="2000" w:type="dxa"/>
            <w:vAlign w:val="bottom"/>
            <w:tcBorders>
              <w:left w:val="single" w:sz="8" w:color="005CA9"/>
              <w:right w:val="single" w:sz="8" w:color="005CA9"/>
            </w:tcBorders>
            <w:vMerge w:val="restart"/>
          </w:tcPr>
          <w:p>
            <w:pPr>
              <w:jc w:val="center"/>
              <w:spacing w:after="0"/>
              <w:rPr>
                <w:sz w:val="20"/>
                <w:szCs w:val="20"/>
                <w:color w:val="auto"/>
              </w:rPr>
            </w:pPr>
            <w:r>
              <w:rPr>
                <w:rFonts w:ascii="Calibri" w:cs="Calibri" w:eastAsia="Calibri" w:hAnsi="Calibri"/>
                <w:sz w:val="20"/>
                <w:szCs w:val="20"/>
                <w:color w:val="auto"/>
                <w:w w:val="98"/>
              </w:rPr>
              <w:t>50%</w:t>
            </w:r>
          </w:p>
        </w:tc>
        <w:tc>
          <w:tcPr>
            <w:tcW w:w="5120" w:type="dxa"/>
            <w:vAlign w:val="bottom"/>
            <w:tcBorders>
              <w:right w:val="single" w:sz="8" w:color="005CA9"/>
            </w:tcBorders>
            <w:vMerge w:val="continue"/>
          </w:tcPr>
          <w:p>
            <w:pPr>
              <w:spacing w:after="0"/>
              <w:rPr>
                <w:sz w:val="16"/>
                <w:szCs w:val="16"/>
                <w:color w:val="auto"/>
              </w:rPr>
            </w:pPr>
          </w:p>
        </w:tc>
        <w:tc>
          <w:tcPr>
            <w:tcW w:w="2500" w:type="dxa"/>
            <w:vAlign w:val="bottom"/>
          </w:tcPr>
          <w:p>
            <w:pPr>
              <w:ind w:left="100"/>
              <w:spacing w:after="0" w:line="195" w:lineRule="exact"/>
              <w:rPr>
                <w:sz w:val="20"/>
                <w:szCs w:val="20"/>
                <w:color w:val="auto"/>
              </w:rPr>
            </w:pPr>
            <w:r>
              <w:rPr>
                <w:rFonts w:ascii="Calibri" w:cs="Calibri" w:eastAsia="Calibri" w:hAnsi="Calibri"/>
                <w:sz w:val="20"/>
                <w:szCs w:val="20"/>
                <w:color w:val="auto"/>
              </w:rPr>
              <w:t>operatng income target of</w:t>
            </w:r>
          </w:p>
        </w:tc>
        <w:tc>
          <w:tcPr>
            <w:tcW w:w="1180" w:type="dxa"/>
            <w:vAlign w:val="bottom"/>
          </w:tcPr>
          <w:p>
            <w:pPr>
              <w:jc w:val="center"/>
              <w:spacing w:after="0" w:line="195" w:lineRule="exact"/>
              <w:rPr>
                <w:sz w:val="20"/>
                <w:szCs w:val="20"/>
                <w:color w:val="auto"/>
              </w:rPr>
            </w:pPr>
            <w:r>
              <w:rPr>
                <w:rFonts w:ascii="Calibri" w:cs="Calibri" w:eastAsia="Calibri" w:hAnsi="Calibri"/>
                <w:sz w:val="20"/>
                <w:szCs w:val="20"/>
                <w:color w:val="auto"/>
              </w:rPr>
              <w:t>$1.0 billion,</w:t>
            </w:r>
          </w:p>
        </w:tc>
        <w:tc>
          <w:tcPr>
            <w:tcW w:w="440" w:type="dxa"/>
            <w:vAlign w:val="bottom"/>
            <w:tcBorders>
              <w:right w:val="single" w:sz="8" w:color="005CA9"/>
            </w:tcBorders>
          </w:tcPr>
          <w:p>
            <w:pPr>
              <w:jc w:val="right"/>
              <w:spacing w:after="0" w:line="195" w:lineRule="exact"/>
              <w:rPr>
                <w:sz w:val="20"/>
                <w:szCs w:val="20"/>
                <w:color w:val="auto"/>
              </w:rPr>
            </w:pPr>
            <w:r>
              <w:rPr>
                <w:rFonts w:ascii="Calibri" w:cs="Calibri" w:eastAsia="Calibri" w:hAnsi="Calibri"/>
                <w:sz w:val="20"/>
                <w:szCs w:val="20"/>
                <w:color w:val="auto"/>
                <w:w w:val="99"/>
              </w:rPr>
              <w:t>with</w:t>
            </w:r>
          </w:p>
        </w:tc>
        <w:tc>
          <w:tcPr>
            <w:tcW w:w="0" w:type="dxa"/>
            <w:vAlign w:val="bottom"/>
          </w:tcPr>
          <w:p>
            <w:pPr>
              <w:spacing w:after="0"/>
              <w:rPr>
                <w:sz w:val="1"/>
                <w:szCs w:val="1"/>
                <w:color w:val="auto"/>
              </w:rPr>
            </w:pPr>
          </w:p>
        </w:tc>
      </w:tr>
      <w:tr>
        <w:trPr>
          <w:trHeight w:val="178"/>
        </w:trPr>
        <w:tc>
          <w:tcPr>
            <w:tcW w:w="2000" w:type="dxa"/>
            <w:vAlign w:val="bottom"/>
            <w:tcBorders>
              <w:left w:val="single" w:sz="8" w:color="005CA9"/>
              <w:right w:val="single" w:sz="8" w:color="005CA9"/>
            </w:tcBorders>
            <w:vMerge w:val="continue"/>
          </w:tcPr>
          <w:p>
            <w:pPr>
              <w:spacing w:after="0"/>
              <w:rPr>
                <w:sz w:val="15"/>
                <w:szCs w:val="15"/>
                <w:color w:val="auto"/>
              </w:rPr>
            </w:pPr>
          </w:p>
        </w:tc>
        <w:tc>
          <w:tcPr>
            <w:tcW w:w="5120" w:type="dxa"/>
            <w:vAlign w:val="bottom"/>
            <w:tcBorders>
              <w:right w:val="single" w:sz="8" w:color="005CA9"/>
            </w:tcBorders>
          </w:tcPr>
          <w:p>
            <w:pPr>
              <w:ind w:left="100"/>
              <w:spacing w:after="0" w:line="178" w:lineRule="exact"/>
              <w:rPr>
                <w:sz w:val="20"/>
                <w:szCs w:val="20"/>
                <w:color w:val="auto"/>
              </w:rPr>
            </w:pPr>
            <w:r>
              <w:rPr>
                <w:rFonts w:ascii="Calibri" w:cs="Calibri" w:eastAsia="Calibri" w:hAnsi="Calibri"/>
                <w:sz w:val="19"/>
                <w:szCs w:val="19"/>
                <w:color w:val="auto"/>
              </w:rPr>
              <w:t>performance  compared  to  pre-established,  three‐year</w:t>
            </w:r>
          </w:p>
        </w:tc>
        <w:tc>
          <w:tcPr>
            <w:tcW w:w="2500" w:type="dxa"/>
            <w:vAlign w:val="bottom"/>
            <w:vMerge w:val="restart"/>
          </w:tcPr>
          <w:p>
            <w:pPr>
              <w:ind w:left="100"/>
              <w:spacing w:after="0"/>
              <w:rPr>
                <w:sz w:val="20"/>
                <w:szCs w:val="20"/>
                <w:color w:val="auto"/>
              </w:rPr>
            </w:pPr>
            <w:r>
              <w:rPr>
                <w:rFonts w:ascii="Calibri" w:cs="Calibri" w:eastAsia="Calibri" w:hAnsi="Calibri"/>
                <w:sz w:val="20"/>
                <w:szCs w:val="20"/>
                <w:color w:val="auto"/>
              </w:rPr>
              <w:t>actual results  being  $709</w:t>
            </w:r>
          </w:p>
        </w:tc>
        <w:tc>
          <w:tcPr>
            <w:tcW w:w="1180" w:type="dxa"/>
            <w:vAlign w:val="bottom"/>
            <w:vMerge w:val="restart"/>
          </w:tcPr>
          <w:p>
            <w:pPr>
              <w:jc w:val="center"/>
              <w:spacing w:after="0"/>
              <w:rPr>
                <w:sz w:val="20"/>
                <w:szCs w:val="20"/>
                <w:color w:val="auto"/>
              </w:rPr>
            </w:pPr>
            <w:r>
              <w:rPr>
                <w:rFonts w:ascii="Calibri" w:cs="Calibri" w:eastAsia="Calibri" w:hAnsi="Calibri"/>
                <w:sz w:val="20"/>
                <w:szCs w:val="20"/>
                <w:color w:val="auto"/>
              </w:rPr>
              <w:t>million. With</w:t>
            </w:r>
          </w:p>
        </w:tc>
        <w:tc>
          <w:tcPr>
            <w:tcW w:w="440" w:type="dxa"/>
            <w:vAlign w:val="bottom"/>
            <w:tcBorders>
              <w:right w:val="single" w:sz="8" w:color="005CA9"/>
            </w:tcBorders>
            <w:vMerge w:val="restart"/>
          </w:tcPr>
          <w:p>
            <w:pPr>
              <w:jc w:val="right"/>
              <w:spacing w:after="0"/>
              <w:rPr>
                <w:sz w:val="20"/>
                <w:szCs w:val="20"/>
                <w:color w:val="auto"/>
              </w:rPr>
            </w:pPr>
            <w:r>
              <w:rPr>
                <w:rFonts w:ascii="Calibri" w:cs="Calibri" w:eastAsia="Calibri" w:hAnsi="Calibri"/>
                <w:sz w:val="20"/>
                <w:szCs w:val="20"/>
                <w:color w:val="auto"/>
              </w:rPr>
              <w:t>this</w:t>
            </w:r>
          </w:p>
        </w:tc>
        <w:tc>
          <w:tcPr>
            <w:tcW w:w="0" w:type="dxa"/>
            <w:vAlign w:val="bottom"/>
          </w:tcPr>
          <w:p>
            <w:pPr>
              <w:spacing w:after="0"/>
              <w:rPr>
                <w:sz w:val="1"/>
                <w:szCs w:val="1"/>
                <w:color w:val="auto"/>
              </w:rPr>
            </w:pPr>
          </w:p>
        </w:tc>
      </w:tr>
      <w:tr>
        <w:trPr>
          <w:trHeight w:val="113"/>
        </w:trPr>
        <w:tc>
          <w:tcPr>
            <w:tcW w:w="2000" w:type="dxa"/>
            <w:vAlign w:val="bottom"/>
            <w:tcBorders>
              <w:left w:val="single" w:sz="8" w:color="005CA9"/>
              <w:right w:val="single" w:sz="8" w:color="005CA9"/>
            </w:tcBorders>
          </w:tcPr>
          <w:p>
            <w:pPr>
              <w:spacing w:after="0"/>
              <w:rPr>
                <w:sz w:val="9"/>
                <w:szCs w:val="9"/>
                <w:color w:val="auto"/>
              </w:rPr>
            </w:pPr>
          </w:p>
        </w:tc>
        <w:tc>
          <w:tcPr>
            <w:tcW w:w="5120" w:type="dxa"/>
            <w:vAlign w:val="bottom"/>
            <w:tcBorders>
              <w:right w:val="single" w:sz="8" w:color="005CA9"/>
            </w:tcBorders>
            <w:vMerge w:val="restart"/>
          </w:tcPr>
          <w:p>
            <w:pPr>
              <w:ind w:left="100"/>
              <w:spacing w:after="0" w:line="234" w:lineRule="exact"/>
              <w:rPr>
                <w:sz w:val="20"/>
                <w:szCs w:val="20"/>
                <w:color w:val="auto"/>
              </w:rPr>
            </w:pPr>
            <w:r>
              <w:rPr>
                <w:rFonts w:ascii="Calibri" w:cs="Calibri" w:eastAsia="Calibri" w:hAnsi="Calibri"/>
                <w:sz w:val="20"/>
                <w:szCs w:val="20"/>
                <w:color w:val="auto"/>
              </w:rPr>
              <w:t>absolute fnancial performance targets.</w:t>
            </w:r>
          </w:p>
        </w:tc>
        <w:tc>
          <w:tcPr>
            <w:tcW w:w="25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440" w:type="dxa"/>
            <w:vAlign w:val="bottom"/>
            <w:tcBorders>
              <w:right w:val="single" w:sz="8" w:color="005CA9"/>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00" w:type="dxa"/>
            <w:vAlign w:val="bottom"/>
            <w:tcBorders>
              <w:left w:val="single" w:sz="8" w:color="005CA9"/>
              <w:right w:val="single" w:sz="8" w:color="005CA9"/>
            </w:tcBorders>
          </w:tcPr>
          <w:p>
            <w:pPr>
              <w:spacing w:after="0"/>
              <w:rPr>
                <w:sz w:val="10"/>
                <w:szCs w:val="10"/>
                <w:color w:val="auto"/>
              </w:rPr>
            </w:pPr>
          </w:p>
        </w:tc>
        <w:tc>
          <w:tcPr>
            <w:tcW w:w="5120" w:type="dxa"/>
            <w:vAlign w:val="bottom"/>
            <w:tcBorders>
              <w:right w:val="single" w:sz="8" w:color="005CA9"/>
            </w:tcBorders>
            <w:vMerge w:val="continue"/>
          </w:tcPr>
          <w:p>
            <w:pPr>
              <w:spacing w:after="0"/>
              <w:rPr>
                <w:sz w:val="10"/>
                <w:szCs w:val="10"/>
                <w:color w:val="auto"/>
              </w:rPr>
            </w:pPr>
          </w:p>
        </w:tc>
        <w:tc>
          <w:tcPr>
            <w:tcW w:w="4120" w:type="dxa"/>
            <w:vAlign w:val="bottom"/>
            <w:tcBorders>
              <w:right w:val="single" w:sz="8" w:color="005CA9"/>
            </w:tcBorders>
            <w:gridSpan w:val="3"/>
            <w:vMerge w:val="restart"/>
          </w:tcPr>
          <w:p>
            <w:pPr>
              <w:ind w:left="100"/>
              <w:spacing w:after="0" w:line="243" w:lineRule="exact"/>
              <w:rPr>
                <w:sz w:val="20"/>
                <w:szCs w:val="20"/>
                <w:color w:val="auto"/>
              </w:rPr>
            </w:pPr>
            <w:r>
              <w:rPr>
                <w:rFonts w:ascii="Calibri" w:cs="Calibri" w:eastAsia="Calibri" w:hAnsi="Calibri"/>
                <w:sz w:val="20"/>
                <w:szCs w:val="20"/>
                <w:color w:val="auto"/>
              </w:rPr>
              <w:t>target was not being met there was no vestng</w:t>
            </w:r>
          </w:p>
        </w:tc>
        <w:tc>
          <w:tcPr>
            <w:tcW w:w="0" w:type="dxa"/>
            <w:vAlign w:val="bottom"/>
          </w:tcPr>
          <w:p>
            <w:pPr>
              <w:spacing w:after="0"/>
              <w:rPr>
                <w:sz w:val="1"/>
                <w:szCs w:val="1"/>
                <w:color w:val="auto"/>
              </w:rPr>
            </w:pPr>
          </w:p>
        </w:tc>
      </w:tr>
      <w:tr>
        <w:trPr>
          <w:trHeight w:val="122"/>
        </w:trPr>
        <w:tc>
          <w:tcPr>
            <w:tcW w:w="2000" w:type="dxa"/>
            <w:vAlign w:val="bottom"/>
            <w:tcBorders>
              <w:left w:val="single" w:sz="8" w:color="005CA9"/>
              <w:right w:val="single" w:sz="8" w:color="005CA9"/>
            </w:tcBorders>
          </w:tcPr>
          <w:p>
            <w:pPr>
              <w:spacing w:after="0"/>
              <w:rPr>
                <w:sz w:val="10"/>
                <w:szCs w:val="10"/>
                <w:color w:val="auto"/>
              </w:rPr>
            </w:pPr>
          </w:p>
        </w:tc>
        <w:tc>
          <w:tcPr>
            <w:tcW w:w="5120" w:type="dxa"/>
            <w:vAlign w:val="bottom"/>
            <w:tcBorders>
              <w:right w:val="single" w:sz="8" w:color="005CA9"/>
            </w:tcBorders>
          </w:tcPr>
          <w:p>
            <w:pPr>
              <w:spacing w:after="0"/>
              <w:rPr>
                <w:sz w:val="10"/>
                <w:szCs w:val="10"/>
                <w:color w:val="auto"/>
              </w:rPr>
            </w:pPr>
          </w:p>
        </w:tc>
        <w:tc>
          <w:tcPr>
            <w:tcW w:w="4120" w:type="dxa"/>
            <w:vAlign w:val="bottom"/>
            <w:tcBorders>
              <w:right w:val="single" w:sz="8" w:color="005CA9"/>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00" w:type="dxa"/>
            <w:vAlign w:val="bottom"/>
            <w:tcBorders>
              <w:left w:val="single" w:sz="8" w:color="005CA9"/>
              <w:right w:val="single" w:sz="8" w:color="005CA9"/>
            </w:tcBorders>
          </w:tcPr>
          <w:p>
            <w:pPr>
              <w:spacing w:after="0"/>
              <w:rPr>
                <w:sz w:val="21"/>
                <w:szCs w:val="21"/>
                <w:color w:val="auto"/>
              </w:rPr>
            </w:pPr>
          </w:p>
        </w:tc>
        <w:tc>
          <w:tcPr>
            <w:tcW w:w="5120" w:type="dxa"/>
            <w:vAlign w:val="bottom"/>
            <w:tcBorders>
              <w:right w:val="single" w:sz="8" w:color="005CA9"/>
            </w:tcBorders>
          </w:tcPr>
          <w:p>
            <w:pPr>
              <w:spacing w:after="0"/>
              <w:rPr>
                <w:sz w:val="21"/>
                <w:szCs w:val="21"/>
                <w:color w:val="auto"/>
              </w:rPr>
            </w:pPr>
          </w:p>
        </w:tc>
        <w:tc>
          <w:tcPr>
            <w:tcW w:w="2500" w:type="dxa"/>
            <w:vAlign w:val="bottom"/>
          </w:tcPr>
          <w:p>
            <w:pPr>
              <w:ind w:left="100"/>
              <w:spacing w:after="0" w:line="243" w:lineRule="exact"/>
              <w:rPr>
                <w:sz w:val="20"/>
                <w:szCs w:val="20"/>
                <w:color w:val="auto"/>
              </w:rPr>
            </w:pPr>
            <w:r>
              <w:rPr>
                <w:rFonts w:ascii="Calibri" w:cs="Calibri" w:eastAsia="Calibri" w:hAnsi="Calibri"/>
                <w:sz w:val="20"/>
                <w:szCs w:val="20"/>
                <w:color w:val="auto"/>
              </w:rPr>
              <w:t>of the 2022 awards.</w:t>
            </w:r>
          </w:p>
        </w:tc>
        <w:tc>
          <w:tcPr>
            <w:tcW w:w="1180" w:type="dxa"/>
            <w:vAlign w:val="bottom"/>
          </w:tcPr>
          <w:p>
            <w:pPr>
              <w:spacing w:after="0"/>
              <w:rPr>
                <w:sz w:val="21"/>
                <w:szCs w:val="21"/>
                <w:color w:val="auto"/>
              </w:rPr>
            </w:pPr>
          </w:p>
        </w:tc>
        <w:tc>
          <w:tcPr>
            <w:tcW w:w="440" w:type="dxa"/>
            <w:vAlign w:val="bottom"/>
            <w:tcBorders>
              <w:right w:val="single" w:sz="8" w:color="005CA9"/>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00" w:type="dxa"/>
            <w:vAlign w:val="bottom"/>
            <w:tcBorders>
              <w:left w:val="single" w:sz="8" w:color="005CA9"/>
              <w:bottom w:val="single" w:sz="8" w:color="005CA9"/>
              <w:right w:val="single" w:sz="8" w:color="005CA9"/>
            </w:tcBorders>
          </w:tcPr>
          <w:p>
            <w:pPr>
              <w:spacing w:after="0"/>
              <w:rPr>
                <w:sz w:val="2"/>
                <w:szCs w:val="2"/>
                <w:color w:val="auto"/>
              </w:rPr>
            </w:pPr>
          </w:p>
        </w:tc>
        <w:tc>
          <w:tcPr>
            <w:tcW w:w="5120" w:type="dxa"/>
            <w:vAlign w:val="bottom"/>
            <w:tcBorders>
              <w:bottom w:val="single" w:sz="8" w:color="005CA9"/>
              <w:right w:val="single" w:sz="8" w:color="005CA9"/>
            </w:tcBorders>
          </w:tcPr>
          <w:p>
            <w:pPr>
              <w:spacing w:after="0"/>
              <w:rPr>
                <w:sz w:val="2"/>
                <w:szCs w:val="2"/>
                <w:color w:val="auto"/>
              </w:rPr>
            </w:pPr>
          </w:p>
        </w:tc>
        <w:tc>
          <w:tcPr>
            <w:tcW w:w="2500" w:type="dxa"/>
            <w:vAlign w:val="bottom"/>
            <w:tcBorders>
              <w:bottom w:val="single" w:sz="8" w:color="005CA9"/>
            </w:tcBorders>
          </w:tcPr>
          <w:p>
            <w:pPr>
              <w:spacing w:after="0"/>
              <w:rPr>
                <w:sz w:val="2"/>
                <w:szCs w:val="2"/>
                <w:color w:val="auto"/>
              </w:rPr>
            </w:pPr>
          </w:p>
        </w:tc>
        <w:tc>
          <w:tcPr>
            <w:tcW w:w="1180" w:type="dxa"/>
            <w:vAlign w:val="bottom"/>
            <w:tcBorders>
              <w:bottom w:val="single" w:sz="8" w:color="005CA9"/>
            </w:tcBorders>
          </w:tcPr>
          <w:p>
            <w:pPr>
              <w:spacing w:after="0"/>
              <w:rPr>
                <w:sz w:val="2"/>
                <w:szCs w:val="2"/>
                <w:color w:val="auto"/>
              </w:rPr>
            </w:pPr>
          </w:p>
        </w:tc>
        <w:tc>
          <w:tcPr>
            <w:tcW w:w="440" w:type="dxa"/>
            <w:vAlign w:val="bottom"/>
            <w:tcBorders>
              <w:bottom w:val="single" w:sz="8" w:color="005CA9"/>
              <w:right w:val="single" w:sz="8" w:color="005CA9"/>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00" w:type="dxa"/>
            <w:vAlign w:val="bottom"/>
            <w:tcBorders>
              <w:left w:val="single" w:sz="8" w:color="005CA9"/>
              <w:right w:val="single" w:sz="8" w:color="005CA9"/>
            </w:tcBorders>
            <w:vMerge w:val="restart"/>
            <w:shd w:val="clear" w:color="auto" w:fill="D9EEFF"/>
          </w:tcPr>
          <w:p>
            <w:pPr>
              <w:jc w:val="center"/>
              <w:spacing w:after="0"/>
              <w:rPr>
                <w:sz w:val="20"/>
                <w:szCs w:val="20"/>
                <w:color w:val="auto"/>
              </w:rPr>
            </w:pPr>
            <w:r>
              <w:rPr>
                <w:rFonts w:ascii="Calibri" w:cs="Calibri" w:eastAsia="Calibri" w:hAnsi="Calibri"/>
                <w:sz w:val="20"/>
                <w:szCs w:val="20"/>
                <w:color w:val="auto"/>
                <w:w w:val="98"/>
              </w:rPr>
              <w:t>50%</w:t>
            </w:r>
          </w:p>
        </w:tc>
        <w:tc>
          <w:tcPr>
            <w:tcW w:w="5120" w:type="dxa"/>
            <w:vAlign w:val="bottom"/>
            <w:tcBorders>
              <w:right w:val="single" w:sz="8" w:color="005CA9"/>
            </w:tcBorders>
            <w:shd w:val="clear" w:color="auto" w:fill="D9EEFF"/>
          </w:tcPr>
          <w:p>
            <w:pPr>
              <w:ind w:left="100"/>
              <w:spacing w:after="0"/>
              <w:rPr>
                <w:sz w:val="20"/>
                <w:szCs w:val="20"/>
                <w:color w:val="auto"/>
              </w:rPr>
            </w:pPr>
            <w:r>
              <w:rPr>
                <w:rFonts w:ascii="Calibri" w:cs="Calibri" w:eastAsia="Calibri" w:hAnsi="Calibri"/>
                <w:sz w:val="20"/>
                <w:szCs w:val="20"/>
                <w:b w:val="1"/>
                <w:bCs w:val="1"/>
                <w:color w:val="auto"/>
              </w:rPr>
              <w:t xml:space="preserve">Time-Based Restricted Stock Units: </w:t>
            </w:r>
            <w:r>
              <w:rPr>
                <w:rFonts w:ascii="Calibri" w:cs="Calibri" w:eastAsia="Calibri" w:hAnsi="Calibri"/>
                <w:sz w:val="20"/>
                <w:szCs w:val="20"/>
                <w:color w:val="auto"/>
              </w:rPr>
              <w:t>Vest ratably over a four‐</w:t>
            </w:r>
          </w:p>
        </w:tc>
        <w:tc>
          <w:tcPr>
            <w:tcW w:w="2500" w:type="dxa"/>
            <w:vAlign w:val="bottom"/>
            <w:vMerge w:val="restart"/>
            <w:shd w:val="clear" w:color="auto" w:fill="D9EEFF"/>
          </w:tcPr>
          <w:p>
            <w:pPr>
              <w:ind w:left="1880"/>
              <w:spacing w:after="0"/>
              <w:rPr>
                <w:sz w:val="20"/>
                <w:szCs w:val="20"/>
                <w:color w:val="auto"/>
              </w:rPr>
            </w:pPr>
            <w:r>
              <w:rPr>
                <w:rFonts w:ascii="Calibri" w:cs="Calibri" w:eastAsia="Calibri" w:hAnsi="Calibri"/>
                <w:sz w:val="20"/>
                <w:szCs w:val="20"/>
                <w:color w:val="auto"/>
              </w:rPr>
              <w:t>N/A</w:t>
            </w:r>
          </w:p>
        </w:tc>
        <w:tc>
          <w:tcPr>
            <w:tcW w:w="1180" w:type="dxa"/>
            <w:vAlign w:val="bottom"/>
            <w:shd w:val="clear" w:color="auto" w:fill="D9EEFF"/>
          </w:tcPr>
          <w:p>
            <w:pPr>
              <w:spacing w:after="0"/>
              <w:rPr>
                <w:sz w:val="24"/>
                <w:szCs w:val="24"/>
                <w:color w:val="auto"/>
              </w:rPr>
            </w:pPr>
          </w:p>
        </w:tc>
        <w:tc>
          <w:tcPr>
            <w:tcW w:w="440" w:type="dxa"/>
            <w:vAlign w:val="bottom"/>
            <w:tcBorders>
              <w:right w:val="single" w:sz="8" w:color="005CA9"/>
            </w:tcBorders>
            <w:shd w:val="clear" w:color="auto" w:fill="D9EEF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005CA9"/>
              <w:right w:val="single" w:sz="8" w:color="005CA9"/>
            </w:tcBorders>
            <w:vMerge w:val="continue"/>
            <w:shd w:val="clear" w:color="auto" w:fill="D9EEFF"/>
          </w:tcPr>
          <w:p>
            <w:pPr>
              <w:spacing w:after="0"/>
              <w:rPr>
                <w:sz w:val="10"/>
                <w:szCs w:val="10"/>
                <w:color w:val="auto"/>
              </w:rPr>
            </w:pPr>
          </w:p>
        </w:tc>
        <w:tc>
          <w:tcPr>
            <w:tcW w:w="5120" w:type="dxa"/>
            <w:vAlign w:val="bottom"/>
            <w:tcBorders>
              <w:right w:val="single" w:sz="8" w:color="005CA9"/>
            </w:tcBorders>
            <w:vMerge w:val="restart"/>
            <w:shd w:val="clear" w:color="auto" w:fill="D9EEFF"/>
          </w:tcPr>
          <w:p>
            <w:pPr>
              <w:ind w:left="100"/>
              <w:spacing w:after="0" w:line="243" w:lineRule="exact"/>
              <w:rPr>
                <w:sz w:val="20"/>
                <w:szCs w:val="20"/>
                <w:color w:val="auto"/>
              </w:rPr>
            </w:pPr>
            <w:r>
              <w:rPr>
                <w:rFonts w:ascii="Calibri" w:cs="Calibri" w:eastAsia="Calibri" w:hAnsi="Calibri"/>
                <w:sz w:val="20"/>
                <w:szCs w:val="20"/>
                <w:color w:val="auto"/>
              </w:rPr>
              <w:t>year period (</w:t>
            </w:r>
            <w:r>
              <w:rPr>
                <w:rFonts w:ascii="Calibri" w:cs="Calibri" w:eastAsia="Calibri" w:hAnsi="Calibri"/>
                <w:sz w:val="20"/>
                <w:szCs w:val="20"/>
                <w:i w:val="1"/>
                <w:iCs w:val="1"/>
                <w:color w:val="auto"/>
              </w:rPr>
              <w:t>i.e.</w:t>
            </w:r>
            <w:r>
              <w:rPr>
                <w:rFonts w:ascii="Calibri" w:cs="Calibri" w:eastAsia="Calibri" w:hAnsi="Calibri"/>
                <w:sz w:val="20"/>
                <w:szCs w:val="20"/>
                <w:color w:val="auto"/>
              </w:rPr>
              <w:t>, 25% on each anniversary of the award).</w:t>
            </w:r>
          </w:p>
        </w:tc>
        <w:tc>
          <w:tcPr>
            <w:tcW w:w="2500" w:type="dxa"/>
            <w:vAlign w:val="bottom"/>
            <w:vMerge w:val="continue"/>
            <w:shd w:val="clear" w:color="auto" w:fill="D9EEFF"/>
          </w:tcPr>
          <w:p>
            <w:pPr>
              <w:spacing w:after="0"/>
              <w:rPr>
                <w:sz w:val="10"/>
                <w:szCs w:val="10"/>
                <w:color w:val="auto"/>
              </w:rPr>
            </w:pPr>
          </w:p>
        </w:tc>
        <w:tc>
          <w:tcPr>
            <w:tcW w:w="1180" w:type="dxa"/>
            <w:vAlign w:val="bottom"/>
            <w:shd w:val="clear" w:color="auto" w:fill="D9EEFF"/>
          </w:tcPr>
          <w:p>
            <w:pPr>
              <w:spacing w:after="0"/>
              <w:rPr>
                <w:sz w:val="10"/>
                <w:szCs w:val="10"/>
                <w:color w:val="auto"/>
              </w:rPr>
            </w:pPr>
          </w:p>
        </w:tc>
        <w:tc>
          <w:tcPr>
            <w:tcW w:w="440" w:type="dxa"/>
            <w:vAlign w:val="bottom"/>
            <w:tcBorders>
              <w:right w:val="single" w:sz="8" w:color="005CA9"/>
            </w:tcBorders>
            <w:shd w:val="clear" w:color="auto" w:fill="D9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0" w:type="dxa"/>
            <w:vAlign w:val="bottom"/>
            <w:tcBorders>
              <w:left w:val="single" w:sz="8" w:color="005CA9"/>
              <w:right w:val="single" w:sz="8" w:color="005CA9"/>
            </w:tcBorders>
            <w:shd w:val="clear" w:color="auto" w:fill="D9EEFF"/>
          </w:tcPr>
          <w:p>
            <w:pPr>
              <w:spacing w:after="0"/>
              <w:rPr>
                <w:sz w:val="10"/>
                <w:szCs w:val="10"/>
                <w:color w:val="auto"/>
              </w:rPr>
            </w:pPr>
          </w:p>
        </w:tc>
        <w:tc>
          <w:tcPr>
            <w:tcW w:w="5120" w:type="dxa"/>
            <w:vAlign w:val="bottom"/>
            <w:tcBorders>
              <w:right w:val="single" w:sz="8" w:color="005CA9"/>
            </w:tcBorders>
            <w:vMerge w:val="continue"/>
            <w:shd w:val="clear" w:color="auto" w:fill="D9EEFF"/>
          </w:tcPr>
          <w:p>
            <w:pPr>
              <w:spacing w:after="0"/>
              <w:rPr>
                <w:sz w:val="10"/>
                <w:szCs w:val="10"/>
                <w:color w:val="auto"/>
              </w:rPr>
            </w:pPr>
          </w:p>
        </w:tc>
        <w:tc>
          <w:tcPr>
            <w:tcW w:w="2500" w:type="dxa"/>
            <w:vAlign w:val="bottom"/>
            <w:shd w:val="clear" w:color="auto" w:fill="D9EEFF"/>
          </w:tcPr>
          <w:p>
            <w:pPr>
              <w:spacing w:after="0"/>
              <w:rPr>
                <w:sz w:val="10"/>
                <w:szCs w:val="10"/>
                <w:color w:val="auto"/>
              </w:rPr>
            </w:pPr>
          </w:p>
        </w:tc>
        <w:tc>
          <w:tcPr>
            <w:tcW w:w="1180" w:type="dxa"/>
            <w:vAlign w:val="bottom"/>
            <w:shd w:val="clear" w:color="auto" w:fill="D9EEFF"/>
          </w:tcPr>
          <w:p>
            <w:pPr>
              <w:spacing w:after="0"/>
              <w:rPr>
                <w:sz w:val="10"/>
                <w:szCs w:val="10"/>
                <w:color w:val="auto"/>
              </w:rPr>
            </w:pPr>
          </w:p>
        </w:tc>
        <w:tc>
          <w:tcPr>
            <w:tcW w:w="440" w:type="dxa"/>
            <w:vAlign w:val="bottom"/>
            <w:tcBorders>
              <w:right w:val="single" w:sz="8" w:color="005CA9"/>
            </w:tcBorders>
            <w:shd w:val="clear" w:color="auto" w:fill="D9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Borders>
              <w:left w:val="single" w:sz="8" w:color="005CA9"/>
              <w:bottom w:val="single" w:sz="8" w:color="005CA9"/>
              <w:right w:val="single" w:sz="8" w:color="005CA9"/>
            </w:tcBorders>
            <w:shd w:val="clear" w:color="auto" w:fill="D9EEFF"/>
          </w:tcPr>
          <w:p>
            <w:pPr>
              <w:spacing w:after="0"/>
              <w:rPr>
                <w:sz w:val="12"/>
                <w:szCs w:val="12"/>
                <w:color w:val="auto"/>
              </w:rPr>
            </w:pPr>
          </w:p>
        </w:tc>
        <w:tc>
          <w:tcPr>
            <w:tcW w:w="5120" w:type="dxa"/>
            <w:vAlign w:val="bottom"/>
            <w:tcBorders>
              <w:bottom w:val="single" w:sz="8" w:color="005CA9"/>
              <w:right w:val="single" w:sz="8" w:color="005CA9"/>
            </w:tcBorders>
            <w:shd w:val="clear" w:color="auto" w:fill="D9EEFF"/>
          </w:tcPr>
          <w:p>
            <w:pPr>
              <w:spacing w:after="0"/>
              <w:rPr>
                <w:sz w:val="12"/>
                <w:szCs w:val="12"/>
                <w:color w:val="auto"/>
              </w:rPr>
            </w:pPr>
          </w:p>
        </w:tc>
        <w:tc>
          <w:tcPr>
            <w:tcW w:w="2500" w:type="dxa"/>
            <w:vAlign w:val="bottom"/>
            <w:tcBorders>
              <w:bottom w:val="single" w:sz="8" w:color="005CA9"/>
            </w:tcBorders>
            <w:shd w:val="clear" w:color="auto" w:fill="D9EEFF"/>
          </w:tcPr>
          <w:p>
            <w:pPr>
              <w:spacing w:after="0"/>
              <w:rPr>
                <w:sz w:val="12"/>
                <w:szCs w:val="12"/>
                <w:color w:val="auto"/>
              </w:rPr>
            </w:pPr>
          </w:p>
        </w:tc>
        <w:tc>
          <w:tcPr>
            <w:tcW w:w="1180" w:type="dxa"/>
            <w:vAlign w:val="bottom"/>
            <w:tcBorders>
              <w:bottom w:val="single" w:sz="8" w:color="005CA9"/>
            </w:tcBorders>
            <w:shd w:val="clear" w:color="auto" w:fill="D9EEFF"/>
          </w:tcPr>
          <w:p>
            <w:pPr>
              <w:spacing w:after="0"/>
              <w:rPr>
                <w:sz w:val="12"/>
                <w:szCs w:val="12"/>
                <w:color w:val="auto"/>
              </w:rPr>
            </w:pPr>
          </w:p>
        </w:tc>
        <w:tc>
          <w:tcPr>
            <w:tcW w:w="440" w:type="dxa"/>
            <w:vAlign w:val="bottom"/>
            <w:tcBorders>
              <w:bottom w:val="single" w:sz="8" w:color="005CA9"/>
              <w:right w:val="single" w:sz="8" w:color="005CA9"/>
            </w:tcBorders>
            <w:shd w:val="clear" w:color="auto" w:fill="D9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316865</wp:posOffset>
            </wp:positionV>
            <wp:extent cx="6172200" cy="18859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722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40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3" w:name="page44"/>
    <w:bookmarkEnd w:id="43"/>
    <w:p>
      <w:pPr>
        <w:jc w:val="both"/>
        <w:spacing w:after="0" w:line="234" w:lineRule="auto"/>
        <w:rPr>
          <w:sz w:val="20"/>
          <w:szCs w:val="20"/>
          <w:color w:val="auto"/>
        </w:rPr>
      </w:pPr>
      <w:r>
        <w:rPr>
          <w:rFonts w:ascii="Calibri" w:cs="Calibri" w:eastAsia="Calibri" w:hAnsi="Calibri"/>
          <w:sz w:val="20"/>
          <w:szCs w:val="20"/>
          <w:color w:val="auto"/>
        </w:rPr>
        <w:t>The actual amount of performance-based awards that are earned and vest will be driven by the achievement of the performance metrics at the end of the three-year performance period relatve to our three-year absolute performance goals:</w:t>
      </w:r>
    </w:p>
    <w:p>
      <w:pPr>
        <w:spacing w:after="0" w:line="257"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FFFFFF"/>
        </w:rPr>
        <w:t>Annual Incentves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-140970</wp:posOffset>
            </wp:positionV>
            <wp:extent cx="4989195" cy="3340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89195" cy="334010"/>
                    </a:xfrm>
                    <a:prstGeom prst="rect">
                      <a:avLst/>
                    </a:prstGeom>
                    <a:noFill/>
                  </pic:spPr>
                </pic:pic>
              </a:graphicData>
            </a:graphic>
          </wp:anchor>
        </w:drawing>
      </w:r>
    </w:p>
    <w:p>
      <w:pPr>
        <w:jc w:val="center"/>
        <w:ind w:right="-19"/>
        <w:spacing w:after="0" w:line="238" w:lineRule="auto"/>
        <w:rPr>
          <w:sz w:val="20"/>
          <w:szCs w:val="20"/>
          <w:color w:val="auto"/>
        </w:rPr>
      </w:pPr>
      <w:r>
        <w:rPr>
          <w:rFonts w:ascii="Calibri" w:cs="Calibri" w:eastAsia="Calibri" w:hAnsi="Calibri"/>
          <w:sz w:val="20"/>
          <w:szCs w:val="20"/>
          <w:b w:val="1"/>
          <w:bCs w:val="1"/>
          <w:color w:val="FFFFFF"/>
        </w:rPr>
        <w:t>Financial and Strategic Performance &amp; Payout Ranges</w:t>
      </w:r>
    </w:p>
    <w:p>
      <w:pPr>
        <w:spacing w:after="0" w:line="60" w:lineRule="exact"/>
        <w:rPr>
          <w:sz w:val="20"/>
          <w:szCs w:val="20"/>
          <w:color w:val="auto"/>
        </w:rPr>
      </w:pPr>
    </w:p>
    <w:tbl>
      <w:tblPr>
        <w:tblLayout w:type="fixed"/>
        <w:tblInd w:w="1710" w:type="dxa"/>
        <w:tblCellMar>
          <w:top w:w="0" w:type="dxa"/>
          <w:left w:w="0" w:type="dxa"/>
          <w:bottom w:w="0" w:type="dxa"/>
          <w:right w:w="0" w:type="dxa"/>
        </w:tblCellMar>
      </w:tblPr>
      <w:tr>
        <w:trPr>
          <w:trHeight w:val="251"/>
        </w:trPr>
        <w:tc>
          <w:tcPr>
            <w:tcW w:w="5120" w:type="dxa"/>
            <w:vAlign w:val="bottom"/>
            <w:tcBorders>
              <w:left w:val="single" w:sz="8" w:color="005CA9"/>
              <w:bottom w:val="single" w:sz="8" w:color="005CA9"/>
              <w:right w:val="single" w:sz="8" w:color="005CA9"/>
            </w:tcBorders>
            <w:shd w:val="clear" w:color="auto" w:fill="D9EEFF"/>
          </w:tcPr>
          <w:p>
            <w:pPr>
              <w:ind w:left="120"/>
              <w:spacing w:after="0"/>
              <w:rPr>
                <w:sz w:val="20"/>
                <w:szCs w:val="20"/>
                <w:color w:val="auto"/>
              </w:rPr>
            </w:pPr>
            <w:r>
              <w:rPr>
                <w:rFonts w:ascii="Calibri" w:cs="Calibri" w:eastAsia="Calibri" w:hAnsi="Calibri"/>
                <w:sz w:val="20"/>
                <w:szCs w:val="20"/>
                <w:b w:val="1"/>
                <w:bCs w:val="1"/>
                <w:color w:val="auto"/>
              </w:rPr>
              <w:t>Performance Level</w:t>
            </w:r>
          </w:p>
        </w:tc>
        <w:tc>
          <w:tcPr>
            <w:tcW w:w="2740" w:type="dxa"/>
            <w:vAlign w:val="bottom"/>
            <w:tcBorders>
              <w:bottom w:val="single" w:sz="8" w:color="005CA9"/>
              <w:right w:val="single" w:sz="8" w:color="005CA9"/>
            </w:tcBorders>
            <w:shd w:val="clear" w:color="auto" w:fill="D9EEFF"/>
          </w:tcPr>
          <w:p>
            <w:pPr>
              <w:ind w:left="100"/>
              <w:spacing w:after="0"/>
              <w:rPr>
                <w:sz w:val="20"/>
                <w:szCs w:val="20"/>
                <w:color w:val="auto"/>
              </w:rPr>
            </w:pPr>
            <w:r>
              <w:rPr>
                <w:rFonts w:ascii="Calibri" w:cs="Calibri" w:eastAsia="Calibri" w:hAnsi="Calibri"/>
                <w:sz w:val="20"/>
                <w:szCs w:val="20"/>
                <w:b w:val="1"/>
                <w:bCs w:val="1"/>
                <w:color w:val="auto"/>
              </w:rPr>
              <w:t>Range of Payout*</w:t>
            </w:r>
          </w:p>
        </w:tc>
      </w:tr>
      <w:tr>
        <w:trPr>
          <w:trHeight w:val="250"/>
        </w:trPr>
        <w:tc>
          <w:tcPr>
            <w:tcW w:w="5120" w:type="dxa"/>
            <w:vAlign w:val="bottom"/>
            <w:tcBorders>
              <w:left w:val="single" w:sz="8" w:color="005CA9"/>
              <w:bottom w:val="single" w:sz="8" w:color="005CA9"/>
              <w:right w:val="single" w:sz="8" w:color="005CA9"/>
            </w:tcBorders>
          </w:tcPr>
          <w:p>
            <w:pPr>
              <w:ind w:left="120"/>
              <w:spacing w:after="0" w:line="234" w:lineRule="exact"/>
              <w:rPr>
                <w:sz w:val="20"/>
                <w:szCs w:val="20"/>
                <w:color w:val="auto"/>
              </w:rPr>
            </w:pPr>
            <w:r>
              <w:rPr>
                <w:rFonts w:ascii="Calibri" w:cs="Calibri" w:eastAsia="Calibri" w:hAnsi="Calibri"/>
                <w:sz w:val="20"/>
                <w:szCs w:val="20"/>
                <w:color w:val="auto"/>
              </w:rPr>
              <w:t>Below 80% of Target</w:t>
            </w:r>
          </w:p>
        </w:tc>
        <w:tc>
          <w:tcPr>
            <w:tcW w:w="2740" w:type="dxa"/>
            <w:vAlign w:val="bottom"/>
            <w:tcBorders>
              <w:bottom w:val="single" w:sz="8" w:color="005CA9"/>
              <w:right w:val="single" w:sz="8" w:color="005CA9"/>
            </w:tcBorders>
          </w:tcPr>
          <w:p>
            <w:pPr>
              <w:ind w:left="100"/>
              <w:spacing w:after="0" w:line="234" w:lineRule="exact"/>
              <w:rPr>
                <w:sz w:val="20"/>
                <w:szCs w:val="20"/>
                <w:color w:val="auto"/>
              </w:rPr>
            </w:pPr>
            <w:r>
              <w:rPr>
                <w:rFonts w:ascii="Calibri" w:cs="Calibri" w:eastAsia="Calibri" w:hAnsi="Calibri"/>
                <w:sz w:val="20"/>
                <w:szCs w:val="20"/>
                <w:color w:val="auto"/>
              </w:rPr>
              <w:t>0% payout</w:t>
            </w:r>
          </w:p>
        </w:tc>
      </w:tr>
      <w:tr>
        <w:trPr>
          <w:trHeight w:val="250"/>
        </w:trPr>
        <w:tc>
          <w:tcPr>
            <w:tcW w:w="5120" w:type="dxa"/>
            <w:vAlign w:val="bottom"/>
            <w:tcBorders>
              <w:left w:val="single" w:sz="8" w:color="005CA9"/>
              <w:bottom w:val="single" w:sz="8" w:color="005CA9"/>
              <w:right w:val="single" w:sz="8" w:color="005CA9"/>
            </w:tcBorders>
            <w:shd w:val="clear" w:color="auto" w:fill="D9EEFF"/>
          </w:tcPr>
          <w:p>
            <w:pPr>
              <w:ind w:left="120"/>
              <w:spacing w:after="0" w:line="234" w:lineRule="exact"/>
              <w:rPr>
                <w:sz w:val="20"/>
                <w:szCs w:val="20"/>
                <w:color w:val="auto"/>
              </w:rPr>
            </w:pPr>
            <w:r>
              <w:rPr>
                <w:rFonts w:ascii="Calibri" w:cs="Calibri" w:eastAsia="Calibri" w:hAnsi="Calibri"/>
                <w:sz w:val="20"/>
                <w:szCs w:val="20"/>
                <w:color w:val="auto"/>
              </w:rPr>
              <w:t>From 80% to 100% of Target</w:t>
            </w:r>
          </w:p>
        </w:tc>
        <w:tc>
          <w:tcPr>
            <w:tcW w:w="2740" w:type="dxa"/>
            <w:vAlign w:val="bottom"/>
            <w:tcBorders>
              <w:bottom w:val="single" w:sz="8" w:color="005CA9"/>
              <w:right w:val="single" w:sz="8" w:color="005CA9"/>
            </w:tcBorders>
            <w:shd w:val="clear" w:color="auto" w:fill="D9EEFF"/>
          </w:tcPr>
          <w:p>
            <w:pPr>
              <w:ind w:left="100"/>
              <w:spacing w:after="0" w:line="234" w:lineRule="exact"/>
              <w:rPr>
                <w:sz w:val="20"/>
                <w:szCs w:val="20"/>
                <w:color w:val="auto"/>
              </w:rPr>
            </w:pPr>
            <w:r>
              <w:rPr>
                <w:rFonts w:ascii="Calibri" w:cs="Calibri" w:eastAsia="Calibri" w:hAnsi="Calibri"/>
                <w:sz w:val="20"/>
                <w:szCs w:val="20"/>
                <w:color w:val="auto"/>
              </w:rPr>
              <w:t>50% to 100% payout</w:t>
            </w:r>
          </w:p>
        </w:tc>
      </w:tr>
      <w:tr>
        <w:trPr>
          <w:trHeight w:val="250"/>
        </w:trPr>
        <w:tc>
          <w:tcPr>
            <w:tcW w:w="5120" w:type="dxa"/>
            <w:vAlign w:val="bottom"/>
            <w:tcBorders>
              <w:left w:val="single" w:sz="8" w:color="005CA9"/>
              <w:bottom w:val="single" w:sz="8" w:color="005CA9"/>
              <w:right w:val="single" w:sz="8" w:color="005CA9"/>
            </w:tcBorders>
          </w:tcPr>
          <w:p>
            <w:pPr>
              <w:ind w:left="120"/>
              <w:spacing w:after="0" w:line="234" w:lineRule="exact"/>
              <w:rPr>
                <w:sz w:val="20"/>
                <w:szCs w:val="20"/>
                <w:color w:val="auto"/>
              </w:rPr>
            </w:pPr>
            <w:r>
              <w:rPr>
                <w:rFonts w:ascii="Calibri" w:cs="Calibri" w:eastAsia="Calibri" w:hAnsi="Calibri"/>
                <w:sz w:val="20"/>
                <w:szCs w:val="20"/>
                <w:color w:val="auto"/>
              </w:rPr>
              <w:t>From 100% to 120% of Target</w:t>
            </w:r>
          </w:p>
        </w:tc>
        <w:tc>
          <w:tcPr>
            <w:tcW w:w="2740" w:type="dxa"/>
            <w:vAlign w:val="bottom"/>
            <w:tcBorders>
              <w:bottom w:val="single" w:sz="8" w:color="005CA9"/>
              <w:right w:val="single" w:sz="8" w:color="005CA9"/>
            </w:tcBorders>
          </w:tcPr>
          <w:p>
            <w:pPr>
              <w:ind w:left="100"/>
              <w:spacing w:after="0" w:line="234" w:lineRule="exact"/>
              <w:rPr>
                <w:sz w:val="20"/>
                <w:szCs w:val="20"/>
                <w:color w:val="auto"/>
              </w:rPr>
            </w:pPr>
            <w:r>
              <w:rPr>
                <w:rFonts w:ascii="Calibri" w:cs="Calibri" w:eastAsia="Calibri" w:hAnsi="Calibri"/>
                <w:sz w:val="20"/>
                <w:szCs w:val="20"/>
                <w:color w:val="auto"/>
              </w:rPr>
              <w:t>100% to 200% payout</w:t>
            </w:r>
          </w:p>
        </w:tc>
      </w:tr>
      <w:tr>
        <w:trPr>
          <w:trHeight w:val="250"/>
        </w:trPr>
        <w:tc>
          <w:tcPr>
            <w:tcW w:w="5120" w:type="dxa"/>
            <w:vAlign w:val="bottom"/>
            <w:tcBorders>
              <w:left w:val="single" w:sz="8" w:color="005CA9"/>
              <w:bottom w:val="single" w:sz="8" w:color="005CA9"/>
              <w:right w:val="single" w:sz="8" w:color="005CA9"/>
            </w:tcBorders>
            <w:shd w:val="clear" w:color="auto" w:fill="D9EEFF"/>
          </w:tcPr>
          <w:p>
            <w:pPr>
              <w:ind w:left="120"/>
              <w:spacing w:after="0" w:line="234" w:lineRule="exact"/>
              <w:rPr>
                <w:sz w:val="20"/>
                <w:szCs w:val="20"/>
                <w:color w:val="auto"/>
              </w:rPr>
            </w:pPr>
            <w:r>
              <w:rPr>
                <w:rFonts w:ascii="Calibri" w:cs="Calibri" w:eastAsia="Calibri" w:hAnsi="Calibri"/>
                <w:sz w:val="20"/>
                <w:szCs w:val="20"/>
                <w:color w:val="auto"/>
              </w:rPr>
              <w:t>Above 120% of Target</w:t>
            </w:r>
          </w:p>
        </w:tc>
        <w:tc>
          <w:tcPr>
            <w:tcW w:w="2740" w:type="dxa"/>
            <w:vAlign w:val="bottom"/>
            <w:tcBorders>
              <w:bottom w:val="single" w:sz="8" w:color="005CA9"/>
              <w:right w:val="single" w:sz="8" w:color="005CA9"/>
            </w:tcBorders>
            <w:shd w:val="clear" w:color="auto" w:fill="D9EEFF"/>
          </w:tcPr>
          <w:p>
            <w:pPr>
              <w:ind w:left="100"/>
              <w:spacing w:after="0" w:line="234" w:lineRule="exact"/>
              <w:rPr>
                <w:sz w:val="20"/>
                <w:szCs w:val="20"/>
                <w:color w:val="auto"/>
              </w:rPr>
            </w:pPr>
            <w:r>
              <w:rPr>
                <w:rFonts w:ascii="Calibri" w:cs="Calibri" w:eastAsia="Calibri" w:hAnsi="Calibri"/>
                <w:sz w:val="20"/>
                <w:szCs w:val="20"/>
                <w:color w:val="auto"/>
              </w:rPr>
              <w:t>200% payout (capped)</w:t>
            </w:r>
          </w:p>
        </w:tc>
      </w:tr>
    </w:tbl>
    <w:p>
      <w:pPr>
        <w:ind w:left="3240"/>
        <w:spacing w:after="0" w:line="215" w:lineRule="auto"/>
        <w:rPr>
          <w:sz w:val="20"/>
          <w:szCs w:val="20"/>
          <w:color w:val="auto"/>
        </w:rPr>
      </w:pPr>
      <w:r>
        <w:rPr>
          <w:rFonts w:ascii="Calibri" w:cs="Calibri" w:eastAsia="Calibri" w:hAnsi="Calibri"/>
          <w:sz w:val="16"/>
          <w:szCs w:val="16"/>
          <w:color w:val="auto"/>
        </w:rPr>
        <w:t>*Performance between 80% and 100% of target and between 100% and</w:t>
      </w:r>
    </w:p>
    <w:p>
      <w:pPr>
        <w:spacing w:after="0" w:line="7" w:lineRule="exact"/>
        <w:rPr>
          <w:sz w:val="20"/>
          <w:szCs w:val="20"/>
          <w:color w:val="auto"/>
        </w:rPr>
      </w:pPr>
    </w:p>
    <w:p>
      <w:pPr>
        <w:ind w:left="3260"/>
        <w:spacing w:after="0"/>
        <w:rPr>
          <w:sz w:val="20"/>
          <w:szCs w:val="20"/>
          <w:color w:val="auto"/>
        </w:rPr>
      </w:pPr>
      <w:r>
        <w:rPr>
          <w:rFonts w:ascii="Calibri" w:cs="Calibri" w:eastAsia="Calibri" w:hAnsi="Calibri"/>
          <w:sz w:val="16"/>
          <w:szCs w:val="16"/>
          <w:color w:val="auto"/>
        </w:rPr>
        <w:t>120% of Target is interpolated between the end points identfed above.</w:t>
      </w:r>
    </w:p>
    <w:p>
      <w:pPr>
        <w:spacing w:after="0" w:line="20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table sets forth the number of shares subject to RSUs and PSUs granted to each NEO in 2022, 2023, and 2024, the grant date fair value of such awards, and the percentage change in such shares and such value from the prior year. Ms. Yang was not an NEO in 2022 and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Borders>
              <w:bottom w:val="single" w:sz="8" w:color="005CA9"/>
            </w:tcBorders>
          </w:tcPr>
          <w:p>
            <w:pPr>
              <w:spacing w:after="0"/>
              <w:rPr>
                <w:sz w:val="16"/>
                <w:szCs w:val="16"/>
                <w:color w:val="auto"/>
              </w:rPr>
            </w:pPr>
          </w:p>
        </w:tc>
        <w:tc>
          <w:tcPr>
            <w:tcW w:w="980" w:type="dxa"/>
            <w:vAlign w:val="bottom"/>
            <w:tcBorders>
              <w:bottom w:val="single" w:sz="8" w:color="005CA9"/>
            </w:tcBorders>
          </w:tcPr>
          <w:p>
            <w:pPr>
              <w:jc w:val="right"/>
              <w:ind w:right="408"/>
              <w:spacing w:after="0"/>
              <w:rPr>
                <w:sz w:val="20"/>
                <w:szCs w:val="20"/>
                <w:color w:val="auto"/>
              </w:rPr>
            </w:pPr>
            <w:r>
              <w:rPr>
                <w:rFonts w:ascii="Calibri" w:cs="Calibri" w:eastAsia="Calibri" w:hAnsi="Calibri"/>
                <w:sz w:val="14"/>
                <w:szCs w:val="14"/>
                <w:b w:val="1"/>
                <w:bCs w:val="1"/>
                <w:color w:val="auto"/>
              </w:rPr>
              <w:t>2022</w:t>
            </w:r>
          </w:p>
        </w:tc>
        <w:tc>
          <w:tcPr>
            <w:tcW w:w="840" w:type="dxa"/>
            <w:vAlign w:val="bottom"/>
            <w:tcBorders>
              <w:bottom w:val="single" w:sz="8" w:color="005CA9"/>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005CA9"/>
            </w:tcBorders>
          </w:tcPr>
          <w:p>
            <w:pPr>
              <w:spacing w:after="0"/>
              <w:rPr>
                <w:sz w:val="16"/>
                <w:szCs w:val="16"/>
                <w:color w:val="auto"/>
              </w:rPr>
            </w:pPr>
          </w:p>
        </w:tc>
        <w:tc>
          <w:tcPr>
            <w:tcW w:w="1060" w:type="dxa"/>
            <w:vAlign w:val="bottom"/>
            <w:tcBorders>
              <w:bottom w:val="single" w:sz="8" w:color="005CA9"/>
            </w:tcBorders>
          </w:tcPr>
          <w:p>
            <w:pPr>
              <w:jc w:val="right"/>
              <w:ind w:right="468"/>
              <w:spacing w:after="0"/>
              <w:rPr>
                <w:sz w:val="20"/>
                <w:szCs w:val="20"/>
                <w:color w:val="auto"/>
              </w:rPr>
            </w:pPr>
            <w:r>
              <w:rPr>
                <w:rFonts w:ascii="Calibri" w:cs="Calibri" w:eastAsia="Calibri" w:hAnsi="Calibri"/>
                <w:sz w:val="14"/>
                <w:szCs w:val="14"/>
                <w:b w:val="1"/>
                <w:bCs w:val="1"/>
                <w:color w:val="auto"/>
              </w:rPr>
              <w:t>2023</w:t>
            </w:r>
          </w:p>
        </w:tc>
        <w:tc>
          <w:tcPr>
            <w:tcW w:w="1000" w:type="dxa"/>
            <w:vAlign w:val="bottom"/>
            <w:tcBorders>
              <w:bottom w:val="single" w:sz="8" w:color="005CA9"/>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005CA9"/>
            </w:tcBorders>
          </w:tcPr>
          <w:p>
            <w:pPr>
              <w:spacing w:after="0"/>
              <w:rPr>
                <w:sz w:val="16"/>
                <w:szCs w:val="16"/>
                <w:color w:val="auto"/>
              </w:rPr>
            </w:pPr>
          </w:p>
        </w:tc>
        <w:tc>
          <w:tcPr>
            <w:tcW w:w="920" w:type="dxa"/>
            <w:vAlign w:val="bottom"/>
            <w:tcBorders>
              <w:bottom w:val="single" w:sz="8" w:color="005CA9"/>
            </w:tcBorders>
          </w:tcPr>
          <w:p>
            <w:pPr>
              <w:jc w:val="right"/>
              <w:ind w:right="348"/>
              <w:spacing w:after="0"/>
              <w:rPr>
                <w:sz w:val="20"/>
                <w:szCs w:val="20"/>
                <w:color w:val="auto"/>
              </w:rPr>
            </w:pPr>
            <w:r>
              <w:rPr>
                <w:rFonts w:ascii="Calibri" w:cs="Calibri" w:eastAsia="Calibri" w:hAnsi="Calibri"/>
                <w:sz w:val="14"/>
                <w:szCs w:val="14"/>
                <w:b w:val="1"/>
                <w:bCs w:val="1"/>
                <w:color w:val="auto"/>
              </w:rPr>
              <w:t>2024</w:t>
            </w:r>
          </w:p>
        </w:tc>
        <w:tc>
          <w:tcPr>
            <w:tcW w:w="900" w:type="dxa"/>
            <w:vAlign w:val="bottom"/>
            <w:tcBorders>
              <w:bottom w:val="single" w:sz="8" w:color="005CA9"/>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Name</w:t>
            </w:r>
          </w:p>
        </w:tc>
        <w:tc>
          <w:tcPr>
            <w:tcW w:w="720" w:type="dxa"/>
            <w:vAlign w:val="bottom"/>
          </w:tcPr>
          <w:p>
            <w:pPr>
              <w:jc w:val="center"/>
              <w:ind w:right="28"/>
              <w:spacing w:after="0" w:line="156" w:lineRule="exact"/>
              <w:rPr>
                <w:sz w:val="20"/>
                <w:szCs w:val="20"/>
                <w:color w:val="auto"/>
              </w:rPr>
            </w:pPr>
            <w:r>
              <w:rPr>
                <w:rFonts w:ascii="Calibri" w:cs="Calibri" w:eastAsia="Calibri" w:hAnsi="Calibri"/>
                <w:sz w:val="14"/>
                <w:szCs w:val="14"/>
                <w:b w:val="1"/>
                <w:bCs w:val="1"/>
                <w:color w:val="auto"/>
              </w:rPr>
              <w:t>Shares/</w:t>
            </w:r>
          </w:p>
        </w:tc>
        <w:tc>
          <w:tcPr>
            <w:tcW w:w="100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 xml:space="preserve">RSUs </w:t>
            </w:r>
            <w:r>
              <w:rPr>
                <w:rFonts w:ascii="Calibri" w:cs="Calibri" w:eastAsia="Calibri" w:hAnsi="Calibri"/>
                <w:sz w:val="19"/>
                <w:szCs w:val="19"/>
                <w:b w:val="1"/>
                <w:bCs w:val="1"/>
                <w:color w:val="auto"/>
                <w:vertAlign w:val="superscript"/>
              </w:rPr>
              <w:t>(2)</w:t>
            </w:r>
          </w:p>
        </w:tc>
        <w:tc>
          <w:tcPr>
            <w:tcW w:w="98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PSUs</w:t>
            </w:r>
          </w:p>
        </w:tc>
        <w:tc>
          <w:tcPr>
            <w:tcW w:w="840" w:type="dxa"/>
            <w:vAlign w:val="bottom"/>
          </w:tcPr>
          <w:p>
            <w:pPr>
              <w:jc w:val="right"/>
              <w:ind w:right="70"/>
              <w:spacing w:after="0"/>
              <w:rPr>
                <w:sz w:val="20"/>
                <w:szCs w:val="20"/>
                <w:color w:val="auto"/>
              </w:rPr>
            </w:pPr>
            <w:r>
              <w:rPr>
                <w:rFonts w:ascii="Calibri" w:cs="Calibri" w:eastAsia="Calibri" w:hAnsi="Calibri"/>
                <w:sz w:val="14"/>
                <w:szCs w:val="14"/>
                <w:b w:val="1"/>
                <w:bCs w:val="1"/>
                <w:color w:val="auto"/>
              </w:rPr>
              <w:t>Change %</w:t>
            </w:r>
          </w:p>
        </w:tc>
        <w:tc>
          <w:tcPr>
            <w:tcW w:w="120" w:type="dxa"/>
            <w:vAlign w:val="bottom"/>
          </w:tcPr>
          <w:p>
            <w:pPr>
              <w:spacing w:after="0"/>
              <w:rPr>
                <w:sz w:val="15"/>
                <w:szCs w:val="15"/>
                <w:color w:val="auto"/>
              </w:rPr>
            </w:pPr>
          </w:p>
        </w:tc>
        <w:tc>
          <w:tcPr>
            <w:tcW w:w="1160" w:type="dxa"/>
            <w:vAlign w:val="bottom"/>
            <w:vMerge w:val="restart"/>
          </w:tcPr>
          <w:p>
            <w:pPr>
              <w:jc w:val="right"/>
              <w:ind w:right="388"/>
              <w:spacing w:after="0"/>
              <w:rPr>
                <w:sz w:val="20"/>
                <w:szCs w:val="20"/>
                <w:color w:val="auto"/>
              </w:rPr>
            </w:pPr>
            <w:r>
              <w:rPr>
                <w:rFonts w:ascii="Calibri" w:cs="Calibri" w:eastAsia="Calibri" w:hAnsi="Calibri"/>
                <w:sz w:val="14"/>
                <w:szCs w:val="14"/>
                <w:b w:val="1"/>
                <w:bCs w:val="1"/>
                <w:color w:val="auto"/>
              </w:rPr>
              <w:t xml:space="preserve">RSUs </w:t>
            </w:r>
            <w:r>
              <w:rPr>
                <w:rFonts w:ascii="Calibri" w:cs="Calibri" w:eastAsia="Calibri" w:hAnsi="Calibri"/>
                <w:sz w:val="19"/>
                <w:szCs w:val="19"/>
                <w:b w:val="1"/>
                <w:bCs w:val="1"/>
                <w:color w:val="auto"/>
                <w:vertAlign w:val="superscript"/>
              </w:rPr>
              <w:t>(2)</w:t>
            </w:r>
          </w:p>
        </w:tc>
        <w:tc>
          <w:tcPr>
            <w:tcW w:w="1060" w:type="dxa"/>
            <w:vAlign w:val="bottom"/>
            <w:vMerge w:val="restart"/>
          </w:tcPr>
          <w:p>
            <w:pPr>
              <w:jc w:val="right"/>
              <w:ind w:right="368"/>
              <w:spacing w:after="0"/>
              <w:rPr>
                <w:sz w:val="20"/>
                <w:szCs w:val="20"/>
                <w:color w:val="auto"/>
              </w:rPr>
            </w:pPr>
            <w:r>
              <w:rPr>
                <w:rFonts w:ascii="Calibri" w:cs="Calibri" w:eastAsia="Calibri" w:hAnsi="Calibri"/>
                <w:sz w:val="14"/>
                <w:szCs w:val="14"/>
                <w:b w:val="1"/>
                <w:bCs w:val="1"/>
                <w:color w:val="auto"/>
              </w:rPr>
              <w:t>PSUs</w:t>
            </w:r>
          </w:p>
        </w:tc>
        <w:tc>
          <w:tcPr>
            <w:tcW w:w="100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 xml:space="preserve">Change % </w:t>
            </w:r>
            <w:r>
              <w:rPr>
                <w:rFonts w:ascii="Calibri" w:cs="Calibri" w:eastAsia="Calibri" w:hAnsi="Calibri"/>
                <w:sz w:val="19"/>
                <w:szCs w:val="19"/>
                <w:b w:val="1"/>
                <w:bCs w:val="1"/>
                <w:color w:val="auto"/>
                <w:vertAlign w:val="superscript"/>
              </w:rPr>
              <w:t>(1)</w:t>
            </w:r>
          </w:p>
        </w:tc>
        <w:tc>
          <w:tcPr>
            <w:tcW w:w="120" w:type="dxa"/>
            <w:vAlign w:val="bottom"/>
          </w:tcPr>
          <w:p>
            <w:pPr>
              <w:spacing w:after="0"/>
              <w:rPr>
                <w:sz w:val="15"/>
                <w:szCs w:val="15"/>
                <w:color w:val="auto"/>
              </w:rPr>
            </w:pPr>
          </w:p>
        </w:tc>
        <w:tc>
          <w:tcPr>
            <w:tcW w:w="980" w:type="dxa"/>
            <w:vAlign w:val="bottom"/>
            <w:vMerge w:val="restart"/>
          </w:tcPr>
          <w:p>
            <w:pPr>
              <w:jc w:val="right"/>
              <w:ind w:right="368"/>
              <w:spacing w:after="0"/>
              <w:rPr>
                <w:sz w:val="20"/>
                <w:szCs w:val="20"/>
                <w:color w:val="auto"/>
              </w:rPr>
            </w:pPr>
            <w:r>
              <w:rPr>
                <w:rFonts w:ascii="Calibri" w:cs="Calibri" w:eastAsia="Calibri" w:hAnsi="Calibri"/>
                <w:sz w:val="14"/>
                <w:szCs w:val="14"/>
                <w:b w:val="1"/>
                <w:bCs w:val="1"/>
                <w:color w:val="auto"/>
              </w:rPr>
              <w:t>RSUs</w:t>
            </w:r>
          </w:p>
        </w:tc>
        <w:tc>
          <w:tcPr>
            <w:tcW w:w="920" w:type="dxa"/>
            <w:vAlign w:val="bottom"/>
            <w:vMerge w:val="restart"/>
          </w:tcPr>
          <w:p>
            <w:pPr>
              <w:jc w:val="right"/>
              <w:ind w:right="268"/>
              <w:spacing w:after="0"/>
              <w:rPr>
                <w:sz w:val="20"/>
                <w:szCs w:val="20"/>
                <w:color w:val="auto"/>
              </w:rPr>
            </w:pPr>
            <w:r>
              <w:rPr>
                <w:rFonts w:ascii="Calibri" w:cs="Calibri" w:eastAsia="Calibri" w:hAnsi="Calibri"/>
                <w:sz w:val="14"/>
                <w:szCs w:val="14"/>
                <w:b w:val="1"/>
                <w:bCs w:val="1"/>
                <w:color w:val="auto"/>
              </w:rPr>
              <w:t>PSUs</w:t>
            </w:r>
          </w:p>
        </w:tc>
        <w:tc>
          <w:tcPr>
            <w:tcW w:w="900" w:type="dxa"/>
            <w:vAlign w:val="bottom"/>
          </w:tcPr>
          <w:p>
            <w:pPr>
              <w:jc w:val="right"/>
              <w:ind w:right="90"/>
              <w:spacing w:after="0"/>
              <w:rPr>
                <w:sz w:val="20"/>
                <w:szCs w:val="20"/>
                <w:color w:val="auto"/>
              </w:rPr>
            </w:pPr>
            <w:r>
              <w:rPr>
                <w:rFonts w:ascii="Calibri" w:cs="Calibri" w:eastAsia="Calibri" w:hAnsi="Calibri"/>
                <w:sz w:val="14"/>
                <w:szCs w:val="14"/>
                <w:b w:val="1"/>
                <w:bCs w:val="1"/>
                <w:color w:val="auto"/>
              </w:rPr>
              <w:t>Change %</w:t>
            </w:r>
          </w:p>
        </w:tc>
        <w:tc>
          <w:tcPr>
            <w:tcW w:w="0" w:type="dxa"/>
            <w:vAlign w:val="bottom"/>
          </w:tcPr>
          <w:p>
            <w:pPr>
              <w:spacing w:after="0"/>
              <w:rPr>
                <w:sz w:val="1"/>
                <w:szCs w:val="1"/>
                <w:color w:val="auto"/>
              </w:rPr>
            </w:pPr>
          </w:p>
        </w:tc>
      </w:tr>
      <w:tr>
        <w:trPr>
          <w:trHeight w:val="176"/>
        </w:trPr>
        <w:tc>
          <w:tcPr>
            <w:tcW w:w="1440" w:type="dxa"/>
            <w:vAlign w:val="bottom"/>
            <w:vMerge w:val="continue"/>
          </w:tcPr>
          <w:p>
            <w:pPr>
              <w:spacing w:after="0"/>
              <w:rPr>
                <w:sz w:val="15"/>
                <w:szCs w:val="15"/>
                <w:color w:val="auto"/>
              </w:rPr>
            </w:pPr>
          </w:p>
        </w:tc>
        <w:tc>
          <w:tcPr>
            <w:tcW w:w="720" w:type="dxa"/>
            <w:vAlign w:val="bottom"/>
          </w:tcPr>
          <w:p>
            <w:pPr>
              <w:jc w:val="center"/>
              <w:ind w:right="28"/>
              <w:spacing w:after="0"/>
              <w:rPr>
                <w:sz w:val="20"/>
                <w:szCs w:val="20"/>
                <w:color w:val="auto"/>
              </w:rPr>
            </w:pPr>
            <w:r>
              <w:rPr>
                <w:rFonts w:ascii="Calibri" w:cs="Calibri" w:eastAsia="Calibri" w:hAnsi="Calibri"/>
                <w:sz w:val="14"/>
                <w:szCs w:val="14"/>
                <w:b w:val="1"/>
                <w:bCs w:val="1"/>
                <w:color w:val="auto"/>
              </w:rPr>
              <w:t>Value</w:t>
            </w:r>
          </w:p>
        </w:tc>
        <w:tc>
          <w:tcPr>
            <w:tcW w:w="10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40" w:type="dxa"/>
            <w:vAlign w:val="bottom"/>
          </w:tcPr>
          <w:p>
            <w:pPr>
              <w:jc w:val="right"/>
              <w:ind w:right="310"/>
              <w:spacing w:after="0" w:line="114" w:lineRule="exact"/>
              <w:rPr>
                <w:sz w:val="20"/>
                <w:szCs w:val="20"/>
                <w:color w:val="auto"/>
              </w:rPr>
            </w:pPr>
            <w:r>
              <w:rPr>
                <w:rFonts w:ascii="Calibri" w:cs="Calibri" w:eastAsia="Calibri" w:hAnsi="Calibri"/>
                <w:sz w:val="10"/>
                <w:szCs w:val="10"/>
                <w:b w:val="1"/>
                <w:bCs w:val="1"/>
                <w:color w:val="auto"/>
              </w:rPr>
              <w:t>(1)</w:t>
            </w: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tcPr>
          <w:p>
            <w:pPr>
              <w:jc w:val="right"/>
              <w:ind w:right="330"/>
              <w:spacing w:after="0" w:line="114" w:lineRule="exact"/>
              <w:rPr>
                <w:sz w:val="20"/>
                <w:szCs w:val="20"/>
                <w:color w:val="auto"/>
              </w:rPr>
            </w:pPr>
            <w:r>
              <w:rPr>
                <w:rFonts w:ascii="Calibri" w:cs="Calibri" w:eastAsia="Calibri" w:hAnsi="Calibri"/>
                <w:sz w:val="10"/>
                <w:szCs w:val="10"/>
                <w:b w:val="1"/>
                <w:bCs w:val="1"/>
                <w:color w:val="auto"/>
              </w:rPr>
              <w:t>(1)</w:t>
            </w:r>
          </w:p>
        </w:tc>
        <w:tc>
          <w:tcPr>
            <w:tcW w:w="0" w:type="dxa"/>
            <w:vAlign w:val="bottom"/>
          </w:tcPr>
          <w:p>
            <w:pPr>
              <w:spacing w:after="0"/>
              <w:rPr>
                <w:sz w:val="1"/>
                <w:szCs w:val="1"/>
                <w:color w:val="auto"/>
              </w:rPr>
            </w:pPr>
          </w:p>
        </w:tc>
      </w:tr>
      <w:tr>
        <w:trPr>
          <w:trHeight w:val="68"/>
        </w:trPr>
        <w:tc>
          <w:tcPr>
            <w:tcW w:w="1440" w:type="dxa"/>
            <w:vAlign w:val="bottom"/>
            <w:shd w:val="clear" w:color="auto" w:fill="005CA9"/>
          </w:tcPr>
          <w:p>
            <w:pPr>
              <w:spacing w:after="0"/>
              <w:rPr>
                <w:sz w:val="5"/>
                <w:szCs w:val="5"/>
                <w:color w:val="auto"/>
              </w:rPr>
            </w:pPr>
          </w:p>
        </w:tc>
        <w:tc>
          <w:tcPr>
            <w:tcW w:w="720" w:type="dxa"/>
            <w:vAlign w:val="bottom"/>
            <w:shd w:val="clear" w:color="auto" w:fill="005CA9"/>
          </w:tcPr>
          <w:p>
            <w:pPr>
              <w:spacing w:after="0"/>
              <w:rPr>
                <w:sz w:val="5"/>
                <w:szCs w:val="5"/>
                <w:color w:val="auto"/>
              </w:rPr>
            </w:pPr>
          </w:p>
        </w:tc>
        <w:tc>
          <w:tcPr>
            <w:tcW w:w="1000" w:type="dxa"/>
            <w:vAlign w:val="bottom"/>
            <w:shd w:val="clear" w:color="auto" w:fill="005CA9"/>
          </w:tcPr>
          <w:p>
            <w:pPr>
              <w:spacing w:after="0"/>
              <w:rPr>
                <w:sz w:val="5"/>
                <w:szCs w:val="5"/>
                <w:color w:val="auto"/>
              </w:rPr>
            </w:pPr>
          </w:p>
        </w:tc>
        <w:tc>
          <w:tcPr>
            <w:tcW w:w="980" w:type="dxa"/>
            <w:vAlign w:val="bottom"/>
            <w:shd w:val="clear" w:color="auto" w:fill="005CA9"/>
          </w:tcPr>
          <w:p>
            <w:pPr>
              <w:spacing w:after="0"/>
              <w:rPr>
                <w:sz w:val="5"/>
                <w:szCs w:val="5"/>
                <w:color w:val="auto"/>
              </w:rPr>
            </w:pPr>
          </w:p>
        </w:tc>
        <w:tc>
          <w:tcPr>
            <w:tcW w:w="840" w:type="dxa"/>
            <w:vAlign w:val="bottom"/>
            <w:shd w:val="clear" w:color="auto" w:fill="005CA9"/>
          </w:tcPr>
          <w:p>
            <w:pPr>
              <w:spacing w:after="0"/>
              <w:rPr>
                <w:sz w:val="5"/>
                <w:szCs w:val="5"/>
                <w:color w:val="auto"/>
              </w:rPr>
            </w:pPr>
          </w:p>
        </w:tc>
        <w:tc>
          <w:tcPr>
            <w:tcW w:w="120" w:type="dxa"/>
            <w:vAlign w:val="bottom"/>
            <w:shd w:val="clear" w:color="auto" w:fill="005CA9"/>
          </w:tcPr>
          <w:p>
            <w:pPr>
              <w:spacing w:after="0"/>
              <w:rPr>
                <w:sz w:val="5"/>
                <w:szCs w:val="5"/>
                <w:color w:val="auto"/>
              </w:rPr>
            </w:pPr>
          </w:p>
        </w:tc>
        <w:tc>
          <w:tcPr>
            <w:tcW w:w="1160" w:type="dxa"/>
            <w:vAlign w:val="bottom"/>
            <w:shd w:val="clear" w:color="auto" w:fill="005CA9"/>
          </w:tcPr>
          <w:p>
            <w:pPr>
              <w:spacing w:after="0"/>
              <w:rPr>
                <w:sz w:val="5"/>
                <w:szCs w:val="5"/>
                <w:color w:val="auto"/>
              </w:rPr>
            </w:pPr>
          </w:p>
        </w:tc>
        <w:tc>
          <w:tcPr>
            <w:tcW w:w="1060" w:type="dxa"/>
            <w:vAlign w:val="bottom"/>
            <w:shd w:val="clear" w:color="auto" w:fill="005CA9"/>
          </w:tcPr>
          <w:p>
            <w:pPr>
              <w:spacing w:after="0"/>
              <w:rPr>
                <w:sz w:val="5"/>
                <w:szCs w:val="5"/>
                <w:color w:val="auto"/>
              </w:rPr>
            </w:pPr>
          </w:p>
        </w:tc>
        <w:tc>
          <w:tcPr>
            <w:tcW w:w="1000" w:type="dxa"/>
            <w:vAlign w:val="bottom"/>
            <w:shd w:val="clear" w:color="auto" w:fill="005CA9"/>
          </w:tcPr>
          <w:p>
            <w:pPr>
              <w:spacing w:after="0"/>
              <w:rPr>
                <w:sz w:val="5"/>
                <w:szCs w:val="5"/>
                <w:color w:val="auto"/>
              </w:rPr>
            </w:pPr>
          </w:p>
        </w:tc>
        <w:tc>
          <w:tcPr>
            <w:tcW w:w="120" w:type="dxa"/>
            <w:vAlign w:val="bottom"/>
            <w:shd w:val="clear" w:color="auto" w:fill="005CA9"/>
          </w:tcPr>
          <w:p>
            <w:pPr>
              <w:spacing w:after="0"/>
              <w:rPr>
                <w:sz w:val="5"/>
                <w:szCs w:val="5"/>
                <w:color w:val="auto"/>
              </w:rPr>
            </w:pPr>
          </w:p>
        </w:tc>
        <w:tc>
          <w:tcPr>
            <w:tcW w:w="980" w:type="dxa"/>
            <w:vAlign w:val="bottom"/>
            <w:shd w:val="clear" w:color="auto" w:fill="005CA9"/>
          </w:tcPr>
          <w:p>
            <w:pPr>
              <w:spacing w:after="0"/>
              <w:rPr>
                <w:sz w:val="5"/>
                <w:szCs w:val="5"/>
                <w:color w:val="auto"/>
              </w:rPr>
            </w:pPr>
          </w:p>
        </w:tc>
        <w:tc>
          <w:tcPr>
            <w:tcW w:w="920" w:type="dxa"/>
            <w:vAlign w:val="bottom"/>
            <w:shd w:val="clear" w:color="auto" w:fill="005CA9"/>
          </w:tcPr>
          <w:p>
            <w:pPr>
              <w:spacing w:after="0"/>
              <w:rPr>
                <w:sz w:val="5"/>
                <w:szCs w:val="5"/>
                <w:color w:val="auto"/>
              </w:rPr>
            </w:pPr>
          </w:p>
        </w:tc>
        <w:tc>
          <w:tcPr>
            <w:tcW w:w="900" w:type="dxa"/>
            <w:vAlign w:val="bottom"/>
            <w:shd w:val="clear" w:color="auto" w:fill="005CA9"/>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Dr. Keh-Shew Lu</w:t>
            </w:r>
          </w:p>
        </w:tc>
        <w:tc>
          <w:tcPr>
            <w:tcW w:w="720" w:type="dxa"/>
            <w:vAlign w:val="bottom"/>
            <w:shd w:val="clear" w:color="auto" w:fill="CFF0FC"/>
          </w:tcPr>
          <w:p>
            <w:pPr>
              <w:jc w:val="center"/>
              <w:ind w:right="48"/>
              <w:spacing w:after="0"/>
              <w:rPr>
                <w:sz w:val="20"/>
                <w:szCs w:val="20"/>
                <w:color w:val="auto"/>
              </w:rPr>
            </w:pPr>
            <w:r>
              <w:rPr>
                <w:rFonts w:ascii="Calibri" w:cs="Calibri" w:eastAsia="Calibri" w:hAnsi="Calibri"/>
                <w:sz w:val="14"/>
                <w:szCs w:val="14"/>
                <w:color w:val="auto"/>
              </w:rPr>
              <w:t>#</w:t>
            </w:r>
          </w:p>
        </w:tc>
        <w:tc>
          <w:tcPr>
            <w:tcW w:w="100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color w:val="auto"/>
              </w:rPr>
              <w:t>37,000</w:t>
            </w:r>
          </w:p>
        </w:tc>
        <w:tc>
          <w:tcPr>
            <w:tcW w:w="9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32,000</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-42 %</w:t>
            </w:r>
          </w:p>
        </w:tc>
        <w:tc>
          <w:tcPr>
            <w:tcW w:w="1280" w:type="dxa"/>
            <w:vAlign w:val="bottom"/>
            <w:gridSpan w:val="2"/>
            <w:shd w:val="clear" w:color="auto" w:fill="CFF0FC"/>
          </w:tcPr>
          <w:p>
            <w:pPr>
              <w:jc w:val="right"/>
              <w:ind w:right="168"/>
              <w:spacing w:after="0"/>
              <w:rPr>
                <w:sz w:val="20"/>
                <w:szCs w:val="20"/>
                <w:color w:val="auto"/>
              </w:rPr>
            </w:pPr>
            <w:r>
              <w:rPr>
                <w:rFonts w:ascii="Calibri" w:cs="Calibri" w:eastAsia="Calibri" w:hAnsi="Calibri"/>
                <w:sz w:val="14"/>
                <w:szCs w:val="14"/>
                <w:color w:val="auto"/>
              </w:rPr>
              <w:t>48,000</w:t>
            </w:r>
          </w:p>
        </w:tc>
        <w:tc>
          <w:tcPr>
            <w:tcW w:w="10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42,000</w:t>
            </w:r>
          </w:p>
        </w:tc>
        <w:tc>
          <w:tcPr>
            <w:tcW w:w="10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30 %</w:t>
            </w:r>
          </w:p>
        </w:tc>
        <w:tc>
          <w:tcPr>
            <w:tcW w:w="1100" w:type="dxa"/>
            <w:vAlign w:val="bottom"/>
            <w:gridSpan w:val="2"/>
            <w:shd w:val="clear" w:color="auto" w:fill="CFF0FC"/>
          </w:tcPr>
          <w:p>
            <w:pPr>
              <w:jc w:val="right"/>
              <w:ind w:right="128"/>
              <w:spacing w:after="0"/>
              <w:rPr>
                <w:sz w:val="20"/>
                <w:szCs w:val="20"/>
                <w:color w:val="auto"/>
              </w:rPr>
            </w:pPr>
            <w:r>
              <w:rPr>
                <w:rFonts w:ascii="Calibri" w:cs="Calibri" w:eastAsia="Calibri" w:hAnsi="Calibri"/>
                <w:sz w:val="14"/>
                <w:szCs w:val="14"/>
                <w:color w:val="auto"/>
              </w:rPr>
              <w:t>31,000</w:t>
            </w:r>
          </w:p>
        </w:tc>
        <w:tc>
          <w:tcPr>
            <w:tcW w:w="92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25,000</w:t>
            </w:r>
          </w:p>
        </w:tc>
        <w:tc>
          <w:tcPr>
            <w:tcW w:w="9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-38 %</w:t>
            </w:r>
          </w:p>
        </w:tc>
        <w:tc>
          <w:tcPr>
            <w:tcW w:w="0" w:type="dxa"/>
            <w:vAlign w:val="bottom"/>
          </w:tcPr>
          <w:p>
            <w:pPr>
              <w:spacing w:after="0"/>
              <w:rPr>
                <w:sz w:val="1"/>
                <w:szCs w:val="1"/>
                <w:color w:val="auto"/>
              </w:rPr>
            </w:pPr>
          </w:p>
        </w:tc>
      </w:tr>
      <w:tr>
        <w:trPr>
          <w:trHeight w:val="181"/>
        </w:trPr>
        <w:tc>
          <w:tcPr>
            <w:tcW w:w="1440" w:type="dxa"/>
            <w:vAlign w:val="bottom"/>
            <w:shd w:val="clear" w:color="auto" w:fill="CFF0FC"/>
          </w:tcPr>
          <w:p>
            <w:pPr>
              <w:spacing w:after="0"/>
              <w:rPr>
                <w:sz w:val="15"/>
                <w:szCs w:val="15"/>
                <w:color w:val="auto"/>
              </w:rPr>
            </w:pPr>
          </w:p>
        </w:tc>
        <w:tc>
          <w:tcPr>
            <w:tcW w:w="720" w:type="dxa"/>
            <w:vAlign w:val="bottom"/>
            <w:shd w:val="clear" w:color="auto" w:fill="CFF0FC"/>
          </w:tcPr>
          <w:p>
            <w:pPr>
              <w:jc w:val="center"/>
              <w:ind w:right="48"/>
              <w:spacing w:after="0"/>
              <w:rPr>
                <w:sz w:val="20"/>
                <w:szCs w:val="20"/>
                <w:color w:val="auto"/>
              </w:rPr>
            </w:pPr>
            <w:r>
              <w:rPr>
                <w:rFonts w:ascii="Calibri" w:cs="Calibri" w:eastAsia="Calibri" w:hAnsi="Calibri"/>
                <w:sz w:val="14"/>
                <w:szCs w:val="14"/>
                <w:color w:val="auto"/>
              </w:rPr>
              <w:t>$</w:t>
            </w:r>
          </w:p>
        </w:tc>
        <w:tc>
          <w:tcPr>
            <w:tcW w:w="100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color w:val="auto"/>
              </w:rPr>
              <w:t>3,310,030</w:t>
            </w:r>
          </w:p>
        </w:tc>
        <w:tc>
          <w:tcPr>
            <w:tcW w:w="9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2,940,480</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29 %</w:t>
            </w:r>
          </w:p>
        </w:tc>
        <w:tc>
          <w:tcPr>
            <w:tcW w:w="1280" w:type="dxa"/>
            <w:vAlign w:val="bottom"/>
            <w:gridSpan w:val="2"/>
            <w:shd w:val="clear" w:color="auto" w:fill="CFF0FC"/>
          </w:tcPr>
          <w:p>
            <w:pPr>
              <w:jc w:val="right"/>
              <w:ind w:right="168"/>
              <w:spacing w:after="0"/>
              <w:rPr>
                <w:sz w:val="20"/>
                <w:szCs w:val="20"/>
                <w:color w:val="auto"/>
              </w:rPr>
            </w:pPr>
            <w:r>
              <w:rPr>
                <w:rFonts w:ascii="Calibri" w:cs="Calibri" w:eastAsia="Calibri" w:hAnsi="Calibri"/>
                <w:sz w:val="14"/>
                <w:szCs w:val="14"/>
                <w:color w:val="auto"/>
              </w:rPr>
              <w:t>4,444,920</w:t>
            </w:r>
          </w:p>
        </w:tc>
        <w:tc>
          <w:tcPr>
            <w:tcW w:w="10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3,920,700</w:t>
            </w:r>
          </w:p>
        </w:tc>
        <w:tc>
          <w:tcPr>
            <w:tcW w:w="10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34 %</w:t>
            </w:r>
          </w:p>
        </w:tc>
        <w:tc>
          <w:tcPr>
            <w:tcW w:w="1100" w:type="dxa"/>
            <w:vAlign w:val="bottom"/>
            <w:gridSpan w:val="2"/>
            <w:shd w:val="clear" w:color="auto" w:fill="CFF0FC"/>
          </w:tcPr>
          <w:p>
            <w:pPr>
              <w:jc w:val="right"/>
              <w:ind w:right="128"/>
              <w:spacing w:after="0"/>
              <w:rPr>
                <w:sz w:val="20"/>
                <w:szCs w:val="20"/>
                <w:color w:val="auto"/>
              </w:rPr>
            </w:pPr>
            <w:r>
              <w:rPr>
                <w:rFonts w:ascii="Calibri" w:cs="Calibri" w:eastAsia="Calibri" w:hAnsi="Calibri"/>
                <w:sz w:val="14"/>
                <w:szCs w:val="14"/>
                <w:color w:val="auto"/>
              </w:rPr>
              <w:t>2,129,350</w:t>
            </w:r>
          </w:p>
        </w:tc>
        <w:tc>
          <w:tcPr>
            <w:tcW w:w="92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1,692,250</w:t>
            </w:r>
          </w:p>
        </w:tc>
        <w:tc>
          <w:tcPr>
            <w:tcW w:w="9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-54 %</w:t>
            </w:r>
          </w:p>
        </w:tc>
        <w:tc>
          <w:tcPr>
            <w:tcW w:w="0" w:type="dxa"/>
            <w:vAlign w:val="bottom"/>
          </w:tcPr>
          <w:p>
            <w:pPr>
              <w:spacing w:after="0"/>
              <w:rPr>
                <w:sz w:val="1"/>
                <w:szCs w:val="1"/>
                <w:color w:val="auto"/>
              </w:rPr>
            </w:pPr>
          </w:p>
        </w:tc>
      </w:tr>
      <w:tr>
        <w:trPr>
          <w:trHeight w:val="161"/>
        </w:trPr>
        <w:tc>
          <w:tcPr>
            <w:tcW w:w="1440" w:type="dxa"/>
            <w:vAlign w:val="bottom"/>
          </w:tcPr>
          <w:p>
            <w:pPr>
              <w:ind w:left="100"/>
              <w:spacing w:after="0" w:line="161" w:lineRule="exact"/>
              <w:rPr>
                <w:sz w:val="20"/>
                <w:szCs w:val="20"/>
                <w:color w:val="auto"/>
              </w:rPr>
            </w:pPr>
            <w:r>
              <w:rPr>
                <w:rFonts w:ascii="Calibri" w:cs="Calibri" w:eastAsia="Calibri" w:hAnsi="Calibri"/>
                <w:sz w:val="14"/>
                <w:szCs w:val="14"/>
                <w:color w:val="auto"/>
              </w:rPr>
              <w:t>Bret R. Whitmire</w:t>
            </w:r>
          </w:p>
        </w:tc>
        <w:tc>
          <w:tcPr>
            <w:tcW w:w="720" w:type="dxa"/>
            <w:vAlign w:val="bottom"/>
          </w:tcPr>
          <w:p>
            <w:pPr>
              <w:jc w:val="center"/>
              <w:ind w:right="48"/>
              <w:spacing w:after="0" w:line="161"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128"/>
              <w:spacing w:after="0" w:line="161" w:lineRule="exact"/>
              <w:rPr>
                <w:sz w:val="20"/>
                <w:szCs w:val="20"/>
                <w:color w:val="auto"/>
              </w:rPr>
            </w:pPr>
            <w:r>
              <w:rPr>
                <w:rFonts w:ascii="Calibri" w:cs="Calibri" w:eastAsia="Calibri" w:hAnsi="Calibri"/>
                <w:sz w:val="14"/>
                <w:szCs w:val="14"/>
                <w:color w:val="auto"/>
              </w:rPr>
              <w:t>7,600</w:t>
            </w:r>
          </w:p>
        </w:tc>
        <w:tc>
          <w:tcPr>
            <w:tcW w:w="980" w:type="dxa"/>
            <w:vAlign w:val="bottom"/>
          </w:tcPr>
          <w:p>
            <w:pPr>
              <w:jc w:val="right"/>
              <w:ind w:right="48"/>
              <w:spacing w:after="0" w:line="161" w:lineRule="exact"/>
              <w:rPr>
                <w:sz w:val="20"/>
                <w:szCs w:val="20"/>
                <w:color w:val="auto"/>
              </w:rPr>
            </w:pPr>
            <w:r>
              <w:rPr>
                <w:rFonts w:ascii="Calibri" w:cs="Calibri" w:eastAsia="Calibri" w:hAnsi="Calibri"/>
                <w:sz w:val="14"/>
                <w:szCs w:val="14"/>
                <w:color w:val="auto"/>
              </w:rPr>
              <w:t>7,600</w:t>
            </w:r>
          </w:p>
        </w:tc>
        <w:tc>
          <w:tcPr>
            <w:tcW w:w="840" w:type="dxa"/>
            <w:vAlign w:val="bottom"/>
          </w:tcPr>
          <w:p>
            <w:pPr>
              <w:jc w:val="right"/>
              <w:spacing w:after="0" w:line="161" w:lineRule="exact"/>
              <w:rPr>
                <w:sz w:val="20"/>
                <w:szCs w:val="20"/>
                <w:color w:val="auto"/>
              </w:rPr>
            </w:pPr>
            <w:r>
              <w:rPr>
                <w:rFonts w:ascii="Calibri" w:cs="Calibri" w:eastAsia="Calibri" w:hAnsi="Calibri"/>
                <w:sz w:val="14"/>
                <w:szCs w:val="14"/>
                <w:color w:val="auto"/>
              </w:rPr>
              <w:t>-37 %</w:t>
            </w:r>
          </w:p>
        </w:tc>
        <w:tc>
          <w:tcPr>
            <w:tcW w:w="1280" w:type="dxa"/>
            <w:vAlign w:val="bottom"/>
            <w:gridSpan w:val="2"/>
          </w:tcPr>
          <w:p>
            <w:pPr>
              <w:jc w:val="right"/>
              <w:ind w:right="168"/>
              <w:spacing w:after="0" w:line="161" w:lineRule="exact"/>
              <w:rPr>
                <w:sz w:val="20"/>
                <w:szCs w:val="20"/>
                <w:color w:val="auto"/>
              </w:rPr>
            </w:pPr>
            <w:r>
              <w:rPr>
                <w:rFonts w:ascii="Calibri" w:cs="Calibri" w:eastAsia="Calibri" w:hAnsi="Calibri"/>
                <w:sz w:val="14"/>
                <w:szCs w:val="14"/>
                <w:color w:val="auto"/>
              </w:rPr>
              <w:t>9,000</w:t>
            </w:r>
          </w:p>
        </w:tc>
        <w:tc>
          <w:tcPr>
            <w:tcW w:w="1060" w:type="dxa"/>
            <w:vAlign w:val="bottom"/>
          </w:tcPr>
          <w:p>
            <w:pPr>
              <w:jc w:val="right"/>
              <w:ind w:right="48"/>
              <w:spacing w:after="0" w:line="161" w:lineRule="exact"/>
              <w:rPr>
                <w:sz w:val="20"/>
                <w:szCs w:val="20"/>
                <w:color w:val="auto"/>
              </w:rPr>
            </w:pPr>
            <w:r>
              <w:rPr>
                <w:rFonts w:ascii="Calibri" w:cs="Calibri" w:eastAsia="Calibri" w:hAnsi="Calibri"/>
                <w:sz w:val="14"/>
                <w:szCs w:val="14"/>
                <w:color w:val="auto"/>
              </w:rPr>
              <w:t>9,000</w:t>
            </w:r>
          </w:p>
        </w:tc>
        <w:tc>
          <w:tcPr>
            <w:tcW w:w="1000" w:type="dxa"/>
            <w:vAlign w:val="bottom"/>
          </w:tcPr>
          <w:p>
            <w:pPr>
              <w:jc w:val="right"/>
              <w:spacing w:after="0" w:line="161" w:lineRule="exact"/>
              <w:rPr>
                <w:sz w:val="20"/>
                <w:szCs w:val="20"/>
                <w:color w:val="auto"/>
              </w:rPr>
            </w:pPr>
            <w:r>
              <w:rPr>
                <w:rFonts w:ascii="Calibri" w:cs="Calibri" w:eastAsia="Calibri" w:hAnsi="Calibri"/>
                <w:sz w:val="14"/>
                <w:szCs w:val="14"/>
                <w:color w:val="auto"/>
              </w:rPr>
              <w:t>18 %</w:t>
            </w:r>
          </w:p>
        </w:tc>
        <w:tc>
          <w:tcPr>
            <w:tcW w:w="1100" w:type="dxa"/>
            <w:vAlign w:val="bottom"/>
            <w:gridSpan w:val="2"/>
          </w:tcPr>
          <w:p>
            <w:pPr>
              <w:jc w:val="right"/>
              <w:ind w:right="128"/>
              <w:spacing w:after="0" w:line="161" w:lineRule="exact"/>
              <w:rPr>
                <w:sz w:val="20"/>
                <w:szCs w:val="20"/>
                <w:color w:val="auto"/>
              </w:rPr>
            </w:pPr>
            <w:r>
              <w:rPr>
                <w:rFonts w:ascii="Calibri" w:cs="Calibri" w:eastAsia="Calibri" w:hAnsi="Calibri"/>
                <w:sz w:val="14"/>
                <w:szCs w:val="14"/>
                <w:color w:val="auto"/>
              </w:rPr>
              <w:t>6,100</w:t>
            </w:r>
          </w:p>
        </w:tc>
        <w:tc>
          <w:tcPr>
            <w:tcW w:w="920" w:type="dxa"/>
            <w:vAlign w:val="bottom"/>
          </w:tcPr>
          <w:p>
            <w:pPr>
              <w:jc w:val="right"/>
              <w:ind w:right="48"/>
              <w:spacing w:after="0" w:line="161" w:lineRule="exact"/>
              <w:rPr>
                <w:sz w:val="20"/>
                <w:szCs w:val="20"/>
                <w:color w:val="auto"/>
              </w:rPr>
            </w:pPr>
            <w:r>
              <w:rPr>
                <w:rFonts w:ascii="Calibri" w:cs="Calibri" w:eastAsia="Calibri" w:hAnsi="Calibri"/>
                <w:sz w:val="14"/>
                <w:szCs w:val="14"/>
                <w:color w:val="auto"/>
              </w:rPr>
              <w:t>6,100</w:t>
            </w:r>
          </w:p>
        </w:tc>
        <w:tc>
          <w:tcPr>
            <w:tcW w:w="900" w:type="dxa"/>
            <w:vAlign w:val="bottom"/>
          </w:tcPr>
          <w:p>
            <w:pPr>
              <w:jc w:val="right"/>
              <w:spacing w:after="0" w:line="161" w:lineRule="exact"/>
              <w:rPr>
                <w:sz w:val="20"/>
                <w:szCs w:val="20"/>
                <w:color w:val="auto"/>
              </w:rPr>
            </w:pPr>
            <w:r>
              <w:rPr>
                <w:rFonts w:ascii="Calibri" w:cs="Calibri" w:eastAsia="Calibri" w:hAnsi="Calibri"/>
                <w:sz w:val="14"/>
                <w:szCs w:val="14"/>
                <w:color w:val="auto"/>
              </w:rPr>
              <w:t>-32 %</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128"/>
              <w:spacing w:after="0"/>
              <w:rPr>
                <w:sz w:val="20"/>
                <w:szCs w:val="20"/>
                <w:color w:val="auto"/>
              </w:rPr>
            </w:pPr>
            <w:r>
              <w:rPr>
                <w:rFonts w:ascii="Calibri" w:cs="Calibri" w:eastAsia="Calibri" w:hAnsi="Calibri"/>
                <w:sz w:val="14"/>
                <w:szCs w:val="14"/>
                <w:color w:val="auto"/>
              </w:rPr>
              <w:t>698,364</w:t>
            </w:r>
          </w:p>
        </w:tc>
        <w:tc>
          <w:tcPr>
            <w:tcW w:w="980" w:type="dxa"/>
            <w:vAlign w:val="bottom"/>
          </w:tcPr>
          <w:p>
            <w:pPr>
              <w:jc w:val="right"/>
              <w:ind w:right="48"/>
              <w:spacing w:after="0"/>
              <w:rPr>
                <w:sz w:val="20"/>
                <w:szCs w:val="20"/>
                <w:color w:val="auto"/>
              </w:rPr>
            </w:pPr>
            <w:r>
              <w:rPr>
                <w:rFonts w:ascii="Calibri" w:cs="Calibri" w:eastAsia="Calibri" w:hAnsi="Calibri"/>
                <w:sz w:val="14"/>
                <w:szCs w:val="14"/>
                <w:color w:val="auto"/>
              </w:rPr>
              <w:t>698,364</w:t>
            </w:r>
          </w:p>
        </w:tc>
        <w:tc>
          <w:tcPr>
            <w:tcW w:w="840" w:type="dxa"/>
            <w:vAlign w:val="bottom"/>
          </w:tcPr>
          <w:p>
            <w:pPr>
              <w:jc w:val="right"/>
              <w:spacing w:after="0"/>
              <w:rPr>
                <w:sz w:val="20"/>
                <w:szCs w:val="20"/>
                <w:color w:val="auto"/>
              </w:rPr>
            </w:pPr>
            <w:r>
              <w:rPr>
                <w:rFonts w:ascii="Calibri" w:cs="Calibri" w:eastAsia="Calibri" w:hAnsi="Calibri"/>
                <w:sz w:val="14"/>
                <w:szCs w:val="14"/>
                <w:color w:val="auto"/>
              </w:rPr>
              <w:t>42 %</w:t>
            </w:r>
          </w:p>
        </w:tc>
        <w:tc>
          <w:tcPr>
            <w:tcW w:w="1280" w:type="dxa"/>
            <w:vAlign w:val="bottom"/>
            <w:gridSpan w:val="2"/>
          </w:tcPr>
          <w:p>
            <w:pPr>
              <w:jc w:val="right"/>
              <w:ind w:right="168"/>
              <w:spacing w:after="0"/>
              <w:rPr>
                <w:sz w:val="20"/>
                <w:szCs w:val="20"/>
                <w:color w:val="auto"/>
              </w:rPr>
            </w:pPr>
            <w:r>
              <w:rPr>
                <w:rFonts w:ascii="Calibri" w:cs="Calibri" w:eastAsia="Calibri" w:hAnsi="Calibri"/>
                <w:sz w:val="14"/>
                <w:szCs w:val="14"/>
                <w:color w:val="auto"/>
              </w:rPr>
              <w:t>840,150</w:t>
            </w:r>
          </w:p>
        </w:tc>
        <w:tc>
          <w:tcPr>
            <w:tcW w:w="1060" w:type="dxa"/>
            <w:vAlign w:val="bottom"/>
          </w:tcPr>
          <w:p>
            <w:pPr>
              <w:jc w:val="right"/>
              <w:ind w:right="48"/>
              <w:spacing w:after="0"/>
              <w:rPr>
                <w:sz w:val="20"/>
                <w:szCs w:val="20"/>
                <w:color w:val="auto"/>
              </w:rPr>
            </w:pPr>
            <w:r>
              <w:rPr>
                <w:rFonts w:ascii="Calibri" w:cs="Calibri" w:eastAsia="Calibri" w:hAnsi="Calibri"/>
                <w:sz w:val="14"/>
                <w:szCs w:val="14"/>
                <w:color w:val="auto"/>
              </w:rPr>
              <w:t>840,150</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20 %</w:t>
            </w:r>
          </w:p>
        </w:tc>
        <w:tc>
          <w:tcPr>
            <w:tcW w:w="1100" w:type="dxa"/>
            <w:vAlign w:val="bottom"/>
            <w:gridSpan w:val="2"/>
          </w:tcPr>
          <w:p>
            <w:pPr>
              <w:jc w:val="right"/>
              <w:ind w:right="128"/>
              <w:spacing w:after="0"/>
              <w:rPr>
                <w:sz w:val="20"/>
                <w:szCs w:val="20"/>
                <w:color w:val="auto"/>
              </w:rPr>
            </w:pPr>
            <w:r>
              <w:rPr>
                <w:rFonts w:ascii="Calibri" w:cs="Calibri" w:eastAsia="Calibri" w:hAnsi="Calibri"/>
                <w:sz w:val="14"/>
                <w:szCs w:val="14"/>
                <w:color w:val="auto"/>
              </w:rPr>
              <w:t>412,909</w:t>
            </w:r>
          </w:p>
        </w:tc>
        <w:tc>
          <w:tcPr>
            <w:tcW w:w="920" w:type="dxa"/>
            <w:vAlign w:val="bottom"/>
          </w:tcPr>
          <w:p>
            <w:pPr>
              <w:jc w:val="right"/>
              <w:ind w:right="48"/>
              <w:spacing w:after="0"/>
              <w:rPr>
                <w:sz w:val="20"/>
                <w:szCs w:val="20"/>
                <w:color w:val="auto"/>
              </w:rPr>
            </w:pPr>
            <w:r>
              <w:rPr>
                <w:rFonts w:ascii="Calibri" w:cs="Calibri" w:eastAsia="Calibri" w:hAnsi="Calibri"/>
                <w:sz w:val="14"/>
                <w:szCs w:val="14"/>
                <w:color w:val="auto"/>
              </w:rPr>
              <w:t>412,909</w:t>
            </w:r>
          </w:p>
        </w:tc>
        <w:tc>
          <w:tcPr>
            <w:tcW w:w="900" w:type="dxa"/>
            <w:vAlign w:val="bottom"/>
          </w:tcPr>
          <w:p>
            <w:pPr>
              <w:jc w:val="right"/>
              <w:spacing w:after="0"/>
              <w:rPr>
                <w:sz w:val="20"/>
                <w:szCs w:val="20"/>
                <w:color w:val="auto"/>
              </w:rPr>
            </w:pPr>
            <w:r>
              <w:rPr>
                <w:rFonts w:ascii="Calibri" w:cs="Calibri" w:eastAsia="Calibri" w:hAnsi="Calibri"/>
                <w:sz w:val="14"/>
                <w:szCs w:val="14"/>
                <w:color w:val="auto"/>
              </w:rPr>
              <w:t>-51 %</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4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Gary Yu</w:t>
            </w:r>
          </w:p>
        </w:tc>
        <w:tc>
          <w:tcPr>
            <w:tcW w:w="720" w:type="dxa"/>
            <w:vAlign w:val="bottom"/>
            <w:shd w:val="clear" w:color="auto" w:fill="CFF0FC"/>
          </w:tcPr>
          <w:p>
            <w:pPr>
              <w:jc w:val="center"/>
              <w:ind w:right="48"/>
              <w:spacing w:after="0"/>
              <w:rPr>
                <w:sz w:val="20"/>
                <w:szCs w:val="20"/>
                <w:color w:val="auto"/>
              </w:rPr>
            </w:pPr>
            <w:r>
              <w:rPr>
                <w:rFonts w:ascii="Calibri" w:cs="Calibri" w:eastAsia="Calibri" w:hAnsi="Calibri"/>
                <w:sz w:val="14"/>
                <w:szCs w:val="14"/>
                <w:color w:val="auto"/>
              </w:rPr>
              <w:t>#</w:t>
            </w:r>
          </w:p>
        </w:tc>
        <w:tc>
          <w:tcPr>
            <w:tcW w:w="100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color w:val="auto"/>
              </w:rPr>
              <w:t>8,500</w:t>
            </w:r>
          </w:p>
        </w:tc>
        <w:tc>
          <w:tcPr>
            <w:tcW w:w="9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8,500</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-35 %</w:t>
            </w:r>
          </w:p>
        </w:tc>
        <w:tc>
          <w:tcPr>
            <w:tcW w:w="1280" w:type="dxa"/>
            <w:vAlign w:val="bottom"/>
            <w:gridSpan w:val="2"/>
            <w:shd w:val="clear" w:color="auto" w:fill="CFF0FC"/>
          </w:tcPr>
          <w:p>
            <w:pPr>
              <w:jc w:val="right"/>
              <w:ind w:right="168"/>
              <w:spacing w:after="0"/>
              <w:rPr>
                <w:sz w:val="20"/>
                <w:szCs w:val="20"/>
                <w:color w:val="auto"/>
              </w:rPr>
            </w:pPr>
            <w:r>
              <w:rPr>
                <w:rFonts w:ascii="Calibri" w:cs="Calibri" w:eastAsia="Calibri" w:hAnsi="Calibri"/>
                <w:sz w:val="14"/>
                <w:szCs w:val="14"/>
                <w:color w:val="auto"/>
              </w:rPr>
              <w:t>13,000</w:t>
            </w:r>
          </w:p>
        </w:tc>
        <w:tc>
          <w:tcPr>
            <w:tcW w:w="10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13,000</w:t>
            </w:r>
          </w:p>
        </w:tc>
        <w:tc>
          <w:tcPr>
            <w:tcW w:w="10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53 %</w:t>
            </w:r>
          </w:p>
        </w:tc>
        <w:tc>
          <w:tcPr>
            <w:tcW w:w="1100" w:type="dxa"/>
            <w:vAlign w:val="bottom"/>
            <w:gridSpan w:val="2"/>
            <w:shd w:val="clear" w:color="auto" w:fill="CFF0FC"/>
          </w:tcPr>
          <w:p>
            <w:pPr>
              <w:jc w:val="right"/>
              <w:ind w:right="128"/>
              <w:spacing w:after="0"/>
              <w:rPr>
                <w:sz w:val="20"/>
                <w:szCs w:val="20"/>
                <w:color w:val="auto"/>
              </w:rPr>
            </w:pPr>
            <w:r>
              <w:rPr>
                <w:rFonts w:ascii="Calibri" w:cs="Calibri" w:eastAsia="Calibri" w:hAnsi="Calibri"/>
                <w:sz w:val="14"/>
                <w:szCs w:val="14"/>
                <w:color w:val="auto"/>
              </w:rPr>
              <w:t>25,000</w:t>
            </w:r>
          </w:p>
        </w:tc>
        <w:tc>
          <w:tcPr>
            <w:tcW w:w="92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22,000</w:t>
            </w:r>
          </w:p>
        </w:tc>
        <w:tc>
          <w:tcPr>
            <w:tcW w:w="9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81 %</w:t>
            </w:r>
          </w:p>
        </w:tc>
        <w:tc>
          <w:tcPr>
            <w:tcW w:w="0" w:type="dxa"/>
            <w:vAlign w:val="bottom"/>
          </w:tcPr>
          <w:p>
            <w:pPr>
              <w:spacing w:after="0"/>
              <w:rPr>
                <w:sz w:val="1"/>
                <w:szCs w:val="1"/>
                <w:color w:val="auto"/>
              </w:rPr>
            </w:pPr>
          </w:p>
        </w:tc>
      </w:tr>
      <w:tr>
        <w:trPr>
          <w:trHeight w:val="181"/>
        </w:trPr>
        <w:tc>
          <w:tcPr>
            <w:tcW w:w="1440" w:type="dxa"/>
            <w:vAlign w:val="bottom"/>
            <w:shd w:val="clear" w:color="auto" w:fill="CFF0FC"/>
          </w:tcPr>
          <w:p>
            <w:pPr>
              <w:spacing w:after="0"/>
              <w:rPr>
                <w:sz w:val="15"/>
                <w:szCs w:val="15"/>
                <w:color w:val="auto"/>
              </w:rPr>
            </w:pPr>
          </w:p>
        </w:tc>
        <w:tc>
          <w:tcPr>
            <w:tcW w:w="720" w:type="dxa"/>
            <w:vAlign w:val="bottom"/>
            <w:shd w:val="clear" w:color="auto" w:fill="CFF0FC"/>
          </w:tcPr>
          <w:p>
            <w:pPr>
              <w:jc w:val="center"/>
              <w:ind w:right="48"/>
              <w:spacing w:after="0"/>
              <w:rPr>
                <w:sz w:val="20"/>
                <w:szCs w:val="20"/>
                <w:color w:val="auto"/>
              </w:rPr>
            </w:pPr>
            <w:r>
              <w:rPr>
                <w:rFonts w:ascii="Calibri" w:cs="Calibri" w:eastAsia="Calibri" w:hAnsi="Calibri"/>
                <w:sz w:val="14"/>
                <w:szCs w:val="14"/>
                <w:color w:val="auto"/>
              </w:rPr>
              <w:t>$</w:t>
            </w:r>
          </w:p>
        </w:tc>
        <w:tc>
          <w:tcPr>
            <w:tcW w:w="100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color w:val="auto"/>
              </w:rPr>
              <w:t>781,065</w:t>
            </w:r>
          </w:p>
        </w:tc>
        <w:tc>
          <w:tcPr>
            <w:tcW w:w="9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781,065</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46 %</w:t>
            </w:r>
          </w:p>
        </w:tc>
        <w:tc>
          <w:tcPr>
            <w:tcW w:w="1280" w:type="dxa"/>
            <w:vAlign w:val="bottom"/>
            <w:gridSpan w:val="2"/>
            <w:shd w:val="clear" w:color="auto" w:fill="CFF0FC"/>
          </w:tcPr>
          <w:p>
            <w:pPr>
              <w:jc w:val="right"/>
              <w:ind w:right="168"/>
              <w:spacing w:after="0"/>
              <w:rPr>
                <w:sz w:val="20"/>
                <w:szCs w:val="20"/>
                <w:color w:val="auto"/>
              </w:rPr>
            </w:pPr>
            <w:r>
              <w:rPr>
                <w:rFonts w:ascii="Calibri" w:cs="Calibri" w:eastAsia="Calibri" w:hAnsi="Calibri"/>
                <w:sz w:val="14"/>
                <w:szCs w:val="14"/>
                <w:color w:val="auto"/>
              </w:rPr>
              <w:t>1,213,550</w:t>
            </w:r>
          </w:p>
        </w:tc>
        <w:tc>
          <w:tcPr>
            <w:tcW w:w="10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1,213,550</w:t>
            </w:r>
          </w:p>
        </w:tc>
        <w:tc>
          <w:tcPr>
            <w:tcW w:w="10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55 %</w:t>
            </w:r>
          </w:p>
        </w:tc>
        <w:tc>
          <w:tcPr>
            <w:tcW w:w="1100" w:type="dxa"/>
            <w:vAlign w:val="bottom"/>
            <w:gridSpan w:val="2"/>
            <w:shd w:val="clear" w:color="auto" w:fill="CFF0FC"/>
          </w:tcPr>
          <w:p>
            <w:pPr>
              <w:jc w:val="right"/>
              <w:ind w:right="128"/>
              <w:spacing w:after="0"/>
              <w:rPr>
                <w:sz w:val="20"/>
                <w:szCs w:val="20"/>
                <w:color w:val="auto"/>
              </w:rPr>
            </w:pPr>
            <w:r>
              <w:rPr>
                <w:rFonts w:ascii="Calibri" w:cs="Calibri" w:eastAsia="Calibri" w:hAnsi="Calibri"/>
                <w:sz w:val="14"/>
                <w:szCs w:val="14"/>
                <w:color w:val="auto"/>
              </w:rPr>
              <w:t>1,707,730</w:t>
            </w:r>
          </w:p>
        </w:tc>
        <w:tc>
          <w:tcPr>
            <w:tcW w:w="92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1,489,180</w:t>
            </w:r>
          </w:p>
        </w:tc>
        <w:tc>
          <w:tcPr>
            <w:tcW w:w="9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32 %</w:t>
            </w:r>
          </w:p>
        </w:tc>
        <w:tc>
          <w:tcPr>
            <w:tcW w:w="0" w:type="dxa"/>
            <w:vAlign w:val="bottom"/>
          </w:tcPr>
          <w:p>
            <w:pPr>
              <w:spacing w:after="0"/>
              <w:rPr>
                <w:sz w:val="1"/>
                <w:szCs w:val="1"/>
                <w:color w:val="auto"/>
              </w:rPr>
            </w:pPr>
          </w:p>
        </w:tc>
      </w:tr>
      <w:tr>
        <w:trPr>
          <w:trHeight w:val="161"/>
        </w:trPr>
        <w:tc>
          <w:tcPr>
            <w:tcW w:w="1440" w:type="dxa"/>
            <w:vAlign w:val="bottom"/>
          </w:tcPr>
          <w:p>
            <w:pPr>
              <w:ind w:left="100"/>
              <w:spacing w:after="0" w:line="161" w:lineRule="exact"/>
              <w:rPr>
                <w:sz w:val="20"/>
                <w:szCs w:val="20"/>
                <w:color w:val="auto"/>
              </w:rPr>
            </w:pPr>
            <w:r>
              <w:rPr>
                <w:rFonts w:ascii="Calibri" w:cs="Calibri" w:eastAsia="Calibri" w:hAnsi="Calibri"/>
                <w:sz w:val="14"/>
                <w:szCs w:val="14"/>
                <w:color w:val="auto"/>
              </w:rPr>
              <w:t>Francis Tang</w:t>
            </w:r>
          </w:p>
        </w:tc>
        <w:tc>
          <w:tcPr>
            <w:tcW w:w="720" w:type="dxa"/>
            <w:vAlign w:val="bottom"/>
          </w:tcPr>
          <w:p>
            <w:pPr>
              <w:jc w:val="center"/>
              <w:ind w:right="48"/>
              <w:spacing w:after="0" w:line="161"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128"/>
              <w:spacing w:after="0" w:line="161" w:lineRule="exact"/>
              <w:rPr>
                <w:sz w:val="20"/>
                <w:szCs w:val="20"/>
                <w:color w:val="auto"/>
              </w:rPr>
            </w:pPr>
            <w:r>
              <w:rPr>
                <w:rFonts w:ascii="Calibri" w:cs="Calibri" w:eastAsia="Calibri" w:hAnsi="Calibri"/>
                <w:sz w:val="14"/>
                <w:szCs w:val="14"/>
                <w:color w:val="auto"/>
              </w:rPr>
              <w:t>7,600</w:t>
            </w:r>
          </w:p>
        </w:tc>
        <w:tc>
          <w:tcPr>
            <w:tcW w:w="980" w:type="dxa"/>
            <w:vAlign w:val="bottom"/>
          </w:tcPr>
          <w:p>
            <w:pPr>
              <w:jc w:val="right"/>
              <w:ind w:right="48"/>
              <w:spacing w:after="0" w:line="161" w:lineRule="exact"/>
              <w:rPr>
                <w:sz w:val="20"/>
                <w:szCs w:val="20"/>
                <w:color w:val="auto"/>
              </w:rPr>
            </w:pPr>
            <w:r>
              <w:rPr>
                <w:rFonts w:ascii="Calibri" w:cs="Calibri" w:eastAsia="Calibri" w:hAnsi="Calibri"/>
                <w:sz w:val="14"/>
                <w:szCs w:val="14"/>
                <w:color w:val="auto"/>
              </w:rPr>
              <w:t>7,600</w:t>
            </w:r>
          </w:p>
        </w:tc>
        <w:tc>
          <w:tcPr>
            <w:tcW w:w="840" w:type="dxa"/>
            <w:vAlign w:val="bottom"/>
          </w:tcPr>
          <w:p>
            <w:pPr>
              <w:jc w:val="right"/>
              <w:spacing w:after="0" w:line="161" w:lineRule="exact"/>
              <w:rPr>
                <w:sz w:val="20"/>
                <w:szCs w:val="20"/>
                <w:color w:val="auto"/>
              </w:rPr>
            </w:pPr>
            <w:r>
              <w:rPr>
                <w:rFonts w:ascii="Calibri" w:cs="Calibri" w:eastAsia="Calibri" w:hAnsi="Calibri"/>
                <w:sz w:val="14"/>
                <w:szCs w:val="14"/>
                <w:color w:val="auto"/>
              </w:rPr>
              <w:t>-55 %</w:t>
            </w:r>
          </w:p>
        </w:tc>
        <w:tc>
          <w:tcPr>
            <w:tcW w:w="1280" w:type="dxa"/>
            <w:vAlign w:val="bottom"/>
            <w:gridSpan w:val="2"/>
          </w:tcPr>
          <w:p>
            <w:pPr>
              <w:jc w:val="right"/>
              <w:ind w:right="168"/>
              <w:spacing w:after="0" w:line="161" w:lineRule="exact"/>
              <w:rPr>
                <w:sz w:val="20"/>
                <w:szCs w:val="20"/>
                <w:color w:val="auto"/>
              </w:rPr>
            </w:pPr>
            <w:r>
              <w:rPr>
                <w:rFonts w:ascii="Calibri" w:cs="Calibri" w:eastAsia="Calibri" w:hAnsi="Calibri"/>
                <w:sz w:val="14"/>
                <w:szCs w:val="14"/>
                <w:color w:val="auto"/>
              </w:rPr>
              <w:t>9,000</w:t>
            </w:r>
          </w:p>
        </w:tc>
        <w:tc>
          <w:tcPr>
            <w:tcW w:w="1060" w:type="dxa"/>
            <w:vAlign w:val="bottom"/>
          </w:tcPr>
          <w:p>
            <w:pPr>
              <w:jc w:val="right"/>
              <w:ind w:right="48"/>
              <w:spacing w:after="0" w:line="161" w:lineRule="exact"/>
              <w:rPr>
                <w:sz w:val="20"/>
                <w:szCs w:val="20"/>
                <w:color w:val="auto"/>
              </w:rPr>
            </w:pPr>
            <w:r>
              <w:rPr>
                <w:rFonts w:ascii="Calibri" w:cs="Calibri" w:eastAsia="Calibri" w:hAnsi="Calibri"/>
                <w:sz w:val="14"/>
                <w:szCs w:val="14"/>
                <w:color w:val="auto"/>
              </w:rPr>
              <w:t>9,000</w:t>
            </w:r>
          </w:p>
        </w:tc>
        <w:tc>
          <w:tcPr>
            <w:tcW w:w="1000" w:type="dxa"/>
            <w:vAlign w:val="bottom"/>
          </w:tcPr>
          <w:p>
            <w:pPr>
              <w:jc w:val="right"/>
              <w:spacing w:after="0" w:line="161" w:lineRule="exact"/>
              <w:rPr>
                <w:sz w:val="20"/>
                <w:szCs w:val="20"/>
                <w:color w:val="auto"/>
              </w:rPr>
            </w:pPr>
            <w:r>
              <w:rPr>
                <w:rFonts w:ascii="Calibri" w:cs="Calibri" w:eastAsia="Calibri" w:hAnsi="Calibri"/>
                <w:sz w:val="14"/>
                <w:szCs w:val="14"/>
                <w:color w:val="auto"/>
              </w:rPr>
              <w:t>18 %</w:t>
            </w:r>
          </w:p>
        </w:tc>
        <w:tc>
          <w:tcPr>
            <w:tcW w:w="1100" w:type="dxa"/>
            <w:vAlign w:val="bottom"/>
            <w:gridSpan w:val="2"/>
          </w:tcPr>
          <w:p>
            <w:pPr>
              <w:jc w:val="right"/>
              <w:ind w:right="128"/>
              <w:spacing w:after="0" w:line="161" w:lineRule="exact"/>
              <w:rPr>
                <w:sz w:val="20"/>
                <w:szCs w:val="20"/>
                <w:color w:val="auto"/>
              </w:rPr>
            </w:pPr>
            <w:r>
              <w:rPr>
                <w:rFonts w:ascii="Calibri" w:cs="Calibri" w:eastAsia="Calibri" w:hAnsi="Calibri"/>
                <w:sz w:val="14"/>
                <w:szCs w:val="14"/>
                <w:color w:val="auto"/>
              </w:rPr>
              <w:t>7,200</w:t>
            </w:r>
          </w:p>
        </w:tc>
        <w:tc>
          <w:tcPr>
            <w:tcW w:w="920" w:type="dxa"/>
            <w:vAlign w:val="bottom"/>
          </w:tcPr>
          <w:p>
            <w:pPr>
              <w:jc w:val="right"/>
              <w:ind w:right="48"/>
              <w:spacing w:after="0" w:line="161" w:lineRule="exact"/>
              <w:rPr>
                <w:sz w:val="20"/>
                <w:szCs w:val="20"/>
                <w:color w:val="auto"/>
              </w:rPr>
            </w:pPr>
            <w:r>
              <w:rPr>
                <w:rFonts w:ascii="Calibri" w:cs="Calibri" w:eastAsia="Calibri" w:hAnsi="Calibri"/>
                <w:sz w:val="14"/>
                <w:szCs w:val="14"/>
                <w:color w:val="auto"/>
              </w:rPr>
              <w:t>7,200</w:t>
            </w:r>
          </w:p>
        </w:tc>
        <w:tc>
          <w:tcPr>
            <w:tcW w:w="900" w:type="dxa"/>
            <w:vAlign w:val="bottom"/>
          </w:tcPr>
          <w:p>
            <w:pPr>
              <w:jc w:val="right"/>
              <w:spacing w:after="0" w:line="161" w:lineRule="exact"/>
              <w:rPr>
                <w:sz w:val="20"/>
                <w:szCs w:val="20"/>
                <w:color w:val="auto"/>
              </w:rPr>
            </w:pPr>
            <w:r>
              <w:rPr>
                <w:rFonts w:ascii="Calibri" w:cs="Calibri" w:eastAsia="Calibri" w:hAnsi="Calibri"/>
                <w:sz w:val="14"/>
                <w:szCs w:val="14"/>
                <w:color w:val="auto"/>
              </w:rPr>
              <w:t>-20 %</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128"/>
              <w:spacing w:after="0"/>
              <w:rPr>
                <w:sz w:val="20"/>
                <w:szCs w:val="20"/>
                <w:color w:val="auto"/>
              </w:rPr>
            </w:pPr>
            <w:r>
              <w:rPr>
                <w:rFonts w:ascii="Calibri" w:cs="Calibri" w:eastAsia="Calibri" w:hAnsi="Calibri"/>
                <w:sz w:val="14"/>
                <w:szCs w:val="14"/>
                <w:color w:val="auto"/>
              </w:rPr>
              <w:t>698,364</w:t>
            </w:r>
          </w:p>
        </w:tc>
        <w:tc>
          <w:tcPr>
            <w:tcW w:w="980" w:type="dxa"/>
            <w:vAlign w:val="bottom"/>
          </w:tcPr>
          <w:p>
            <w:pPr>
              <w:jc w:val="right"/>
              <w:ind w:right="48"/>
              <w:spacing w:after="0"/>
              <w:rPr>
                <w:sz w:val="20"/>
                <w:szCs w:val="20"/>
                <w:color w:val="auto"/>
              </w:rPr>
            </w:pPr>
            <w:r>
              <w:rPr>
                <w:rFonts w:ascii="Calibri" w:cs="Calibri" w:eastAsia="Calibri" w:hAnsi="Calibri"/>
                <w:sz w:val="14"/>
                <w:szCs w:val="14"/>
                <w:color w:val="auto"/>
              </w:rPr>
              <w:t>698,364</w:t>
            </w:r>
          </w:p>
        </w:tc>
        <w:tc>
          <w:tcPr>
            <w:tcW w:w="840" w:type="dxa"/>
            <w:vAlign w:val="bottom"/>
          </w:tcPr>
          <w:p>
            <w:pPr>
              <w:jc w:val="right"/>
              <w:spacing w:after="0"/>
              <w:rPr>
                <w:sz w:val="20"/>
                <w:szCs w:val="20"/>
                <w:color w:val="auto"/>
              </w:rPr>
            </w:pPr>
            <w:r>
              <w:rPr>
                <w:rFonts w:ascii="Calibri" w:cs="Calibri" w:eastAsia="Calibri" w:hAnsi="Calibri"/>
                <w:sz w:val="14"/>
                <w:szCs w:val="14"/>
                <w:color w:val="auto"/>
              </w:rPr>
              <w:t>0 %</w:t>
            </w:r>
          </w:p>
        </w:tc>
        <w:tc>
          <w:tcPr>
            <w:tcW w:w="1280" w:type="dxa"/>
            <w:vAlign w:val="bottom"/>
            <w:gridSpan w:val="2"/>
          </w:tcPr>
          <w:p>
            <w:pPr>
              <w:jc w:val="right"/>
              <w:ind w:right="168"/>
              <w:spacing w:after="0"/>
              <w:rPr>
                <w:sz w:val="20"/>
                <w:szCs w:val="20"/>
                <w:color w:val="auto"/>
              </w:rPr>
            </w:pPr>
            <w:r>
              <w:rPr>
                <w:rFonts w:ascii="Calibri" w:cs="Calibri" w:eastAsia="Calibri" w:hAnsi="Calibri"/>
                <w:sz w:val="14"/>
                <w:szCs w:val="14"/>
                <w:color w:val="auto"/>
              </w:rPr>
              <w:t>840,150</w:t>
            </w:r>
          </w:p>
        </w:tc>
        <w:tc>
          <w:tcPr>
            <w:tcW w:w="1060" w:type="dxa"/>
            <w:vAlign w:val="bottom"/>
          </w:tcPr>
          <w:p>
            <w:pPr>
              <w:jc w:val="right"/>
              <w:ind w:right="48"/>
              <w:spacing w:after="0"/>
              <w:rPr>
                <w:sz w:val="20"/>
                <w:szCs w:val="20"/>
                <w:color w:val="auto"/>
              </w:rPr>
            </w:pPr>
            <w:r>
              <w:rPr>
                <w:rFonts w:ascii="Calibri" w:cs="Calibri" w:eastAsia="Calibri" w:hAnsi="Calibri"/>
                <w:sz w:val="14"/>
                <w:szCs w:val="14"/>
                <w:color w:val="auto"/>
              </w:rPr>
              <w:t>840,150</w:t>
            </w:r>
          </w:p>
        </w:tc>
        <w:tc>
          <w:tcPr>
            <w:tcW w:w="1000" w:type="dxa"/>
            <w:vAlign w:val="bottom"/>
          </w:tcPr>
          <w:p>
            <w:pPr>
              <w:jc w:val="right"/>
              <w:spacing w:after="0"/>
              <w:rPr>
                <w:sz w:val="20"/>
                <w:szCs w:val="20"/>
                <w:color w:val="auto"/>
              </w:rPr>
            </w:pPr>
            <w:r>
              <w:rPr>
                <w:rFonts w:ascii="Calibri" w:cs="Calibri" w:eastAsia="Calibri" w:hAnsi="Calibri"/>
                <w:sz w:val="14"/>
                <w:szCs w:val="14"/>
                <w:color w:val="auto"/>
              </w:rPr>
              <w:t>20 %</w:t>
            </w:r>
          </w:p>
        </w:tc>
        <w:tc>
          <w:tcPr>
            <w:tcW w:w="1100" w:type="dxa"/>
            <w:vAlign w:val="bottom"/>
            <w:gridSpan w:val="2"/>
          </w:tcPr>
          <w:p>
            <w:pPr>
              <w:jc w:val="right"/>
              <w:ind w:right="128"/>
              <w:spacing w:after="0"/>
              <w:rPr>
                <w:sz w:val="20"/>
                <w:szCs w:val="20"/>
                <w:color w:val="auto"/>
              </w:rPr>
            </w:pPr>
            <w:r>
              <w:rPr>
                <w:rFonts w:ascii="Calibri" w:cs="Calibri" w:eastAsia="Calibri" w:hAnsi="Calibri"/>
                <w:sz w:val="14"/>
                <w:szCs w:val="14"/>
                <w:color w:val="auto"/>
              </w:rPr>
              <w:t>487,368</w:t>
            </w:r>
          </w:p>
        </w:tc>
        <w:tc>
          <w:tcPr>
            <w:tcW w:w="920" w:type="dxa"/>
            <w:vAlign w:val="bottom"/>
          </w:tcPr>
          <w:p>
            <w:pPr>
              <w:jc w:val="right"/>
              <w:ind w:right="48"/>
              <w:spacing w:after="0"/>
              <w:rPr>
                <w:sz w:val="20"/>
                <w:szCs w:val="20"/>
                <w:color w:val="auto"/>
              </w:rPr>
            </w:pPr>
            <w:r>
              <w:rPr>
                <w:rFonts w:ascii="Calibri" w:cs="Calibri" w:eastAsia="Calibri" w:hAnsi="Calibri"/>
                <w:sz w:val="14"/>
                <w:szCs w:val="14"/>
                <w:color w:val="auto"/>
              </w:rPr>
              <w:t>487,368</w:t>
            </w:r>
          </w:p>
        </w:tc>
        <w:tc>
          <w:tcPr>
            <w:tcW w:w="900" w:type="dxa"/>
            <w:vAlign w:val="bottom"/>
          </w:tcPr>
          <w:p>
            <w:pPr>
              <w:jc w:val="right"/>
              <w:spacing w:after="0"/>
              <w:rPr>
                <w:sz w:val="20"/>
                <w:szCs w:val="20"/>
                <w:color w:val="auto"/>
              </w:rPr>
            </w:pPr>
            <w:r>
              <w:rPr>
                <w:rFonts w:ascii="Calibri" w:cs="Calibri" w:eastAsia="Calibri" w:hAnsi="Calibri"/>
                <w:sz w:val="14"/>
                <w:szCs w:val="14"/>
                <w:color w:val="auto"/>
              </w:rPr>
              <w:t>-42 %</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4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Emily Yang</w:t>
            </w:r>
          </w:p>
        </w:tc>
        <w:tc>
          <w:tcPr>
            <w:tcW w:w="720" w:type="dxa"/>
            <w:vAlign w:val="bottom"/>
            <w:shd w:val="clear" w:color="auto" w:fill="CFF0FC"/>
          </w:tcPr>
          <w:p>
            <w:pPr>
              <w:jc w:val="center"/>
              <w:ind w:right="48"/>
              <w:spacing w:after="0"/>
              <w:rPr>
                <w:sz w:val="20"/>
                <w:szCs w:val="20"/>
                <w:color w:val="auto"/>
              </w:rPr>
            </w:pPr>
            <w:r>
              <w:rPr>
                <w:rFonts w:ascii="Calibri" w:cs="Calibri" w:eastAsia="Calibri" w:hAnsi="Calibri"/>
                <w:sz w:val="14"/>
                <w:szCs w:val="14"/>
                <w:color w:val="auto"/>
              </w:rPr>
              <w:t>#</w:t>
            </w:r>
          </w:p>
        </w:tc>
        <w:tc>
          <w:tcPr>
            <w:tcW w:w="100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color w:val="auto"/>
              </w:rPr>
              <w:t>—</w:t>
            </w:r>
          </w:p>
        </w:tc>
        <w:tc>
          <w:tcPr>
            <w:tcW w:w="9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CFF0FC"/>
          </w:tcPr>
          <w:p>
            <w:pPr>
              <w:jc w:val="right"/>
              <w:ind w:right="7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1000" w:type="dxa"/>
            <w:vAlign w:val="bottom"/>
            <w:shd w:val="clear" w:color="auto" w:fill="CFF0FC"/>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gridSpan w:val="2"/>
            <w:shd w:val="clear" w:color="auto" w:fill="CFF0FC"/>
          </w:tcPr>
          <w:p>
            <w:pPr>
              <w:jc w:val="right"/>
              <w:ind w:right="128"/>
              <w:spacing w:after="0"/>
              <w:rPr>
                <w:sz w:val="20"/>
                <w:szCs w:val="20"/>
                <w:color w:val="auto"/>
              </w:rPr>
            </w:pPr>
            <w:r>
              <w:rPr>
                <w:rFonts w:ascii="Calibri" w:cs="Calibri" w:eastAsia="Calibri" w:hAnsi="Calibri"/>
                <w:sz w:val="14"/>
                <w:szCs w:val="14"/>
                <w:color w:val="auto"/>
              </w:rPr>
              <w:t>6,100</w:t>
            </w:r>
          </w:p>
        </w:tc>
        <w:tc>
          <w:tcPr>
            <w:tcW w:w="92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6,100</w:t>
            </w:r>
          </w:p>
        </w:tc>
        <w:tc>
          <w:tcPr>
            <w:tcW w:w="900" w:type="dxa"/>
            <w:vAlign w:val="bottom"/>
            <w:shd w:val="clear" w:color="auto" w:fill="CFF0FC"/>
          </w:tcPr>
          <w:p>
            <w:pPr>
              <w:jc w:val="right"/>
              <w:ind w:right="70"/>
              <w:spacing w:after="0"/>
              <w:rPr>
                <w:sz w:val="20"/>
                <w:szCs w:val="20"/>
                <w:color w:val="auto"/>
              </w:rPr>
            </w:pPr>
            <w:r>
              <w:rPr>
                <w:rFonts w:ascii="Calibri" w:cs="Calibri" w:eastAsia="Calibri" w:hAnsi="Calibri"/>
                <w:sz w:val="14"/>
                <w:szCs w:val="14"/>
                <w:color w:val="auto"/>
              </w:rPr>
              <w:t>N/A</w:t>
            </w:r>
          </w:p>
        </w:tc>
        <w:tc>
          <w:tcPr>
            <w:tcW w:w="0" w:type="dxa"/>
            <w:vAlign w:val="bottom"/>
          </w:tcPr>
          <w:p>
            <w:pPr>
              <w:spacing w:after="0"/>
              <w:rPr>
                <w:sz w:val="1"/>
                <w:szCs w:val="1"/>
                <w:color w:val="auto"/>
              </w:rPr>
            </w:pPr>
          </w:p>
        </w:tc>
      </w:tr>
      <w:tr>
        <w:trPr>
          <w:trHeight w:val="175"/>
        </w:trPr>
        <w:tc>
          <w:tcPr>
            <w:tcW w:w="1440" w:type="dxa"/>
            <w:vAlign w:val="bottom"/>
            <w:tcBorders>
              <w:bottom w:val="single" w:sz="8" w:color="005CA9"/>
            </w:tcBorders>
            <w:shd w:val="clear" w:color="auto" w:fill="CFF0FC"/>
          </w:tcPr>
          <w:p>
            <w:pPr>
              <w:spacing w:after="0"/>
              <w:rPr>
                <w:sz w:val="15"/>
                <w:szCs w:val="15"/>
                <w:color w:val="auto"/>
              </w:rPr>
            </w:pPr>
          </w:p>
        </w:tc>
        <w:tc>
          <w:tcPr>
            <w:tcW w:w="720" w:type="dxa"/>
            <w:vAlign w:val="bottom"/>
            <w:tcBorders>
              <w:bottom w:val="single" w:sz="8" w:color="005CA9"/>
            </w:tcBorders>
            <w:shd w:val="clear" w:color="auto" w:fill="CFF0FC"/>
          </w:tcPr>
          <w:p>
            <w:pPr>
              <w:jc w:val="center"/>
              <w:ind w:right="48"/>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005CA9"/>
            </w:tcBorders>
            <w:shd w:val="clear" w:color="auto" w:fill="CFF0FC"/>
          </w:tcPr>
          <w:p>
            <w:pPr>
              <w:jc w:val="right"/>
              <w:ind w:right="128"/>
              <w:spacing w:after="0"/>
              <w:rPr>
                <w:sz w:val="20"/>
                <w:szCs w:val="20"/>
                <w:color w:val="auto"/>
              </w:rPr>
            </w:pPr>
            <w:r>
              <w:rPr>
                <w:rFonts w:ascii="Calibri" w:cs="Calibri" w:eastAsia="Calibri" w:hAnsi="Calibri"/>
                <w:sz w:val="14"/>
                <w:szCs w:val="14"/>
                <w:color w:val="auto"/>
              </w:rPr>
              <w:t>—</w:t>
            </w:r>
          </w:p>
        </w:tc>
        <w:tc>
          <w:tcPr>
            <w:tcW w:w="980" w:type="dxa"/>
            <w:vAlign w:val="bottom"/>
            <w:tcBorders>
              <w:bottom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840" w:type="dxa"/>
            <w:vAlign w:val="bottom"/>
            <w:tcBorders>
              <w:bottom w:val="single" w:sz="8" w:color="005CA9"/>
            </w:tcBorders>
            <w:shd w:val="clear" w:color="auto" w:fill="CFF0FC"/>
          </w:tcPr>
          <w:p>
            <w:pPr>
              <w:jc w:val="right"/>
              <w:ind w:right="7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005CA9"/>
            </w:tcBorders>
            <w:shd w:val="clear" w:color="auto" w:fill="CFF0FC"/>
          </w:tcPr>
          <w:p>
            <w:pPr>
              <w:spacing w:after="0"/>
              <w:rPr>
                <w:sz w:val="15"/>
                <w:szCs w:val="15"/>
                <w:color w:val="auto"/>
              </w:rPr>
            </w:pPr>
          </w:p>
        </w:tc>
        <w:tc>
          <w:tcPr>
            <w:tcW w:w="1160" w:type="dxa"/>
            <w:vAlign w:val="bottom"/>
            <w:tcBorders>
              <w:bottom w:val="single" w:sz="8" w:color="005CA9"/>
            </w:tcBorders>
            <w:shd w:val="clear" w:color="auto" w:fill="CFF0FC"/>
          </w:tcPr>
          <w:p>
            <w:pPr>
              <w:jc w:val="right"/>
              <w:ind w:right="168"/>
              <w:spacing w:after="0"/>
              <w:rPr>
                <w:sz w:val="20"/>
                <w:szCs w:val="20"/>
                <w:color w:val="auto"/>
              </w:rPr>
            </w:pPr>
            <w:r>
              <w:rPr>
                <w:rFonts w:ascii="Calibri" w:cs="Calibri" w:eastAsia="Calibri" w:hAnsi="Calibri"/>
                <w:sz w:val="14"/>
                <w:szCs w:val="14"/>
                <w:color w:val="auto"/>
              </w:rPr>
              <w:t>—</w:t>
            </w:r>
          </w:p>
        </w:tc>
        <w:tc>
          <w:tcPr>
            <w:tcW w:w="1060" w:type="dxa"/>
            <w:vAlign w:val="bottom"/>
            <w:tcBorders>
              <w:bottom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005CA9"/>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005CA9"/>
            </w:tcBorders>
            <w:gridSpan w:val="2"/>
            <w:shd w:val="clear" w:color="auto" w:fill="CFF0FC"/>
          </w:tcPr>
          <w:p>
            <w:pPr>
              <w:jc w:val="right"/>
              <w:ind w:right="128"/>
              <w:spacing w:after="0"/>
              <w:rPr>
                <w:sz w:val="20"/>
                <w:szCs w:val="20"/>
                <w:color w:val="auto"/>
              </w:rPr>
            </w:pPr>
            <w:r>
              <w:rPr>
                <w:rFonts w:ascii="Calibri" w:cs="Calibri" w:eastAsia="Calibri" w:hAnsi="Calibri"/>
                <w:sz w:val="14"/>
                <w:szCs w:val="14"/>
                <w:color w:val="auto"/>
              </w:rPr>
              <w:t>412,909</w:t>
            </w:r>
          </w:p>
        </w:tc>
        <w:tc>
          <w:tcPr>
            <w:tcW w:w="920" w:type="dxa"/>
            <w:vAlign w:val="bottom"/>
            <w:tcBorders>
              <w:bottom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412,909</w:t>
            </w:r>
          </w:p>
        </w:tc>
        <w:tc>
          <w:tcPr>
            <w:tcW w:w="900" w:type="dxa"/>
            <w:vAlign w:val="bottom"/>
            <w:tcBorders>
              <w:bottom w:val="single" w:sz="8" w:color="005CA9"/>
            </w:tcBorders>
            <w:shd w:val="clear" w:color="auto" w:fill="CFF0FC"/>
          </w:tcPr>
          <w:p>
            <w:pPr>
              <w:jc w:val="right"/>
              <w:ind w:right="70"/>
              <w:spacing w:after="0"/>
              <w:rPr>
                <w:sz w:val="20"/>
                <w:szCs w:val="20"/>
                <w:color w:val="auto"/>
              </w:rPr>
            </w:pPr>
            <w:r>
              <w:rPr>
                <w:rFonts w:ascii="Calibri" w:cs="Calibri" w:eastAsia="Calibri" w:hAnsi="Calibri"/>
                <w:sz w:val="14"/>
                <w:szCs w:val="14"/>
                <w:color w:val="auto"/>
              </w:rPr>
              <w:t>N/A</w:t>
            </w:r>
          </w:p>
        </w:tc>
        <w:tc>
          <w:tcPr>
            <w:tcW w:w="0" w:type="dxa"/>
            <w:vAlign w:val="bottom"/>
          </w:tcPr>
          <w:p>
            <w:pPr>
              <w:spacing w:after="0"/>
              <w:rPr>
                <w:sz w:val="1"/>
                <w:szCs w:val="1"/>
                <w:color w:val="auto"/>
              </w:rPr>
            </w:pPr>
          </w:p>
        </w:tc>
      </w:tr>
    </w:tbl>
    <w:p>
      <w:pPr>
        <w:ind w:right="20" w:firstLine="8"/>
        <w:spacing w:after="0" w:line="232" w:lineRule="auto"/>
        <w:tabs>
          <w:tab w:leader="none" w:pos="196"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Represents the combined number of shares subject to RSUs and PSUs for the given year and the combined grant date values of such RSUs and PSUs, compared to the combined number of shares subject to awards and the combined grant date values of such awards for the prior year.</w:t>
      </w:r>
    </w:p>
    <w:p>
      <w:pPr>
        <w:spacing w:after="0" w:line="6" w:lineRule="exact"/>
        <w:rPr>
          <w:rFonts w:ascii="Calibri" w:cs="Calibri" w:eastAsia="Calibri" w:hAnsi="Calibri"/>
          <w:sz w:val="14"/>
          <w:szCs w:val="14"/>
          <w:color w:val="auto"/>
        </w:rPr>
      </w:pPr>
    </w:p>
    <w:p>
      <w:pPr>
        <w:ind w:right="20" w:firstLine="8"/>
        <w:spacing w:after="0" w:line="245" w:lineRule="auto"/>
        <w:tabs>
          <w:tab w:leader="none" w:pos="194"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In May of 2022, 2023, and 2024, Dr. Lu received 5,000, 6,000, and 6,000 RSUs, respectvely, related to his role as Chairman of the Board. In May 2024 Mr. Yu received 3,000 RSUs related to his role as a Director.</w:t>
      </w:r>
    </w:p>
    <w:p>
      <w:pPr>
        <w:spacing w:after="0" w:line="10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Compensaton Commitee believes that both performance-based and tme-based awards are appropriate equity vehicles for a porton of long-term incentve compensaton for the Company’s executve ofcers because both such awards align executve ofcers’ interests with the interests of stockholders by focusing executve ofcers on long-term Company performance. The value of these awards increases if the Company’s stock price increases, and the value of these awards decreases if the stock price declines. Time-based awards also serve to retain executve ofcers because they provide executve ofcers some economic value (if tme-based vestng requirements are met) regardless of stock price changes. Performance-based awards encourage NEOs to achieve the specifc pre-determined performance objectves selected by the Compensaton Commitee.</w:t>
      </w:r>
    </w:p>
    <w:p>
      <w:pPr>
        <w:spacing w:after="0" w:line="12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Compensaton Commitee’s policy is to grant equity awards annually in recogniton of each executve ofcer's current and potental contributons to the Company. To encourage retenton, stock opton and restricted stock awards are subject to a four-year tme-based vestng requirement in additon to any performance-based vestng requirement.</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In determining equity awards in 2022, 2023, and 2024, the Compensaton Commitee frst reviewed the NEOs’ equity awards in light of the executve compensaton philosophy that the total compensaton (</w:t>
      </w:r>
      <w:r>
        <w:rPr>
          <w:rFonts w:ascii="Calibri" w:cs="Calibri" w:eastAsia="Calibri" w:hAnsi="Calibri"/>
          <w:sz w:val="20"/>
          <w:szCs w:val="20"/>
          <w:i w:val="1"/>
          <w:iCs w:val="1"/>
          <w:color w:val="auto"/>
        </w:rPr>
        <w:t>i.e.</w:t>
      </w:r>
      <w:r>
        <w:rPr>
          <w:rFonts w:ascii="Calibri" w:cs="Calibri" w:eastAsia="Calibri" w:hAnsi="Calibri"/>
          <w:sz w:val="20"/>
          <w:szCs w:val="20"/>
          <w:color w:val="auto"/>
        </w:rPr>
        <w:t>, the aggregate of all cash and equity awards) of the NEOs and all other executve ofcers should be compettve with the total compensaton paid to executve ofcers with comparable dutes paid by similarly sized companies in the semiconductor industry. The number of RSU and PSU awards is adjusted to refect the Company’s stock price at the tme the award is granted. The Compensaton Commitee noted that in 2024, management contended with challenges presented by the slowdown in the semiconductor industry, expanded the Company's focus on ESG, focused on replacement of non-Diodes' products with Diodes' products at SPFAB, and contnued reduce the Company's reliance on its China assembly and test facilites.</w:t>
      </w:r>
    </w:p>
    <w:p>
      <w:pPr>
        <w:spacing w:after="0" w:line="34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41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4" w:name="page45"/>
    <w:bookmarkEnd w:id="44"/>
    <w:p>
      <w:pPr>
        <w:jc w:val="both"/>
        <w:spacing w:after="0" w:line="237" w:lineRule="auto"/>
        <w:rPr>
          <w:sz w:val="20"/>
          <w:szCs w:val="20"/>
          <w:color w:val="auto"/>
        </w:rPr>
      </w:pPr>
      <w:r>
        <w:rPr>
          <w:rFonts w:ascii="Calibri" w:cs="Calibri" w:eastAsia="Calibri" w:hAnsi="Calibri"/>
          <w:sz w:val="20"/>
          <w:szCs w:val="20"/>
          <w:color w:val="auto"/>
        </w:rPr>
        <w:t>The Compensaton Commitee then reviewed each NEO’s personal performance and contributon to the Company. When doing its review, the Compensaton Commitee believes that target compensaton should be compettve with that being ofered to individuals with comparable roles in semiconductor companies with which we compete for talent. This is done to ensure we employ the best people to lead to our success. The Compensaton Commitee reviews the allocaton between cash and non-cash components of the NEO’s compensaton, and the size, term and value of the awards made in prior years. The Compensaton Commitee believes that each NEO made meaningful contributons in each area of his or her responsibilites to the growth and proftability of the Company. The Compensaton Commitee believes that it has appropriately valued the cash awards and equity awards granted in 2022, 2023, and 2024 consistent with the Company’s compensaton objectves and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COMPENSATION REVIEW PROCESS</w:t>
      </w:r>
    </w:p>
    <w:p>
      <w:pPr>
        <w:spacing w:after="0" w:line="4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Our Board of Directors has delegated to the Compensaton Commitee the authority to approve all compensaton and awards to NEOs. When making individual compensaton decisions for NEOs, the Compensaton Commitee takes many factors into account, including the performance of the Company as a whole, the current market conditons, the executve ofcer’s experience, responsibilites, management abilites and job performance, and pay levels for similar positons at comparable companies. The Compensaton Commitee does not assign any partcular formula or weight to the foregoing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-757555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8"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Compensaton Commitee has ultmate authority, including delegated authority over all aspects of NEO compensaton, including the base salary for each NEO and the overall compensaton of the Chief Executve Ofcer.</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auto"/>
        </w:rPr>
        <w:t xml:space="preserve">The Role of the Compensaton Commitee </w:t>
      </w:r>
      <w:r>
        <w:rPr>
          <w:rFonts w:ascii="Calibri" w:cs="Calibri" w:eastAsia="Calibri" w:hAnsi="Calibri"/>
          <w:sz w:val="20"/>
          <w:szCs w:val="20"/>
          <w:color w:val="auto"/>
        </w:rPr>
        <w:t>The Compensaton Commitee determines the compensaton for the executve ofcers,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including the NEOs. The Compensaton Commitee meets in an executve session at the beginning of each fscal year to:</w:t>
      </w:r>
    </w:p>
    <w:p>
      <w:pPr>
        <w:spacing w:after="0" w:line="122"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20"/>
          <w:szCs w:val="20"/>
          <w:color w:val="auto"/>
        </w:rPr>
      </w:pPr>
      <w:r>
        <w:rPr>
          <w:rFonts w:ascii="Calibri" w:cs="Calibri" w:eastAsia="Calibri" w:hAnsi="Calibri"/>
          <w:sz w:val="20"/>
          <w:szCs w:val="20"/>
          <w:color w:val="auto"/>
        </w:rPr>
        <w:t>Evaluate the performance of the NEOs and all other executve ofcers during the prior fscal year;</w:t>
      </w:r>
    </w:p>
    <w:p>
      <w:pPr>
        <w:spacing w:after="0" w:line="12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Determine their fnal annual bonuses, if any, for the prior fscal year;</w:t>
      </w:r>
    </w:p>
    <w:p>
      <w:pPr>
        <w:spacing w:after="0" w:line="130" w:lineRule="exact"/>
        <w:rPr>
          <w:rFonts w:ascii="Times New Roman" w:cs="Times New Roman" w:eastAsia="Times New Roman" w:hAnsi="Times New Roman"/>
          <w:sz w:val="20"/>
          <w:szCs w:val="20"/>
          <w:color w:val="auto"/>
        </w:rPr>
      </w:pPr>
    </w:p>
    <w:p>
      <w:pPr>
        <w:ind w:left="760" w:right="20" w:hanging="378"/>
        <w:spacing w:after="0" w:line="234" w:lineRule="auto"/>
        <w:tabs>
          <w:tab w:leader="none" w:pos="760" w:val="left"/>
        </w:tabs>
        <w:numPr>
          <w:ilvl w:val="0"/>
          <w:numId w:val="27"/>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Determine the threshold, target and maximum bonus opportunity for the current fscal year for each executve ofcer as a percentage of base salary, the performance objectves and the formula for computng the bonus; and</w:t>
      </w:r>
    </w:p>
    <w:p>
      <w:pPr>
        <w:spacing w:after="0" w:line="131" w:lineRule="exact"/>
        <w:rPr>
          <w:rFonts w:ascii="Times New Roman" w:cs="Times New Roman" w:eastAsia="Times New Roman" w:hAnsi="Times New Roman"/>
          <w:sz w:val="20"/>
          <w:szCs w:val="20"/>
          <w:color w:val="auto"/>
        </w:rPr>
      </w:pPr>
    </w:p>
    <w:p>
      <w:pPr>
        <w:ind w:left="760" w:right="20" w:hanging="378"/>
        <w:spacing w:after="0" w:line="234" w:lineRule="auto"/>
        <w:tabs>
          <w:tab w:leader="none" w:pos="760" w:val="left"/>
        </w:tabs>
        <w:numPr>
          <w:ilvl w:val="0"/>
          <w:numId w:val="27"/>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Determine the mix of stock optons, restricted shares and/or restricted stock units to be granted in the current year, the porton of such equity compensaton that will be tme-vested or performance-based, and the performance objectves.</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At the end of each fscal year, the Compensaton Commitee:</w:t>
      </w:r>
    </w:p>
    <w:p>
      <w:pPr>
        <w:spacing w:after="0" w:line="120"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Certfes satsfacton of the performance objectves; and</w:t>
      </w:r>
    </w:p>
    <w:p>
      <w:pPr>
        <w:spacing w:after="0" w:line="12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Determines the annual bonuses, if any, for all executve ofcers for such fscal year.</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Compensaton Commitee may meet from tme to tme during the year to assess the adequacy of the Company’s compensaton for all executve ofcers.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 xml:space="preserve">The Role of Management </w:t>
      </w:r>
      <w:r>
        <w:rPr>
          <w:rFonts w:ascii="Calibri" w:cs="Calibri" w:eastAsia="Calibri" w:hAnsi="Calibri"/>
          <w:sz w:val="20"/>
          <w:szCs w:val="20"/>
          <w:color w:val="auto"/>
        </w:rPr>
        <w:t>The Compensaton Commitee discusses with, and takes into consideraton, the recommendatons of the CEO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concerning the annual evaluaton of the executve ofcers, except for maters related to his own evaluaton and compensaton. The CEO has a role in determining executve compensaton because he evaluates employee performance, recommends performance goals and objectves, and recommends salary levels, bonuses, and incentve awards of the executve ofcers, other than himself.</w:t>
      </w:r>
    </w:p>
    <w:p>
      <w:pPr>
        <w:spacing w:after="0" w:line="120" w:lineRule="exact"/>
        <w:rPr>
          <w:sz w:val="20"/>
          <w:szCs w:val="20"/>
          <w:color w:val="auto"/>
        </w:rPr>
      </w:pPr>
    </w:p>
    <w:p>
      <w:pPr>
        <w:jc w:val="both"/>
        <w:spacing w:after="0" w:line="252" w:lineRule="auto"/>
        <w:rPr>
          <w:sz w:val="20"/>
          <w:szCs w:val="20"/>
          <w:color w:val="auto"/>
        </w:rPr>
      </w:pPr>
      <w:r>
        <w:rPr>
          <w:rFonts w:ascii="Calibri" w:cs="Calibri" w:eastAsia="Calibri" w:hAnsi="Calibri"/>
          <w:sz w:val="18"/>
          <w:szCs w:val="18"/>
          <w:b w:val="1"/>
          <w:bCs w:val="1"/>
          <w:color w:val="auto"/>
        </w:rPr>
        <w:t xml:space="preserve">The Role of the Independent Consultant </w:t>
      </w:r>
      <w:r>
        <w:rPr>
          <w:rFonts w:ascii="Calibri" w:cs="Calibri" w:eastAsia="Calibri" w:hAnsi="Calibri"/>
          <w:sz w:val="19"/>
          <w:szCs w:val="19"/>
          <w:color w:val="auto"/>
        </w:rPr>
        <w:t>To gain a perspectve on external pay levels, emerging practces and regulatory changes, our</w:t>
      </w:r>
      <w:r>
        <w:rPr>
          <w:rFonts w:ascii="Calibri" w:cs="Calibri" w:eastAsia="Calibri" w:hAnsi="Calibri"/>
          <w:sz w:val="18"/>
          <w:szCs w:val="18"/>
          <w:b w:val="1"/>
          <w:bCs w:val="1"/>
          <w:color w:val="auto"/>
        </w:rPr>
        <w:t xml:space="preserve"> </w:t>
      </w:r>
      <w:r>
        <w:rPr>
          <w:rFonts w:ascii="Calibri" w:cs="Calibri" w:eastAsia="Calibri" w:hAnsi="Calibri"/>
          <w:sz w:val="19"/>
          <w:szCs w:val="19"/>
          <w:color w:val="auto"/>
        </w:rPr>
        <w:t>Compensaton Commitee from tme to tme engages outside executve compensaton consultants that are independent under the SEC and NASDAQ Stock Market rules to provide benchmark and survey informaton and advise the Compensaton Commitee as it conducts its review of our executve compensaton programs. The Compensaton Commitee retained CP in January 2020 and in September 2022. CP advised the Compensaton Commitee as to the compositon of our 2020 and 2022 Peer Groups and compared our 2020 and 2023 projected executve target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42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5" w:name="page46"/>
    <w:bookmarkEnd w:id="45"/>
    <w:p>
      <w:pPr>
        <w:jc w:val="both"/>
        <w:spacing w:after="0" w:line="236" w:lineRule="auto"/>
        <w:rPr>
          <w:sz w:val="20"/>
          <w:szCs w:val="20"/>
          <w:color w:val="auto"/>
        </w:rPr>
      </w:pPr>
      <w:r>
        <w:rPr>
          <w:rFonts w:ascii="Calibri" w:cs="Calibri" w:eastAsia="Calibri" w:hAnsi="Calibri"/>
          <w:sz w:val="20"/>
          <w:szCs w:val="20"/>
          <w:color w:val="auto"/>
        </w:rPr>
        <w:t>compensaton to the respectve Peer Group. CP each was selected by and reported directly to the Compensaton Commitee. The individuals at CP who provided the compensaton consultng services to the Compensaton Commitee have provided no other services to the Company or its subsidiaries.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Compensaton Commitee’s reason for updatng the benchmarking/survey informaton at least every three years as opposed to every year is that the Compensaton Commitee does not believe that the executve compensaton benchmark or the comparable companies are likely to have signifcant changes over just a one or two year period.</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In accordance with its charter, the Compensaton Commitee analyzed whether the work of CP as a compensaton consultant has raised any confict of interest, taking into consideraton the following factors: (i) the provision of other services to the Company by CP; (ii) the amount of fees from the Company paid to CP as a percentage of the frm’s total revenue; (iii) CP’s policies and procedures that are designed to prevent conficts of interest; (iv) any business or personal relatonship of CP or the individual compensaton advisors employed by the frm with an executve ofcer of the Company; (v) any business or personal relatonship of the individual compensaton advisors with any member of the Compensaton Commitee; and (vi) any stock of the Company owned by CP or the individual compensaton advisors employed by the frm. The Compensaton Commitee has determined based on its analysis of the above factors, that the work of CP and the individual compensaton advisors employed by CP as compensaton consultants to the Company has not created a confict of interest.</w:t>
      </w:r>
    </w:p>
    <w:p>
      <w:pPr>
        <w:spacing w:after="0" w:line="342"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auto"/>
        </w:rPr>
        <w:t xml:space="preserve">Selecton of Peer Group </w:t>
      </w:r>
      <w:r>
        <w:rPr>
          <w:rFonts w:ascii="Calibri" w:cs="Calibri" w:eastAsia="Calibri" w:hAnsi="Calibri"/>
          <w:sz w:val="20"/>
          <w:szCs w:val="20"/>
          <w:color w:val="auto"/>
        </w:rPr>
        <w:t>The Compensaton Commitee reviews data concerning the pay practces among semiconductor companies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similar size to the Company.</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Based on the review undertaken in 2022 by CP, the Company’s peer group currently consists of the following companies (the “2022 Peer Group”):</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4240" w:type="dxa"/>
            <w:vAlign w:val="bottom"/>
          </w:tcPr>
          <w:p>
            <w:pPr>
              <w:spacing w:after="0"/>
              <w:rPr>
                <w:sz w:val="3"/>
                <w:szCs w:val="3"/>
                <w:color w:val="auto"/>
              </w:rPr>
            </w:pPr>
          </w:p>
        </w:tc>
        <w:tc>
          <w:tcPr>
            <w:tcW w:w="7000" w:type="dxa"/>
            <w:vAlign w:val="bottom"/>
            <w:vMerge w:val="restart"/>
          </w:tcPr>
          <w:p>
            <w:pPr>
              <w:ind w:left="800"/>
              <w:spacing w:after="0"/>
              <w:rPr>
                <w:sz w:val="20"/>
                <w:szCs w:val="20"/>
                <w:color w:val="auto"/>
              </w:rPr>
            </w:pPr>
            <w:r>
              <w:rPr>
                <w:rFonts w:ascii="Calibri" w:cs="Calibri" w:eastAsia="Calibri" w:hAnsi="Calibri"/>
                <w:sz w:val="20"/>
                <w:szCs w:val="20"/>
                <w:b w:val="1"/>
                <w:bCs w:val="1"/>
                <w:color w:val="auto"/>
              </w:rPr>
              <w:t xml:space="preserve">Peer Group </w:t>
            </w:r>
            <w:r>
              <w:rPr>
                <w:rFonts w:ascii="Calibri" w:cs="Calibri" w:eastAsia="Calibri" w:hAnsi="Calibri"/>
                <w:sz w:val="26"/>
                <w:szCs w:val="26"/>
                <w:b w:val="1"/>
                <w:bCs w:val="1"/>
                <w:color w:val="auto"/>
                <w:vertAlign w:val="superscript"/>
              </w:rPr>
              <w:t>(1)</w:t>
            </w:r>
          </w:p>
        </w:tc>
        <w:tc>
          <w:tcPr>
            <w:tcW w:w="0" w:type="dxa"/>
            <w:vAlign w:val="bottom"/>
          </w:tcPr>
          <w:p>
            <w:pPr>
              <w:spacing w:after="0"/>
              <w:rPr>
                <w:sz w:val="1"/>
                <w:szCs w:val="1"/>
                <w:color w:val="auto"/>
              </w:rPr>
            </w:pPr>
          </w:p>
        </w:tc>
      </w:tr>
      <w:tr>
        <w:trPr>
          <w:trHeight w:val="295"/>
        </w:trPr>
        <w:tc>
          <w:tcPr>
            <w:tcW w:w="4240" w:type="dxa"/>
            <w:vAlign w:val="bottom"/>
            <w:tcBorders>
              <w:bottom w:val="single" w:sz="8" w:color="005CA9"/>
            </w:tcBorders>
          </w:tcPr>
          <w:p>
            <w:pPr>
              <w:spacing w:after="0"/>
              <w:rPr>
                <w:sz w:val="24"/>
                <w:szCs w:val="24"/>
                <w:color w:val="auto"/>
              </w:rPr>
            </w:pPr>
          </w:p>
        </w:tc>
        <w:tc>
          <w:tcPr>
            <w:tcW w:w="7000" w:type="dxa"/>
            <w:vAlign w:val="bottom"/>
            <w:tcBorders>
              <w:bottom w:val="single" w:sz="8" w:color="005CA9"/>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Alpha and Omega Semiconductor Limited</w:t>
            </w:r>
          </w:p>
        </w:tc>
        <w:tc>
          <w:tcPr>
            <w:tcW w:w="7000" w:type="dxa"/>
            <w:vAlign w:val="bottom"/>
            <w:shd w:val="clear" w:color="auto" w:fill="CFF0FC"/>
          </w:tcPr>
          <w:p>
            <w:pPr>
              <w:ind w:left="1220"/>
              <w:spacing w:after="0" w:line="234" w:lineRule="exact"/>
              <w:rPr>
                <w:sz w:val="20"/>
                <w:szCs w:val="20"/>
                <w:color w:val="auto"/>
              </w:rPr>
            </w:pPr>
            <w:r>
              <w:rPr>
                <w:rFonts w:ascii="Calibri" w:cs="Calibri" w:eastAsia="Calibri" w:hAnsi="Calibri"/>
                <w:sz w:val="20"/>
                <w:szCs w:val="20"/>
                <w:color w:val="auto"/>
              </w:rPr>
              <w:t>Monolithic Power Systems, Inc.</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line="234" w:lineRule="exact"/>
              <w:rPr>
                <w:sz w:val="20"/>
                <w:szCs w:val="20"/>
                <w:color w:val="auto"/>
              </w:rPr>
            </w:pPr>
            <w:r>
              <w:rPr>
                <w:rFonts w:ascii="Calibri" w:cs="Calibri" w:eastAsia="Calibri" w:hAnsi="Calibri"/>
                <w:sz w:val="20"/>
                <w:szCs w:val="20"/>
                <w:color w:val="auto"/>
              </w:rPr>
              <w:t>Cirrus Logic, Inc.</w:t>
            </w:r>
          </w:p>
        </w:tc>
        <w:tc>
          <w:tcPr>
            <w:tcW w:w="7000" w:type="dxa"/>
            <w:vAlign w:val="bottom"/>
          </w:tcPr>
          <w:p>
            <w:pPr>
              <w:ind w:left="1220"/>
              <w:spacing w:after="0" w:line="234" w:lineRule="exact"/>
              <w:rPr>
                <w:sz w:val="20"/>
                <w:szCs w:val="20"/>
                <w:color w:val="auto"/>
              </w:rPr>
            </w:pPr>
            <w:r>
              <w:rPr>
                <w:rFonts w:ascii="Calibri" w:cs="Calibri" w:eastAsia="Calibri" w:hAnsi="Calibri"/>
                <w:sz w:val="20"/>
                <w:szCs w:val="20"/>
                <w:color w:val="auto"/>
              </w:rPr>
              <w:t>Qorvo, Inc.</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line="239" w:lineRule="exact"/>
              <w:rPr>
                <w:sz w:val="20"/>
                <w:szCs w:val="20"/>
                <w:color w:val="auto"/>
              </w:rPr>
            </w:pPr>
            <w:r>
              <w:rPr>
                <w:rFonts w:ascii="Calibri" w:cs="Calibri" w:eastAsia="Calibri" w:hAnsi="Calibri"/>
                <w:sz w:val="20"/>
                <w:szCs w:val="20"/>
                <w:color w:val="auto"/>
              </w:rPr>
              <w:t>Coherent</w:t>
            </w:r>
          </w:p>
        </w:tc>
        <w:tc>
          <w:tcPr>
            <w:tcW w:w="7000" w:type="dxa"/>
            <w:vAlign w:val="bottom"/>
            <w:shd w:val="clear" w:color="auto" w:fill="CFF0FC"/>
          </w:tcPr>
          <w:p>
            <w:pPr>
              <w:ind w:left="1220"/>
              <w:spacing w:after="0" w:line="239" w:lineRule="exact"/>
              <w:rPr>
                <w:sz w:val="20"/>
                <w:szCs w:val="20"/>
                <w:color w:val="auto"/>
              </w:rPr>
            </w:pPr>
            <w:r>
              <w:rPr>
                <w:rFonts w:ascii="Calibri" w:cs="Calibri" w:eastAsia="Calibri" w:hAnsi="Calibri"/>
                <w:sz w:val="20"/>
                <w:szCs w:val="20"/>
                <w:color w:val="auto"/>
              </w:rPr>
              <w:t>Semtech Corporaton</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line="234" w:lineRule="exact"/>
              <w:rPr>
                <w:sz w:val="20"/>
                <w:szCs w:val="20"/>
                <w:color w:val="auto"/>
              </w:rPr>
            </w:pPr>
            <w:r>
              <w:rPr>
                <w:rFonts w:ascii="Calibri" w:cs="Calibri" w:eastAsia="Calibri" w:hAnsi="Calibri"/>
                <w:sz w:val="20"/>
                <w:szCs w:val="20"/>
                <w:color w:val="auto"/>
              </w:rPr>
              <w:t>Infnera Corporaton</w:t>
            </w:r>
          </w:p>
        </w:tc>
        <w:tc>
          <w:tcPr>
            <w:tcW w:w="7000" w:type="dxa"/>
            <w:vAlign w:val="bottom"/>
          </w:tcPr>
          <w:p>
            <w:pPr>
              <w:ind w:left="1220"/>
              <w:spacing w:after="0" w:line="234" w:lineRule="exact"/>
              <w:rPr>
                <w:sz w:val="20"/>
                <w:szCs w:val="20"/>
                <w:color w:val="auto"/>
              </w:rPr>
            </w:pPr>
            <w:r>
              <w:rPr>
                <w:rFonts w:ascii="Calibri" w:cs="Calibri" w:eastAsia="Calibri" w:hAnsi="Calibri"/>
                <w:sz w:val="20"/>
                <w:szCs w:val="20"/>
                <w:color w:val="auto"/>
              </w:rPr>
              <w:t>Silicon Laboratories Inc.</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line="239" w:lineRule="exact"/>
              <w:rPr>
                <w:sz w:val="20"/>
                <w:szCs w:val="20"/>
                <w:color w:val="auto"/>
              </w:rPr>
            </w:pPr>
            <w:r>
              <w:rPr>
                <w:rFonts w:ascii="Calibri" w:cs="Calibri" w:eastAsia="Calibri" w:hAnsi="Calibri"/>
                <w:sz w:val="20"/>
                <w:szCs w:val="20"/>
                <w:color w:val="auto"/>
              </w:rPr>
              <w:t>Litelfuse, Inc.</w:t>
            </w:r>
          </w:p>
        </w:tc>
        <w:tc>
          <w:tcPr>
            <w:tcW w:w="7000" w:type="dxa"/>
            <w:vAlign w:val="bottom"/>
            <w:shd w:val="clear" w:color="auto" w:fill="CFF0FC"/>
          </w:tcPr>
          <w:p>
            <w:pPr>
              <w:ind w:left="1220"/>
              <w:spacing w:after="0" w:line="239" w:lineRule="exact"/>
              <w:rPr>
                <w:sz w:val="20"/>
                <w:szCs w:val="20"/>
                <w:color w:val="auto"/>
              </w:rPr>
            </w:pPr>
            <w:r>
              <w:rPr>
                <w:rFonts w:ascii="Calibri" w:cs="Calibri" w:eastAsia="Calibri" w:hAnsi="Calibri"/>
                <w:sz w:val="20"/>
                <w:szCs w:val="20"/>
                <w:color w:val="auto"/>
              </w:rPr>
              <w:t>Skyworks Solutons, Inc.</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line="234" w:lineRule="exact"/>
              <w:rPr>
                <w:sz w:val="20"/>
                <w:szCs w:val="20"/>
                <w:color w:val="auto"/>
              </w:rPr>
            </w:pPr>
            <w:r>
              <w:rPr>
                <w:rFonts w:ascii="Calibri" w:cs="Calibri" w:eastAsia="Calibri" w:hAnsi="Calibri"/>
                <w:sz w:val="20"/>
                <w:szCs w:val="20"/>
                <w:color w:val="auto"/>
              </w:rPr>
              <w:t>Marvell Technology Incorporated</w:t>
            </w:r>
          </w:p>
        </w:tc>
        <w:tc>
          <w:tcPr>
            <w:tcW w:w="7000" w:type="dxa"/>
            <w:vAlign w:val="bottom"/>
          </w:tcPr>
          <w:p>
            <w:pPr>
              <w:ind w:left="1220"/>
              <w:spacing w:after="0" w:line="234" w:lineRule="exact"/>
              <w:rPr>
                <w:sz w:val="20"/>
                <w:szCs w:val="20"/>
                <w:color w:val="auto"/>
              </w:rPr>
            </w:pPr>
            <w:r>
              <w:rPr>
                <w:rFonts w:ascii="Calibri" w:cs="Calibri" w:eastAsia="Calibri" w:hAnsi="Calibri"/>
                <w:sz w:val="20"/>
                <w:szCs w:val="20"/>
                <w:color w:val="auto"/>
              </w:rPr>
              <w:t>Synaptcs Incorporated</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line="239" w:lineRule="exact"/>
              <w:rPr>
                <w:sz w:val="20"/>
                <w:szCs w:val="20"/>
                <w:color w:val="auto"/>
              </w:rPr>
            </w:pPr>
            <w:r>
              <w:rPr>
                <w:rFonts w:ascii="Calibri" w:cs="Calibri" w:eastAsia="Calibri" w:hAnsi="Calibri"/>
                <w:sz w:val="20"/>
                <w:szCs w:val="20"/>
                <w:color w:val="auto"/>
              </w:rPr>
              <w:t>Maxlinear</w:t>
            </w:r>
          </w:p>
        </w:tc>
        <w:tc>
          <w:tcPr>
            <w:tcW w:w="7000" w:type="dxa"/>
            <w:vAlign w:val="bottom"/>
            <w:shd w:val="clear" w:color="auto" w:fill="CFF0FC"/>
          </w:tcPr>
          <w:p>
            <w:pPr>
              <w:ind w:left="1220"/>
              <w:spacing w:after="0" w:line="239" w:lineRule="exact"/>
              <w:rPr>
                <w:sz w:val="20"/>
                <w:szCs w:val="20"/>
                <w:color w:val="auto"/>
              </w:rPr>
            </w:pPr>
            <w:r>
              <w:rPr>
                <w:rFonts w:ascii="Calibri" w:cs="Calibri" w:eastAsia="Calibri" w:hAnsi="Calibri"/>
                <w:sz w:val="20"/>
                <w:szCs w:val="20"/>
                <w:color w:val="auto"/>
              </w:rPr>
              <w:t>Vishay Intertechnology, Inc.</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line="234" w:lineRule="exact"/>
              <w:rPr>
                <w:sz w:val="20"/>
                <w:szCs w:val="20"/>
                <w:color w:val="auto"/>
              </w:rPr>
            </w:pPr>
            <w:r>
              <w:rPr>
                <w:rFonts w:ascii="Calibri" w:cs="Calibri" w:eastAsia="Calibri" w:hAnsi="Calibri"/>
                <w:sz w:val="20"/>
                <w:szCs w:val="20"/>
                <w:color w:val="auto"/>
              </w:rPr>
              <w:t>Microchip Technology Incorporated</w:t>
            </w:r>
          </w:p>
        </w:tc>
        <w:tc>
          <w:tcPr>
            <w:tcW w:w="7000" w:type="dxa"/>
            <w:vAlign w:val="bottom"/>
          </w:tcPr>
          <w:p>
            <w:pPr>
              <w:ind w:left="1220"/>
              <w:spacing w:after="0" w:line="234" w:lineRule="exact"/>
              <w:rPr>
                <w:sz w:val="20"/>
                <w:szCs w:val="20"/>
                <w:color w:val="auto"/>
              </w:rPr>
            </w:pPr>
            <w:r>
              <w:rPr>
                <w:rFonts w:ascii="Calibri" w:cs="Calibri" w:eastAsia="Calibri" w:hAnsi="Calibri"/>
                <w:sz w:val="20"/>
                <w:szCs w:val="20"/>
                <w:color w:val="auto"/>
              </w:rPr>
              <w:t>Wolfspeed, Inc.</w:t>
            </w:r>
          </w:p>
        </w:tc>
        <w:tc>
          <w:tcPr>
            <w:tcW w:w="0" w:type="dxa"/>
            <w:vAlign w:val="bottom"/>
          </w:tcPr>
          <w:p>
            <w:pPr>
              <w:spacing w:after="0"/>
              <w:rPr>
                <w:sz w:val="1"/>
                <w:szCs w:val="1"/>
                <w:color w:val="auto"/>
              </w:rPr>
            </w:pPr>
          </w:p>
        </w:tc>
      </w:tr>
      <w:tr>
        <w:trPr>
          <w:trHeight w:val="254"/>
        </w:trPr>
        <w:tc>
          <w:tcPr>
            <w:tcW w:w="4240" w:type="dxa"/>
            <w:vAlign w:val="bottom"/>
            <w:tcBorders>
              <w:bottom w:val="single" w:sz="8" w:color="005CA9"/>
            </w:tcBorders>
            <w:shd w:val="clear" w:color="auto" w:fill="CFF0FC"/>
          </w:tcPr>
          <w:p>
            <w:pPr>
              <w:ind w:left="20"/>
              <w:spacing w:after="0" w:line="239" w:lineRule="exact"/>
              <w:rPr>
                <w:sz w:val="20"/>
                <w:szCs w:val="20"/>
                <w:color w:val="auto"/>
              </w:rPr>
            </w:pPr>
            <w:r>
              <w:rPr>
                <w:rFonts w:ascii="Calibri" w:cs="Calibri" w:eastAsia="Calibri" w:hAnsi="Calibri"/>
                <w:sz w:val="20"/>
                <w:szCs w:val="20"/>
                <w:color w:val="auto"/>
              </w:rPr>
              <w:t>MKS Instruments</w:t>
            </w:r>
          </w:p>
        </w:tc>
        <w:tc>
          <w:tcPr>
            <w:tcW w:w="7000" w:type="dxa"/>
            <w:vAlign w:val="bottom"/>
            <w:tcBorders>
              <w:bottom w:val="single" w:sz="8" w:color="005CA9"/>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140" w:firstLine="8"/>
        <w:spacing w:after="0" w:line="243" w:lineRule="auto"/>
        <w:tabs>
          <w:tab w:leader="none" w:pos="193"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For the 2022 Peer Group, the median revenue as reported in the most recently available Annual Report on Form 10-K fled with the SEC was $2.2 billion. For the year-ended December 31, 2024, the Company's revenue was $1.3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43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6" w:name="page47"/>
    <w:bookmarkEnd w:id="46"/>
    <w:p>
      <w:pPr>
        <w:spacing w:after="0"/>
        <w:rPr>
          <w:sz w:val="20"/>
          <w:szCs w:val="20"/>
          <w:color w:val="auto"/>
        </w:rPr>
      </w:pPr>
      <w:r>
        <w:rPr>
          <w:rFonts w:ascii="Calibri" w:cs="Calibri" w:eastAsia="Calibri" w:hAnsi="Calibri"/>
          <w:sz w:val="25"/>
          <w:szCs w:val="25"/>
          <w:b w:val="1"/>
          <w:bCs w:val="1"/>
          <w:color w:val="005CA9"/>
        </w:rPr>
        <w:t>ADDITIONAL BENEFITS AND PERQUISITES</w:t>
      </w:r>
    </w:p>
    <w:p>
      <w:pPr>
        <w:spacing w:after="0" w:line="3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Executve ofcers are enttled to reimbursement for all reasonable and documented business expenses and paid tme of in accordance with the Company’s policies (which are also applicable to all employees). Certain executve ofcers are also provided additonal executve benefts and perquisites. For fscal 2024, the Company provided the following benefts and perquisites to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20" w:type="dxa"/>
            <w:vAlign w:val="bottom"/>
          </w:tcPr>
          <w:p>
            <w:pPr>
              <w:ind w:left="120"/>
              <w:spacing w:after="0"/>
              <w:rPr>
                <w:sz w:val="20"/>
                <w:szCs w:val="20"/>
                <w:color w:val="auto"/>
              </w:rPr>
            </w:pPr>
            <w:r>
              <w:rPr>
                <w:rFonts w:ascii="Calibri" w:cs="Calibri" w:eastAsia="Calibri" w:hAnsi="Calibri"/>
                <w:sz w:val="20"/>
                <w:szCs w:val="20"/>
                <w:b w:val="1"/>
                <w:bCs w:val="1"/>
                <w:color w:val="auto"/>
              </w:rPr>
              <w:t>Beneft</w:t>
            </w:r>
          </w:p>
        </w:tc>
        <w:tc>
          <w:tcPr>
            <w:tcW w:w="8020" w:type="dxa"/>
            <w:vAlign w:val="bottom"/>
          </w:tcPr>
          <w:p>
            <w:pPr>
              <w:ind w:left="340"/>
              <w:spacing w:after="0"/>
              <w:rPr>
                <w:sz w:val="20"/>
                <w:szCs w:val="20"/>
                <w:color w:val="auto"/>
              </w:rPr>
            </w:pPr>
            <w:r>
              <w:rPr>
                <w:rFonts w:ascii="Calibri" w:cs="Calibri" w:eastAsia="Calibri" w:hAnsi="Calibri"/>
                <w:sz w:val="20"/>
                <w:szCs w:val="20"/>
                <w:b w:val="1"/>
                <w:bCs w:val="1"/>
                <w:color w:val="auto"/>
              </w:rPr>
              <w:t>Descripton</w:t>
            </w:r>
          </w:p>
        </w:tc>
      </w:tr>
      <w:tr>
        <w:trPr>
          <w:trHeight w:val="67"/>
        </w:trPr>
        <w:tc>
          <w:tcPr>
            <w:tcW w:w="3220" w:type="dxa"/>
            <w:vAlign w:val="bottom"/>
            <w:tcBorders>
              <w:bottom w:val="single" w:sz="8" w:color="005CA9"/>
            </w:tcBorders>
          </w:tcPr>
          <w:p>
            <w:pPr>
              <w:spacing w:after="0"/>
              <w:rPr>
                <w:sz w:val="5"/>
                <w:szCs w:val="5"/>
                <w:color w:val="auto"/>
              </w:rPr>
            </w:pPr>
          </w:p>
        </w:tc>
        <w:tc>
          <w:tcPr>
            <w:tcW w:w="8020" w:type="dxa"/>
            <w:vAlign w:val="bottom"/>
            <w:tcBorders>
              <w:bottom w:val="single" w:sz="8" w:color="005CA9"/>
            </w:tcBorders>
          </w:tcPr>
          <w:p>
            <w:pPr>
              <w:spacing w:after="0"/>
              <w:rPr>
                <w:sz w:val="5"/>
                <w:szCs w:val="5"/>
                <w:color w:val="auto"/>
              </w:rPr>
            </w:pPr>
          </w:p>
        </w:tc>
      </w:tr>
      <w:tr>
        <w:trPr>
          <w:trHeight w:val="234"/>
        </w:trPr>
        <w:tc>
          <w:tcPr>
            <w:tcW w:w="3220" w:type="dxa"/>
            <w:vAlign w:val="bottom"/>
            <w:shd w:val="clear" w:color="auto" w:fill="CFF0FC"/>
          </w:tcPr>
          <w:p>
            <w:pPr>
              <w:ind w:left="120"/>
              <w:spacing w:after="0" w:line="233" w:lineRule="exact"/>
              <w:rPr>
                <w:sz w:val="20"/>
                <w:szCs w:val="20"/>
                <w:color w:val="auto"/>
              </w:rPr>
            </w:pPr>
            <w:r>
              <w:rPr>
                <w:rFonts w:ascii="Calibri" w:cs="Calibri" w:eastAsia="Calibri" w:hAnsi="Calibri"/>
                <w:sz w:val="20"/>
                <w:szCs w:val="20"/>
                <w:b w:val="1"/>
                <w:bCs w:val="1"/>
                <w:color w:val="auto"/>
              </w:rPr>
              <w:t>Automobile Allowance</w:t>
            </w:r>
          </w:p>
        </w:tc>
        <w:tc>
          <w:tcPr>
            <w:tcW w:w="8020" w:type="dxa"/>
            <w:vAlign w:val="bottom"/>
            <w:shd w:val="clear" w:color="auto" w:fill="CFF0FC"/>
          </w:tcPr>
          <w:p>
            <w:pPr>
              <w:ind w:left="160"/>
              <w:spacing w:after="0" w:line="233" w:lineRule="exact"/>
              <w:rPr>
                <w:sz w:val="20"/>
                <w:szCs w:val="20"/>
                <w:color w:val="auto"/>
              </w:rPr>
            </w:pPr>
            <w:r>
              <w:rPr>
                <w:rFonts w:ascii="Calibri" w:cs="Calibri" w:eastAsia="Calibri" w:hAnsi="Calibri"/>
                <w:sz w:val="20"/>
                <w:szCs w:val="20"/>
                <w:color w:val="auto"/>
              </w:rPr>
              <w:t>$1,300 per month for Chairman and Chief Executve Ofcer</w:t>
            </w:r>
          </w:p>
        </w:tc>
      </w:tr>
      <w:tr>
        <w:trPr>
          <w:trHeight w:val="256"/>
        </w:trPr>
        <w:tc>
          <w:tcPr>
            <w:tcW w:w="3220" w:type="dxa"/>
            <w:vAlign w:val="bottom"/>
            <w:shd w:val="clear" w:color="auto" w:fill="CFF0FC"/>
          </w:tcPr>
          <w:p>
            <w:pPr>
              <w:spacing w:after="0"/>
              <w:rPr>
                <w:sz w:val="22"/>
                <w:szCs w:val="22"/>
                <w:color w:val="auto"/>
              </w:rPr>
            </w:pPr>
          </w:p>
        </w:tc>
        <w:tc>
          <w:tcPr>
            <w:tcW w:w="802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$1,000 per month for certain NEOs</w:t>
            </w:r>
          </w:p>
        </w:tc>
      </w:tr>
      <w:tr>
        <w:trPr>
          <w:trHeight w:val="259"/>
        </w:trPr>
        <w:tc>
          <w:tcPr>
            <w:tcW w:w="3220" w:type="dxa"/>
            <w:vAlign w:val="bottom"/>
            <w:tcBorders>
              <w:bottom w:val="single" w:sz="8" w:color="CFF0FC"/>
            </w:tcBorders>
            <w:shd w:val="clear" w:color="auto" w:fill="CFF0FC"/>
          </w:tcPr>
          <w:p>
            <w:pPr>
              <w:spacing w:after="0"/>
              <w:rPr>
                <w:sz w:val="22"/>
                <w:szCs w:val="22"/>
                <w:color w:val="auto"/>
              </w:rPr>
            </w:pPr>
          </w:p>
        </w:tc>
        <w:tc>
          <w:tcPr>
            <w:tcW w:w="802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$600 per month for the Senior Vice President of Worldwide Sales</w:t>
            </w:r>
          </w:p>
        </w:tc>
      </w:tr>
      <w:tr>
        <w:trPr>
          <w:trHeight w:val="256"/>
        </w:trPr>
        <w:tc>
          <w:tcPr>
            <w:tcW w:w="3220" w:type="dxa"/>
            <w:vAlign w:val="bottom"/>
          </w:tcPr>
          <w:p>
            <w:pPr>
              <w:ind w:left="120"/>
              <w:spacing w:after="0" w:line="234" w:lineRule="exact"/>
              <w:rPr>
                <w:sz w:val="20"/>
                <w:szCs w:val="20"/>
                <w:color w:val="auto"/>
              </w:rPr>
            </w:pPr>
            <w:r>
              <w:rPr>
                <w:rFonts w:ascii="Calibri" w:cs="Calibri" w:eastAsia="Calibri" w:hAnsi="Calibri"/>
                <w:sz w:val="20"/>
                <w:szCs w:val="20"/>
                <w:b w:val="1"/>
                <w:bCs w:val="1"/>
                <w:color w:val="auto"/>
              </w:rPr>
              <w:t>Health Insurance</w:t>
            </w:r>
          </w:p>
        </w:tc>
        <w:tc>
          <w:tcPr>
            <w:tcW w:w="8020" w:type="dxa"/>
            <w:vAlign w:val="bottom"/>
          </w:tcPr>
          <w:p>
            <w:pPr>
              <w:ind w:left="160"/>
              <w:spacing w:after="0" w:line="234" w:lineRule="exact"/>
              <w:rPr>
                <w:sz w:val="20"/>
                <w:szCs w:val="20"/>
                <w:color w:val="auto"/>
              </w:rPr>
            </w:pPr>
            <w:r>
              <w:rPr>
                <w:rFonts w:ascii="Calibri" w:cs="Calibri" w:eastAsia="Calibri" w:hAnsi="Calibri"/>
                <w:sz w:val="20"/>
                <w:szCs w:val="20"/>
                <w:color w:val="auto"/>
              </w:rPr>
              <w:t>Corporate group insurance</w:t>
            </w:r>
          </w:p>
        </w:tc>
      </w:tr>
      <w:tr>
        <w:trPr>
          <w:trHeight w:val="257"/>
        </w:trPr>
        <w:tc>
          <w:tcPr>
            <w:tcW w:w="322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b w:val="1"/>
                <w:bCs w:val="1"/>
                <w:color w:val="auto"/>
              </w:rPr>
              <w:t>Dental Insurance</w:t>
            </w:r>
          </w:p>
        </w:tc>
        <w:tc>
          <w:tcPr>
            <w:tcW w:w="802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Corporate group insurance</w:t>
            </w:r>
          </w:p>
        </w:tc>
      </w:tr>
      <w:tr>
        <w:trPr>
          <w:trHeight w:val="257"/>
        </w:trPr>
        <w:tc>
          <w:tcPr>
            <w:tcW w:w="3220" w:type="dxa"/>
            <w:vAlign w:val="bottom"/>
          </w:tcPr>
          <w:p>
            <w:pPr>
              <w:ind w:left="120"/>
              <w:spacing w:after="0" w:line="234" w:lineRule="exact"/>
              <w:rPr>
                <w:sz w:val="20"/>
                <w:szCs w:val="20"/>
                <w:color w:val="auto"/>
              </w:rPr>
            </w:pPr>
            <w:r>
              <w:rPr>
                <w:rFonts w:ascii="Calibri" w:cs="Calibri" w:eastAsia="Calibri" w:hAnsi="Calibri"/>
                <w:sz w:val="20"/>
                <w:szCs w:val="20"/>
                <w:b w:val="1"/>
                <w:bCs w:val="1"/>
                <w:color w:val="auto"/>
              </w:rPr>
              <w:t>Vision Insurance</w:t>
            </w:r>
          </w:p>
        </w:tc>
        <w:tc>
          <w:tcPr>
            <w:tcW w:w="8020" w:type="dxa"/>
            <w:vAlign w:val="bottom"/>
          </w:tcPr>
          <w:p>
            <w:pPr>
              <w:ind w:left="160"/>
              <w:spacing w:after="0" w:line="234" w:lineRule="exact"/>
              <w:rPr>
                <w:sz w:val="20"/>
                <w:szCs w:val="20"/>
                <w:color w:val="auto"/>
              </w:rPr>
            </w:pPr>
            <w:r>
              <w:rPr>
                <w:rFonts w:ascii="Calibri" w:cs="Calibri" w:eastAsia="Calibri" w:hAnsi="Calibri"/>
                <w:sz w:val="20"/>
                <w:szCs w:val="20"/>
                <w:color w:val="auto"/>
              </w:rPr>
              <w:t>Corporate group insurance</w:t>
            </w:r>
          </w:p>
        </w:tc>
      </w:tr>
      <w:tr>
        <w:trPr>
          <w:trHeight w:val="257"/>
        </w:trPr>
        <w:tc>
          <w:tcPr>
            <w:tcW w:w="322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b w:val="1"/>
                <w:bCs w:val="1"/>
                <w:color w:val="auto"/>
              </w:rPr>
              <w:t>Employee Assistance Program</w:t>
            </w:r>
          </w:p>
        </w:tc>
        <w:tc>
          <w:tcPr>
            <w:tcW w:w="802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Corporate employee assistance program</w:t>
            </w:r>
          </w:p>
        </w:tc>
      </w:tr>
      <w:tr>
        <w:trPr>
          <w:trHeight w:val="232"/>
        </w:trPr>
        <w:tc>
          <w:tcPr>
            <w:tcW w:w="3220" w:type="dxa"/>
            <w:vAlign w:val="bottom"/>
          </w:tcPr>
          <w:p>
            <w:pPr>
              <w:ind w:left="120"/>
              <w:spacing w:after="0" w:line="232" w:lineRule="exact"/>
              <w:rPr>
                <w:sz w:val="20"/>
                <w:szCs w:val="20"/>
                <w:color w:val="auto"/>
              </w:rPr>
            </w:pPr>
            <w:r>
              <w:rPr>
                <w:rFonts w:ascii="Calibri" w:cs="Calibri" w:eastAsia="Calibri" w:hAnsi="Calibri"/>
                <w:sz w:val="20"/>
                <w:szCs w:val="20"/>
                <w:b w:val="1"/>
                <w:bCs w:val="1"/>
                <w:color w:val="auto"/>
              </w:rPr>
              <w:t>Retrement Plans</w:t>
            </w:r>
          </w:p>
        </w:tc>
        <w:tc>
          <w:tcPr>
            <w:tcW w:w="8020" w:type="dxa"/>
            <w:vAlign w:val="bottom"/>
          </w:tcPr>
          <w:p>
            <w:pPr>
              <w:ind w:left="160"/>
              <w:spacing w:after="0" w:line="232" w:lineRule="exact"/>
              <w:rPr>
                <w:sz w:val="20"/>
                <w:szCs w:val="20"/>
                <w:color w:val="auto"/>
              </w:rPr>
            </w:pPr>
            <w:r>
              <w:rPr>
                <w:rFonts w:ascii="Calibri" w:cs="Calibri" w:eastAsia="Calibri" w:hAnsi="Calibri"/>
                <w:sz w:val="20"/>
                <w:szCs w:val="20"/>
                <w:color w:val="auto"/>
              </w:rPr>
              <w:t>401(k) Plan matching contributons of $1 for every $2 contributed by the partcipant up to</w:t>
            </w:r>
          </w:p>
        </w:tc>
      </w:tr>
      <w:tr>
        <w:trPr>
          <w:trHeight w:val="234"/>
        </w:trPr>
        <w:tc>
          <w:tcPr>
            <w:tcW w:w="3220" w:type="dxa"/>
            <w:vAlign w:val="bottom"/>
          </w:tcPr>
          <w:p>
            <w:pPr>
              <w:spacing w:after="0"/>
              <w:rPr>
                <w:sz w:val="20"/>
                <w:szCs w:val="20"/>
                <w:color w:val="auto"/>
              </w:rPr>
            </w:pPr>
          </w:p>
        </w:tc>
        <w:tc>
          <w:tcPr>
            <w:tcW w:w="8020" w:type="dxa"/>
            <w:vAlign w:val="bottom"/>
          </w:tcPr>
          <w:p>
            <w:pPr>
              <w:ind w:left="160"/>
              <w:spacing w:after="0" w:line="234" w:lineRule="exact"/>
              <w:rPr>
                <w:sz w:val="20"/>
                <w:szCs w:val="20"/>
                <w:color w:val="auto"/>
              </w:rPr>
            </w:pPr>
            <w:r>
              <w:rPr>
                <w:rFonts w:ascii="Calibri" w:cs="Calibri" w:eastAsia="Calibri" w:hAnsi="Calibri"/>
                <w:sz w:val="20"/>
                <w:szCs w:val="20"/>
                <w:color w:val="auto"/>
              </w:rPr>
              <w:t>6% (3% maximum matching) of the partcipant’s eligible payroll (subject to regulatons of the</w:t>
            </w:r>
          </w:p>
        </w:tc>
      </w:tr>
      <w:tr>
        <w:trPr>
          <w:trHeight w:val="243"/>
        </w:trPr>
        <w:tc>
          <w:tcPr>
            <w:tcW w:w="3220" w:type="dxa"/>
            <w:vAlign w:val="bottom"/>
          </w:tcPr>
          <w:p>
            <w:pPr>
              <w:spacing w:after="0"/>
              <w:rPr>
                <w:sz w:val="21"/>
                <w:szCs w:val="21"/>
                <w:color w:val="auto"/>
              </w:rPr>
            </w:pPr>
          </w:p>
        </w:tc>
        <w:tc>
          <w:tcPr>
            <w:tcW w:w="8020" w:type="dxa"/>
            <w:vAlign w:val="bottom"/>
          </w:tcPr>
          <w:p>
            <w:pPr>
              <w:ind w:left="160"/>
              <w:spacing w:after="0" w:line="243" w:lineRule="exact"/>
              <w:rPr>
                <w:sz w:val="20"/>
                <w:szCs w:val="20"/>
                <w:color w:val="auto"/>
              </w:rPr>
            </w:pPr>
            <w:r>
              <w:rPr>
                <w:rFonts w:ascii="Calibri" w:cs="Calibri" w:eastAsia="Calibri" w:hAnsi="Calibri"/>
                <w:sz w:val="20"/>
                <w:szCs w:val="20"/>
                <w:color w:val="auto"/>
              </w:rPr>
              <w:t>Internal Revenue Service)</w:t>
            </w:r>
          </w:p>
        </w:tc>
      </w:tr>
      <w:tr>
        <w:trPr>
          <w:trHeight w:val="265"/>
        </w:trPr>
        <w:tc>
          <w:tcPr>
            <w:tcW w:w="3220" w:type="dxa"/>
            <w:vAlign w:val="bottom"/>
          </w:tcPr>
          <w:p>
            <w:pPr>
              <w:spacing w:after="0"/>
              <w:rPr>
                <w:sz w:val="23"/>
                <w:szCs w:val="23"/>
                <w:color w:val="auto"/>
              </w:rPr>
            </w:pPr>
          </w:p>
        </w:tc>
        <w:tc>
          <w:tcPr>
            <w:tcW w:w="8020" w:type="dxa"/>
            <w:vAlign w:val="bottom"/>
          </w:tcPr>
          <w:p>
            <w:pPr>
              <w:ind w:left="160"/>
              <w:spacing w:after="0" w:line="242" w:lineRule="exact"/>
              <w:rPr>
                <w:sz w:val="20"/>
                <w:szCs w:val="20"/>
                <w:color w:val="auto"/>
              </w:rPr>
            </w:pPr>
            <w:r>
              <w:rPr>
                <w:rFonts w:ascii="Calibri" w:cs="Calibri" w:eastAsia="Calibri" w:hAnsi="Calibri"/>
                <w:sz w:val="20"/>
                <w:szCs w:val="20"/>
                <w:color w:val="auto"/>
              </w:rPr>
              <w:t>Discretonary 401(k) contributon, the amount of which is to be determined each year. For</w:t>
            </w:r>
          </w:p>
        </w:tc>
      </w:tr>
      <w:tr>
        <w:trPr>
          <w:trHeight w:val="234"/>
        </w:trPr>
        <w:tc>
          <w:tcPr>
            <w:tcW w:w="3220" w:type="dxa"/>
            <w:vAlign w:val="bottom"/>
          </w:tcPr>
          <w:p>
            <w:pPr>
              <w:spacing w:after="0"/>
              <w:rPr>
                <w:sz w:val="20"/>
                <w:szCs w:val="20"/>
                <w:color w:val="auto"/>
              </w:rPr>
            </w:pPr>
          </w:p>
        </w:tc>
        <w:tc>
          <w:tcPr>
            <w:tcW w:w="8020" w:type="dxa"/>
            <w:vAlign w:val="bottom"/>
          </w:tcPr>
          <w:p>
            <w:pPr>
              <w:ind w:left="160"/>
              <w:spacing w:after="0" w:line="234" w:lineRule="exact"/>
              <w:rPr>
                <w:sz w:val="20"/>
                <w:szCs w:val="20"/>
                <w:color w:val="auto"/>
              </w:rPr>
            </w:pPr>
            <w:r>
              <w:rPr>
                <w:rFonts w:ascii="Calibri" w:cs="Calibri" w:eastAsia="Calibri" w:hAnsi="Calibri"/>
                <w:sz w:val="20"/>
                <w:szCs w:val="20"/>
                <w:color w:val="auto"/>
              </w:rPr>
              <w:t>2024, no discretonary contributons were made.</w:t>
            </w:r>
          </w:p>
        </w:tc>
      </w:tr>
      <w:tr>
        <w:trPr>
          <w:trHeight w:val="33"/>
        </w:trPr>
        <w:tc>
          <w:tcPr>
            <w:tcW w:w="322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34"/>
        </w:trPr>
        <w:tc>
          <w:tcPr>
            <w:tcW w:w="3220" w:type="dxa"/>
            <w:vAlign w:val="bottom"/>
            <w:shd w:val="clear" w:color="auto" w:fill="CFF0FC"/>
          </w:tcPr>
          <w:p>
            <w:pPr>
              <w:ind w:left="120"/>
              <w:spacing w:after="0" w:line="233" w:lineRule="exact"/>
              <w:rPr>
                <w:sz w:val="20"/>
                <w:szCs w:val="20"/>
                <w:color w:val="auto"/>
              </w:rPr>
            </w:pPr>
            <w:r>
              <w:rPr>
                <w:rFonts w:ascii="Calibri" w:cs="Calibri" w:eastAsia="Calibri" w:hAnsi="Calibri"/>
                <w:sz w:val="20"/>
                <w:szCs w:val="20"/>
                <w:b w:val="1"/>
                <w:bCs w:val="1"/>
                <w:color w:val="auto"/>
              </w:rPr>
              <w:t>Deferred Compensaton Plan</w:t>
            </w:r>
          </w:p>
        </w:tc>
        <w:tc>
          <w:tcPr>
            <w:tcW w:w="8020" w:type="dxa"/>
            <w:vAlign w:val="bottom"/>
            <w:shd w:val="clear" w:color="auto" w:fill="CFF0FC"/>
          </w:tcPr>
          <w:p>
            <w:pPr>
              <w:ind w:left="160"/>
              <w:spacing w:after="0" w:line="233" w:lineRule="exact"/>
              <w:rPr>
                <w:sz w:val="20"/>
                <w:szCs w:val="20"/>
                <w:color w:val="auto"/>
              </w:rPr>
            </w:pPr>
            <w:r>
              <w:rPr>
                <w:rFonts w:ascii="Calibri" w:cs="Calibri" w:eastAsia="Calibri" w:hAnsi="Calibri"/>
                <w:sz w:val="20"/>
                <w:szCs w:val="20"/>
                <w:color w:val="auto"/>
              </w:rPr>
              <w:t>Defer receipt of a porton of salary, cash bonus, equity or other specifed compensaton.</w:t>
            </w:r>
          </w:p>
        </w:tc>
      </w:tr>
      <w:tr>
        <w:trPr>
          <w:trHeight w:val="255"/>
        </w:trPr>
        <w:tc>
          <w:tcPr>
            <w:tcW w:w="3220" w:type="dxa"/>
            <w:vAlign w:val="bottom"/>
            <w:shd w:val="clear" w:color="auto" w:fill="CFF0FC"/>
          </w:tcPr>
          <w:p>
            <w:pPr>
              <w:spacing w:after="0"/>
              <w:rPr>
                <w:sz w:val="22"/>
                <w:szCs w:val="22"/>
                <w:color w:val="auto"/>
              </w:rPr>
            </w:pPr>
          </w:p>
        </w:tc>
        <w:tc>
          <w:tcPr>
            <w:tcW w:w="802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Discretonary contributon made by the Company. For 2024, no discretonary contributons</w:t>
            </w:r>
          </w:p>
        </w:tc>
      </w:tr>
      <w:tr>
        <w:trPr>
          <w:trHeight w:val="247"/>
        </w:trPr>
        <w:tc>
          <w:tcPr>
            <w:tcW w:w="3220" w:type="dxa"/>
            <w:vAlign w:val="bottom"/>
            <w:tcBorders>
              <w:bottom w:val="single" w:sz="8" w:color="CFF0FC"/>
            </w:tcBorders>
            <w:shd w:val="clear" w:color="auto" w:fill="CFF0FC"/>
          </w:tcPr>
          <w:p>
            <w:pPr>
              <w:spacing w:after="0"/>
              <w:rPr>
                <w:sz w:val="21"/>
                <w:szCs w:val="21"/>
                <w:color w:val="auto"/>
              </w:rPr>
            </w:pPr>
          </w:p>
        </w:tc>
        <w:tc>
          <w:tcPr>
            <w:tcW w:w="802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were made.</w:t>
            </w:r>
          </w:p>
        </w:tc>
      </w:tr>
      <w:tr>
        <w:trPr>
          <w:trHeight w:val="257"/>
        </w:trPr>
        <w:tc>
          <w:tcPr>
            <w:tcW w:w="3220" w:type="dxa"/>
            <w:vAlign w:val="bottom"/>
          </w:tcPr>
          <w:p>
            <w:pPr>
              <w:ind w:left="120"/>
              <w:spacing w:after="0" w:line="234" w:lineRule="exact"/>
              <w:rPr>
                <w:sz w:val="20"/>
                <w:szCs w:val="20"/>
                <w:color w:val="auto"/>
              </w:rPr>
            </w:pPr>
            <w:r>
              <w:rPr>
                <w:rFonts w:ascii="Calibri" w:cs="Calibri" w:eastAsia="Calibri" w:hAnsi="Calibri"/>
                <w:sz w:val="20"/>
                <w:szCs w:val="20"/>
                <w:b w:val="1"/>
                <w:bCs w:val="1"/>
                <w:color w:val="auto"/>
              </w:rPr>
              <w:t>Life Insurance</w:t>
            </w:r>
          </w:p>
        </w:tc>
        <w:tc>
          <w:tcPr>
            <w:tcW w:w="8020" w:type="dxa"/>
            <w:vAlign w:val="bottom"/>
          </w:tcPr>
          <w:p>
            <w:pPr>
              <w:ind w:left="160"/>
              <w:spacing w:after="0" w:line="234" w:lineRule="exact"/>
              <w:rPr>
                <w:sz w:val="20"/>
                <w:szCs w:val="20"/>
                <w:color w:val="auto"/>
              </w:rPr>
            </w:pPr>
            <w:r>
              <w:rPr>
                <w:rFonts w:ascii="Calibri" w:cs="Calibri" w:eastAsia="Calibri" w:hAnsi="Calibri"/>
                <w:sz w:val="20"/>
                <w:szCs w:val="20"/>
                <w:color w:val="auto"/>
              </w:rPr>
              <w:t>Corporate group life insurance in the amount of $700,000</w:t>
            </w:r>
          </w:p>
        </w:tc>
      </w:tr>
      <w:tr>
        <w:trPr>
          <w:trHeight w:val="219"/>
        </w:trPr>
        <w:tc>
          <w:tcPr>
            <w:tcW w:w="3220" w:type="dxa"/>
            <w:vAlign w:val="bottom"/>
            <w:shd w:val="clear" w:color="auto" w:fill="CFF0FC"/>
          </w:tcPr>
          <w:p>
            <w:pPr>
              <w:ind w:left="120"/>
              <w:spacing w:after="0" w:line="218" w:lineRule="exact"/>
              <w:rPr>
                <w:sz w:val="20"/>
                <w:szCs w:val="20"/>
                <w:color w:val="auto"/>
              </w:rPr>
            </w:pPr>
            <w:r>
              <w:rPr>
                <w:rFonts w:ascii="Calibri" w:cs="Calibri" w:eastAsia="Calibri" w:hAnsi="Calibri"/>
                <w:sz w:val="20"/>
                <w:szCs w:val="20"/>
                <w:b w:val="1"/>
                <w:bCs w:val="1"/>
                <w:color w:val="auto"/>
              </w:rPr>
              <w:t>Accidental Death and</w:t>
            </w:r>
          </w:p>
        </w:tc>
        <w:tc>
          <w:tcPr>
            <w:tcW w:w="8020" w:type="dxa"/>
            <w:vAlign w:val="bottom"/>
            <w:shd w:val="clear" w:color="auto" w:fill="CFF0FC"/>
          </w:tcPr>
          <w:p>
            <w:pPr>
              <w:ind w:left="160"/>
              <w:spacing w:after="0" w:line="218" w:lineRule="exact"/>
              <w:rPr>
                <w:sz w:val="20"/>
                <w:szCs w:val="20"/>
                <w:color w:val="auto"/>
              </w:rPr>
            </w:pPr>
            <w:r>
              <w:rPr>
                <w:rFonts w:ascii="Calibri" w:cs="Calibri" w:eastAsia="Calibri" w:hAnsi="Calibri"/>
                <w:sz w:val="20"/>
                <w:szCs w:val="20"/>
                <w:color w:val="auto"/>
              </w:rPr>
              <w:t>Insured in the amount of $700,000</w:t>
            </w:r>
          </w:p>
        </w:tc>
      </w:tr>
      <w:tr>
        <w:trPr>
          <w:trHeight w:val="247"/>
        </w:trPr>
        <w:tc>
          <w:tcPr>
            <w:tcW w:w="322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b w:val="1"/>
                <w:bCs w:val="1"/>
                <w:color w:val="auto"/>
              </w:rPr>
              <w:t>Dismemberment</w:t>
            </w:r>
          </w:p>
        </w:tc>
        <w:tc>
          <w:tcPr>
            <w:tcW w:w="8020" w:type="dxa"/>
            <w:vAlign w:val="bottom"/>
            <w:tcBorders>
              <w:bottom w:val="single" w:sz="8" w:color="CFF0FC"/>
            </w:tcBorders>
            <w:shd w:val="clear" w:color="auto" w:fill="CFF0FC"/>
          </w:tcPr>
          <w:p>
            <w:pPr>
              <w:spacing w:after="0"/>
              <w:rPr>
                <w:sz w:val="21"/>
                <w:szCs w:val="21"/>
                <w:color w:val="auto"/>
              </w:rPr>
            </w:pPr>
          </w:p>
        </w:tc>
      </w:tr>
      <w:tr>
        <w:trPr>
          <w:trHeight w:val="234"/>
        </w:trPr>
        <w:tc>
          <w:tcPr>
            <w:tcW w:w="3220" w:type="dxa"/>
            <w:vAlign w:val="bottom"/>
          </w:tcPr>
          <w:p>
            <w:pPr>
              <w:ind w:left="120"/>
              <w:spacing w:after="0" w:line="233" w:lineRule="exact"/>
              <w:rPr>
                <w:sz w:val="20"/>
                <w:szCs w:val="20"/>
                <w:color w:val="auto"/>
              </w:rPr>
            </w:pPr>
            <w:r>
              <w:rPr>
                <w:rFonts w:ascii="Calibri" w:cs="Calibri" w:eastAsia="Calibri" w:hAnsi="Calibri"/>
                <w:sz w:val="20"/>
                <w:szCs w:val="20"/>
                <w:b w:val="1"/>
                <w:bCs w:val="1"/>
                <w:color w:val="auto"/>
              </w:rPr>
              <w:t>Business Travel Accident Insurance</w:t>
            </w:r>
          </w:p>
        </w:tc>
        <w:tc>
          <w:tcPr>
            <w:tcW w:w="8020" w:type="dxa"/>
            <w:vAlign w:val="bottom"/>
          </w:tcPr>
          <w:p>
            <w:pPr>
              <w:ind w:left="160"/>
              <w:spacing w:after="0" w:line="233" w:lineRule="exact"/>
              <w:rPr>
                <w:sz w:val="20"/>
                <w:szCs w:val="20"/>
                <w:color w:val="auto"/>
              </w:rPr>
            </w:pPr>
            <w:r>
              <w:rPr>
                <w:rFonts w:ascii="Calibri" w:cs="Calibri" w:eastAsia="Calibri" w:hAnsi="Calibri"/>
                <w:sz w:val="20"/>
                <w:szCs w:val="20"/>
                <w:color w:val="auto"/>
              </w:rPr>
              <w:t>$1,000,000 for accidental death and dismemberment</w:t>
            </w:r>
          </w:p>
        </w:tc>
      </w:tr>
      <w:tr>
        <w:trPr>
          <w:trHeight w:val="256"/>
        </w:trPr>
        <w:tc>
          <w:tcPr>
            <w:tcW w:w="3220" w:type="dxa"/>
            <w:vAlign w:val="bottom"/>
          </w:tcPr>
          <w:p>
            <w:pPr>
              <w:spacing w:after="0"/>
              <w:rPr>
                <w:sz w:val="22"/>
                <w:szCs w:val="22"/>
                <w:color w:val="auto"/>
              </w:rPr>
            </w:pPr>
          </w:p>
        </w:tc>
        <w:tc>
          <w:tcPr>
            <w:tcW w:w="8020" w:type="dxa"/>
            <w:vAlign w:val="bottom"/>
          </w:tcPr>
          <w:p>
            <w:pPr>
              <w:ind w:left="160"/>
              <w:spacing w:after="0" w:line="234" w:lineRule="exact"/>
              <w:rPr>
                <w:sz w:val="20"/>
                <w:szCs w:val="20"/>
                <w:color w:val="auto"/>
              </w:rPr>
            </w:pPr>
            <w:r>
              <w:rPr>
                <w:rFonts w:ascii="Calibri" w:cs="Calibri" w:eastAsia="Calibri" w:hAnsi="Calibri"/>
                <w:sz w:val="20"/>
                <w:szCs w:val="20"/>
                <w:color w:val="auto"/>
              </w:rPr>
              <w:t>$500,000 for permanent total disability</w:t>
            </w:r>
          </w:p>
        </w:tc>
      </w:tr>
      <w:tr>
        <w:trPr>
          <w:trHeight w:val="258"/>
        </w:trPr>
        <w:tc>
          <w:tcPr>
            <w:tcW w:w="3220" w:type="dxa"/>
            <w:vAlign w:val="bottom"/>
          </w:tcPr>
          <w:p>
            <w:pPr>
              <w:spacing w:after="0"/>
              <w:rPr>
                <w:sz w:val="22"/>
                <w:szCs w:val="22"/>
                <w:color w:val="auto"/>
              </w:rPr>
            </w:pPr>
          </w:p>
        </w:tc>
        <w:tc>
          <w:tcPr>
            <w:tcW w:w="8020" w:type="dxa"/>
            <w:vAlign w:val="bottom"/>
          </w:tcPr>
          <w:p>
            <w:pPr>
              <w:ind w:left="160"/>
              <w:spacing w:after="0" w:line="234" w:lineRule="exact"/>
              <w:rPr>
                <w:sz w:val="20"/>
                <w:szCs w:val="20"/>
                <w:color w:val="auto"/>
              </w:rPr>
            </w:pPr>
            <w:r>
              <w:rPr>
                <w:rFonts w:ascii="Calibri" w:cs="Calibri" w:eastAsia="Calibri" w:hAnsi="Calibri"/>
                <w:sz w:val="20"/>
                <w:szCs w:val="20"/>
                <w:color w:val="auto"/>
              </w:rPr>
              <w:t>$500 per week for up to 52 weeks of accident total disability</w:t>
            </w:r>
          </w:p>
        </w:tc>
      </w:tr>
      <w:tr>
        <w:trPr>
          <w:trHeight w:val="21"/>
        </w:trPr>
        <w:tc>
          <w:tcPr>
            <w:tcW w:w="32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32"/>
        </w:trPr>
        <w:tc>
          <w:tcPr>
            <w:tcW w:w="322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b w:val="1"/>
                <w:bCs w:val="1"/>
                <w:color w:val="auto"/>
              </w:rPr>
              <w:t>Short-Term Disability Insurance</w:t>
            </w:r>
          </w:p>
        </w:tc>
        <w:tc>
          <w:tcPr>
            <w:tcW w:w="8020" w:type="dxa"/>
            <w:vAlign w:val="bottom"/>
            <w:shd w:val="clear" w:color="auto" w:fill="CFF0FC"/>
          </w:tcPr>
          <w:p>
            <w:pPr>
              <w:ind w:left="160"/>
              <w:spacing w:after="0" w:line="232" w:lineRule="exact"/>
              <w:rPr>
                <w:sz w:val="20"/>
                <w:szCs w:val="20"/>
                <w:color w:val="auto"/>
              </w:rPr>
            </w:pPr>
            <w:r>
              <w:rPr>
                <w:rFonts w:ascii="Calibri" w:cs="Calibri" w:eastAsia="Calibri" w:hAnsi="Calibri"/>
                <w:sz w:val="20"/>
                <w:szCs w:val="20"/>
                <w:color w:val="auto"/>
              </w:rPr>
              <w:t>Afer eliminaton period of seven days, 66-2/3% of weekly earnings are paid to a maximum</w:t>
            </w:r>
          </w:p>
        </w:tc>
      </w:tr>
      <w:tr>
        <w:trPr>
          <w:trHeight w:val="247"/>
        </w:trPr>
        <w:tc>
          <w:tcPr>
            <w:tcW w:w="3220" w:type="dxa"/>
            <w:vAlign w:val="bottom"/>
            <w:tcBorders>
              <w:bottom w:val="single" w:sz="8" w:color="CFF0FC"/>
            </w:tcBorders>
            <w:shd w:val="clear" w:color="auto" w:fill="CFF0FC"/>
          </w:tcPr>
          <w:p>
            <w:pPr>
              <w:spacing w:after="0"/>
              <w:rPr>
                <w:sz w:val="21"/>
                <w:szCs w:val="21"/>
                <w:color w:val="auto"/>
              </w:rPr>
            </w:pPr>
          </w:p>
        </w:tc>
        <w:tc>
          <w:tcPr>
            <w:tcW w:w="802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of $3,750 per week.</w:t>
            </w:r>
          </w:p>
        </w:tc>
      </w:tr>
      <w:tr>
        <w:trPr>
          <w:trHeight w:val="232"/>
        </w:trPr>
        <w:tc>
          <w:tcPr>
            <w:tcW w:w="3220" w:type="dxa"/>
            <w:vAlign w:val="bottom"/>
          </w:tcPr>
          <w:p>
            <w:pPr>
              <w:ind w:left="120"/>
              <w:spacing w:after="0" w:line="232" w:lineRule="exact"/>
              <w:rPr>
                <w:sz w:val="20"/>
                <w:szCs w:val="20"/>
                <w:color w:val="auto"/>
              </w:rPr>
            </w:pPr>
            <w:r>
              <w:rPr>
                <w:rFonts w:ascii="Calibri" w:cs="Calibri" w:eastAsia="Calibri" w:hAnsi="Calibri"/>
                <w:sz w:val="20"/>
                <w:szCs w:val="20"/>
                <w:b w:val="1"/>
                <w:bCs w:val="1"/>
                <w:color w:val="auto"/>
              </w:rPr>
              <w:t>Long-Term Disability Insurance</w:t>
            </w:r>
          </w:p>
        </w:tc>
        <w:tc>
          <w:tcPr>
            <w:tcW w:w="8020" w:type="dxa"/>
            <w:vAlign w:val="bottom"/>
          </w:tcPr>
          <w:p>
            <w:pPr>
              <w:ind w:left="160"/>
              <w:spacing w:after="0" w:line="232" w:lineRule="exact"/>
              <w:rPr>
                <w:sz w:val="20"/>
                <w:szCs w:val="20"/>
                <w:color w:val="auto"/>
              </w:rPr>
            </w:pPr>
            <w:r>
              <w:rPr>
                <w:rFonts w:ascii="Calibri" w:cs="Calibri" w:eastAsia="Calibri" w:hAnsi="Calibri"/>
                <w:sz w:val="20"/>
                <w:szCs w:val="20"/>
                <w:color w:val="auto"/>
              </w:rPr>
              <w:t>Afer eliminaton period of 180 days, 66-2/3% of basic monthly earnings to a maximum of</w:t>
            </w:r>
          </w:p>
        </w:tc>
      </w:tr>
      <w:tr>
        <w:trPr>
          <w:trHeight w:val="234"/>
        </w:trPr>
        <w:tc>
          <w:tcPr>
            <w:tcW w:w="3220" w:type="dxa"/>
            <w:vAlign w:val="bottom"/>
          </w:tcPr>
          <w:p>
            <w:pPr>
              <w:spacing w:after="0"/>
              <w:rPr>
                <w:sz w:val="20"/>
                <w:szCs w:val="20"/>
                <w:color w:val="auto"/>
              </w:rPr>
            </w:pPr>
          </w:p>
        </w:tc>
        <w:tc>
          <w:tcPr>
            <w:tcW w:w="8020" w:type="dxa"/>
            <w:vAlign w:val="bottom"/>
          </w:tcPr>
          <w:p>
            <w:pPr>
              <w:ind w:left="160"/>
              <w:spacing w:after="0" w:line="234" w:lineRule="exact"/>
              <w:rPr>
                <w:sz w:val="20"/>
                <w:szCs w:val="20"/>
                <w:color w:val="auto"/>
              </w:rPr>
            </w:pPr>
            <w:r>
              <w:rPr>
                <w:rFonts w:ascii="Calibri" w:cs="Calibri" w:eastAsia="Calibri" w:hAnsi="Calibri"/>
                <w:sz w:val="20"/>
                <w:szCs w:val="20"/>
                <w:color w:val="auto"/>
              </w:rPr>
              <w:t>$15,000 per month (and the duraton of such beneft is based on such NEO’s age on the date of</w:t>
            </w:r>
          </w:p>
        </w:tc>
      </w:tr>
      <w:tr>
        <w:trPr>
          <w:trHeight w:val="243"/>
        </w:trPr>
        <w:tc>
          <w:tcPr>
            <w:tcW w:w="3220" w:type="dxa"/>
            <w:vAlign w:val="bottom"/>
          </w:tcPr>
          <w:p>
            <w:pPr>
              <w:spacing w:after="0"/>
              <w:rPr>
                <w:sz w:val="21"/>
                <w:szCs w:val="21"/>
                <w:color w:val="auto"/>
              </w:rPr>
            </w:pPr>
          </w:p>
        </w:tc>
        <w:tc>
          <w:tcPr>
            <w:tcW w:w="8020" w:type="dxa"/>
            <w:vAlign w:val="bottom"/>
          </w:tcPr>
          <w:p>
            <w:pPr>
              <w:ind w:left="160"/>
              <w:spacing w:after="0" w:line="243" w:lineRule="exact"/>
              <w:rPr>
                <w:sz w:val="20"/>
                <w:szCs w:val="20"/>
                <w:color w:val="auto"/>
              </w:rPr>
            </w:pPr>
            <w:r>
              <w:rPr>
                <w:rFonts w:ascii="Calibri" w:cs="Calibri" w:eastAsia="Calibri" w:hAnsi="Calibri"/>
                <w:sz w:val="20"/>
                <w:szCs w:val="20"/>
                <w:color w:val="auto"/>
              </w:rPr>
              <w:t>his or her disability).</w:t>
            </w:r>
          </w:p>
        </w:tc>
      </w:tr>
      <w:tr>
        <w:trPr>
          <w:trHeight w:val="33"/>
        </w:trPr>
        <w:tc>
          <w:tcPr>
            <w:tcW w:w="322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32"/>
        </w:trPr>
        <w:tc>
          <w:tcPr>
            <w:tcW w:w="322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b w:val="1"/>
                <w:bCs w:val="1"/>
                <w:color w:val="auto"/>
              </w:rPr>
              <w:t>Executve Health Reimbursement</w:t>
            </w:r>
          </w:p>
        </w:tc>
        <w:tc>
          <w:tcPr>
            <w:tcW w:w="8020" w:type="dxa"/>
            <w:vAlign w:val="bottom"/>
            <w:shd w:val="clear" w:color="auto" w:fill="CFF0FC"/>
          </w:tcPr>
          <w:p>
            <w:pPr>
              <w:ind w:left="160"/>
              <w:spacing w:after="0" w:line="232" w:lineRule="exact"/>
              <w:rPr>
                <w:sz w:val="20"/>
                <w:szCs w:val="20"/>
                <w:color w:val="auto"/>
              </w:rPr>
            </w:pPr>
            <w:r>
              <w:rPr>
                <w:rFonts w:ascii="Calibri" w:cs="Calibri" w:eastAsia="Calibri" w:hAnsi="Calibri"/>
                <w:sz w:val="20"/>
                <w:szCs w:val="20"/>
                <w:color w:val="auto"/>
              </w:rPr>
              <w:t>Reimbursement of certain enhanced medical services intended to promote the executve's</w:t>
            </w:r>
          </w:p>
        </w:tc>
      </w:tr>
      <w:tr>
        <w:trPr>
          <w:trHeight w:val="234"/>
        </w:trPr>
        <w:tc>
          <w:tcPr>
            <w:tcW w:w="3220" w:type="dxa"/>
            <w:vAlign w:val="bottom"/>
            <w:shd w:val="clear" w:color="auto" w:fill="CFF0FC"/>
          </w:tcPr>
          <w:p>
            <w:pPr>
              <w:spacing w:after="0"/>
              <w:rPr>
                <w:sz w:val="20"/>
                <w:szCs w:val="20"/>
                <w:color w:val="auto"/>
              </w:rPr>
            </w:pPr>
          </w:p>
        </w:tc>
        <w:tc>
          <w:tcPr>
            <w:tcW w:w="802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health and well-being up to the annual maximum reimbursement limits as follows:</w:t>
            </w:r>
          </w:p>
        </w:tc>
      </w:tr>
      <w:tr>
        <w:trPr>
          <w:trHeight w:val="267"/>
        </w:trPr>
        <w:tc>
          <w:tcPr>
            <w:tcW w:w="3220" w:type="dxa"/>
            <w:vAlign w:val="bottom"/>
            <w:shd w:val="clear" w:color="auto" w:fill="CFF0FC"/>
          </w:tcPr>
          <w:p>
            <w:pPr>
              <w:spacing w:after="0"/>
              <w:rPr>
                <w:sz w:val="23"/>
                <w:szCs w:val="23"/>
                <w:color w:val="auto"/>
              </w:rPr>
            </w:pPr>
          </w:p>
        </w:tc>
        <w:tc>
          <w:tcPr>
            <w:tcW w:w="8020" w:type="dxa"/>
            <w:vAlign w:val="bottom"/>
            <w:shd w:val="clear" w:color="auto" w:fill="CFF0FC"/>
          </w:tcPr>
          <w:p>
            <w:pPr>
              <w:ind w:left="160"/>
              <w:spacing w:after="0" w:line="243" w:lineRule="exact"/>
              <w:rPr>
                <w:sz w:val="20"/>
                <w:szCs w:val="20"/>
                <w:color w:val="auto"/>
              </w:rPr>
            </w:pPr>
            <w:r>
              <w:rPr>
                <w:rFonts w:ascii="Calibri" w:cs="Calibri" w:eastAsia="Calibri" w:hAnsi="Calibri"/>
                <w:sz w:val="20"/>
                <w:szCs w:val="20"/>
                <w:color w:val="auto"/>
              </w:rPr>
              <w:t>$6,000 for CEO</w:t>
            </w:r>
          </w:p>
        </w:tc>
      </w:tr>
      <w:tr>
        <w:trPr>
          <w:trHeight w:val="258"/>
        </w:trPr>
        <w:tc>
          <w:tcPr>
            <w:tcW w:w="3220" w:type="dxa"/>
            <w:vAlign w:val="bottom"/>
            <w:shd w:val="clear" w:color="auto" w:fill="CFF0FC"/>
          </w:tcPr>
          <w:p>
            <w:pPr>
              <w:spacing w:after="0"/>
              <w:rPr>
                <w:sz w:val="22"/>
                <w:szCs w:val="22"/>
                <w:color w:val="auto"/>
              </w:rPr>
            </w:pPr>
          </w:p>
        </w:tc>
        <w:tc>
          <w:tcPr>
            <w:tcW w:w="802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$3,000 for Other Executve Ofcers</w:t>
            </w:r>
          </w:p>
        </w:tc>
      </w:tr>
      <w:tr>
        <w:trPr>
          <w:trHeight w:val="21"/>
        </w:trPr>
        <w:tc>
          <w:tcPr>
            <w:tcW w:w="3220" w:type="dxa"/>
            <w:vAlign w:val="bottom"/>
            <w:shd w:val="clear" w:color="auto" w:fill="CFF0FC"/>
          </w:tcPr>
          <w:p>
            <w:pPr>
              <w:spacing w:after="0" w:line="20" w:lineRule="exact"/>
              <w:rPr>
                <w:sz w:val="1"/>
                <w:szCs w:val="1"/>
                <w:color w:val="auto"/>
              </w:rPr>
            </w:pPr>
          </w:p>
        </w:tc>
        <w:tc>
          <w:tcPr>
            <w:tcW w:w="8020" w:type="dxa"/>
            <w:vAlign w:val="bottom"/>
            <w:shd w:val="clear" w:color="auto" w:fill="CFF0FC"/>
          </w:tcPr>
          <w:p>
            <w:pPr>
              <w:spacing w:after="0" w:line="20" w:lineRule="exact"/>
              <w:rPr>
                <w:sz w:val="1"/>
                <w:szCs w:val="1"/>
                <w:color w:val="auto"/>
              </w:rPr>
            </w:pPr>
          </w:p>
        </w:tc>
      </w:tr>
    </w:tbl>
    <w:p>
      <w:pPr>
        <w:spacing w:after="0" w:line="15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additonal benefts and perquisites provided to NEOs for fscal 2024 accounted for a nominal amount of the NEOs’ total compensaton. The Compensaton Commitee believes that these benefts and perquisites are consistent with the Compensaton Commitee’s philosophy to provide a compettve compensaton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BEST PRACTICES</w:t>
      </w:r>
    </w:p>
    <w:p>
      <w:pPr>
        <w:spacing w:after="0" w:line="3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For a descripton of the Company’s ant-hedging, ant-pledging, ant-short selling, stock ownership, stock retenton, clawback policies, and equity award grant practces, see “Corporate Governance – Corporate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44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7" w:name="page48"/>
    <w:bookmarkEnd w:id="47"/>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COMPENSATION RISK ASSESSMENT</w:t>
      </w:r>
    </w:p>
    <w:p>
      <w:pPr>
        <w:spacing w:after="0" w:line="49"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Compensaton Commitee has conducted an annual compensaton risk assessment and concluded that the Company’s compensaton policies and practces do not encourage excessive or unnecessary risk-taking and are not reasonably likely to have a material adverse efect on the Company. The Compensaton Commitee took into account the signifcant proporton of the annual compensaton that is based on equity incentves that have long maturites and vestng periods, and the Company’s clawback, stock retenton, and stock ownership policies that align the NEO’s and other executve ofcers’ compensaton with the interests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POST-TERMINATION AND CHANGE-IN-CONTROL PAYMENTS</w:t>
      </w:r>
    </w:p>
    <w:p>
      <w:pPr>
        <w:spacing w:after="0" w:line="3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Compensaton Commitee believes that a change-in-control transacton would create uncertainty regarding the contnued employment of the Company’s executve ofcers. This is because many change-in-control transactons result in signifcant organizatonal changes, partcularly at the senior executve level. In order to encourage the Company’s executve ofcers to remain employed with the Company during an important tme when their contnued employment in connecton with, or following, a transacton is ofen uncertain, and to help keep the Company’s executve ofcers focused on Company business rather than on their personal fnancial security, the Compensaton Commitee believes that providing certain of the Company’s executve ofcers with severance benefts upon certain terminatons of employment following an actual or potental change-in-control transacton is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-1077595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 the event that Dr. Lu’s employment by the Company is terminated (a) by the Company for "cause" (as defned in Dr. Lu's employment agreement), or (b) by him other than for "good reason" (as defned in Dr. Lu's employment agreement), or (c) due to his death, neither the Company nor he shall have any remaining dutes or obligatons under the employment agreement, except that:</w:t>
      </w:r>
    </w:p>
    <w:p>
      <w:pPr>
        <w:spacing w:after="0" w:line="171" w:lineRule="exact"/>
        <w:rPr>
          <w:sz w:val="20"/>
          <w:szCs w:val="20"/>
          <w:color w:val="auto"/>
        </w:rPr>
      </w:pPr>
    </w:p>
    <w:p>
      <w:pPr>
        <w:ind w:left="760" w:right="20" w:hanging="378"/>
        <w:spacing w:after="0" w:line="234" w:lineRule="auto"/>
        <w:tabs>
          <w:tab w:leader="none" w:pos="76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the Company shall promptly pay or provide to Dr. Lu, or his estate, the annual base salary, prorated through the date of terminaton;</w:t>
      </w:r>
    </w:p>
    <w:p>
      <w:pPr>
        <w:spacing w:after="0" w:line="117" w:lineRule="exact"/>
        <w:rPr>
          <w:rFonts w:ascii="Calibri" w:cs="Calibri" w:eastAsia="Calibri" w:hAnsi="Calibri"/>
          <w:sz w:val="20"/>
          <w:szCs w:val="20"/>
          <w:color w:val="auto"/>
        </w:rPr>
      </w:pPr>
    </w:p>
    <w:p>
      <w:pPr>
        <w:ind w:left="760" w:right="20" w:hanging="378"/>
        <w:spacing w:after="0" w:line="234" w:lineRule="auto"/>
        <w:tabs>
          <w:tab w:leader="none" w:pos="76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the Company shall pay to Dr. Lu, or his estate, any amount payable under an executve bonus plan for the fscal year in which such terminaton occurs, prorated to the date of the terminaton;</w:t>
      </w:r>
    </w:p>
    <w:p>
      <w:pPr>
        <w:spacing w:after="0" w:line="117" w:lineRule="exact"/>
        <w:rPr>
          <w:rFonts w:ascii="Calibri" w:cs="Calibri" w:eastAsia="Calibri" w:hAnsi="Calibri"/>
          <w:sz w:val="20"/>
          <w:szCs w:val="20"/>
          <w:color w:val="auto"/>
        </w:rPr>
      </w:pPr>
    </w:p>
    <w:p>
      <w:pPr>
        <w:ind w:left="760" w:right="20" w:hanging="378"/>
        <w:spacing w:after="0"/>
        <w:tabs>
          <w:tab w:leader="none" w:pos="76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all stock-based compensaton previously granted to Dr. Lu shall contnue to be governed by the applicable award agreement; and</w:t>
      </w:r>
    </w:p>
    <w:p>
      <w:pPr>
        <w:spacing w:after="0" w:line="349" w:lineRule="exact"/>
        <w:rPr>
          <w:rFonts w:ascii="Calibri" w:cs="Calibri" w:eastAsia="Calibri" w:hAnsi="Calibri"/>
          <w:sz w:val="20"/>
          <w:szCs w:val="20"/>
          <w:color w:val="auto"/>
        </w:rPr>
      </w:pPr>
    </w:p>
    <w:p>
      <w:pPr>
        <w:ind w:left="760" w:hanging="378"/>
        <w:spacing w:after="0" w:line="234" w:lineRule="auto"/>
        <w:tabs>
          <w:tab w:leader="none" w:pos="76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Dr. Lu shall contnue to be bound by the restrictons on the use of trade secrets, “compettve actvites” (as defned in Dr. Lu's employment agreement) and solicitaton of employees and independent contractors.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 the event that Dr. Lu’s employment by the Company is terminated by (a) the Company other than for "cause" including a terminaton by the Company due to Dr. Lu’s “Disability” (as defned in Dr. Lu's employment agreement), or (b) Dr. Lu for "good reason", neither the Company nor Dr. Lu shall have any remaining dutes or obligatons under the agreement, except that:</w:t>
      </w:r>
    </w:p>
    <w:p>
      <w:pPr>
        <w:spacing w:after="0" w:line="53" w:lineRule="exact"/>
        <w:rPr>
          <w:sz w:val="20"/>
          <w:szCs w:val="20"/>
          <w:color w:val="auto"/>
        </w:rPr>
      </w:pPr>
    </w:p>
    <w:p>
      <w:pPr>
        <w:ind w:left="760" w:hanging="378"/>
        <w:spacing w:after="0"/>
        <w:tabs>
          <w:tab w:leader="none" w:pos="760"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clauses (a) through (d) in the preceding paragraph shall each be applicable;</w:t>
      </w:r>
    </w:p>
    <w:p>
      <w:pPr>
        <w:spacing w:after="0" w:line="116" w:lineRule="exact"/>
        <w:rPr>
          <w:rFonts w:ascii="Calibri" w:cs="Calibri" w:eastAsia="Calibri" w:hAnsi="Calibri"/>
          <w:sz w:val="20"/>
          <w:szCs w:val="20"/>
          <w:color w:val="auto"/>
        </w:rPr>
      </w:pPr>
    </w:p>
    <w:p>
      <w:pPr>
        <w:jc w:val="both"/>
        <w:ind w:left="760" w:hanging="378"/>
        <w:spacing w:after="0" w:line="236" w:lineRule="auto"/>
        <w:tabs>
          <w:tab w:leader="none" w:pos="760"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the Company shall contnue to pay or provide to Dr. Lu, or his estate, the annual base salary during the period commencing on the 60th day afer the efectve date of such terminaton and ending on the frst anniversary of such efectve date such that an aggregate total of 12 months of base salary are provided;</w:t>
      </w:r>
    </w:p>
    <w:p>
      <w:pPr>
        <w:spacing w:after="0" w:line="116" w:lineRule="exact"/>
        <w:rPr>
          <w:rFonts w:ascii="Calibri" w:cs="Calibri" w:eastAsia="Calibri" w:hAnsi="Calibri"/>
          <w:sz w:val="20"/>
          <w:szCs w:val="20"/>
          <w:color w:val="auto"/>
        </w:rPr>
      </w:pPr>
    </w:p>
    <w:p>
      <w:pPr>
        <w:jc w:val="both"/>
        <w:ind w:left="760" w:hanging="378"/>
        <w:spacing w:after="0" w:line="236" w:lineRule="auto"/>
        <w:tabs>
          <w:tab w:leader="none" w:pos="760"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the Company shall provide to Dr. Lu contnued partcipaton in any group health plan or medical reimbursement plan on the terms existng on the date of terminaton for the period commencing on the efectve date of such terminaton and ending on the earlier of 18 months thereafer or the date that the Company is otherwise unable to contnue to cover him under its group health plans without penalty under applicable law; and</w:t>
      </w:r>
    </w:p>
    <w:p>
      <w:pPr>
        <w:spacing w:after="0" w:line="119" w:lineRule="exact"/>
        <w:rPr>
          <w:rFonts w:ascii="Calibri" w:cs="Calibri" w:eastAsia="Calibri" w:hAnsi="Calibri"/>
          <w:sz w:val="20"/>
          <w:szCs w:val="20"/>
          <w:color w:val="auto"/>
        </w:rPr>
      </w:pPr>
    </w:p>
    <w:p>
      <w:pPr>
        <w:jc w:val="both"/>
        <w:ind w:left="760" w:hanging="378"/>
        <w:spacing w:after="0" w:line="237" w:lineRule="auto"/>
        <w:tabs>
          <w:tab w:leader="none" w:pos="760"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The term of Dr. Lu’s employment agreement commenced on July 21, 2015 and shall end on May 31, 2027, unless sooner terminated as provided in the agreement or due to death. Employment is “at will” and may be terminated by either the Company or Dr. Lu at any tme. See Exhibits 99.1 to the Current Reports on Form 8-K fled with the SEC on July 27, 2015, February 27, 2017, June 1, 2022, and January 22, 2024, for a complete copy of the employment agreement and the amendments thereto between the Company and Dr. Lu. See, "CEO Employment Agreement" below, for a summary of Dr. Lu's employment agreement .</w:t>
      </w:r>
    </w:p>
    <w:p>
      <w:pPr>
        <w:spacing w:after="0" w:line="34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45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48" w:name="page49"/>
    <w:bookmarkEnd w:id="48"/>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t>TAX AND ACCOUNTING CONSIDERATIONS</w:t>
      </w:r>
    </w:p>
    <w:p>
      <w:pPr>
        <w:spacing w:after="0" w:line="4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color w:val="auto"/>
        </w:rPr>
        <w:t xml:space="preserve">Deductbility of Compensaton </w:t>
      </w:r>
      <w:r>
        <w:rPr>
          <w:rFonts w:ascii="Calibri" w:cs="Calibri" w:eastAsia="Calibri" w:hAnsi="Calibri"/>
          <w:sz w:val="20"/>
          <w:szCs w:val="20"/>
          <w:color w:val="auto"/>
        </w:rPr>
        <w:t>Under Secton 162(m) of the Internal Revenue Code of 1986, as amended (the “Code”), prior to the Tax</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Cuts and Jobs Act of 2017 (the “Tax Act”), a public company generally will not be enttled to a deducton for non-performance-based compensaton paid to an executve ofcer to the extent such compensaton exceeds $1.0 million. Special rules apply for “performance-based” compensaton, including the approval of the performance goals by the stockholders of the Company. The stockholders of the Company have approved each of the Company's incentve plans for the purpose of qualifying those plans under Code Secton 162(m). To qualify for deductbility under Code Secton 162(m), the performance goals must be established no later than 90 days from the beginning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-1064260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While the Compensaton Commitee has in the past generally intended that all compensaton be deductble, there will be instances where potentally non-deductble compensaton is provided to reward our NEOs consistent with our compensaton philosophy for each compensaton element. Moreover, the Tax Act substantally revised Code Secton 162(m). As a result of the Tax Act revisions, efectve as of 2018, (1) the commission and performance-based exceptons have been removed (efectvely eliminatng the tax deducton for annual compensaton which is in excess of $1 million), and (2) the group of executves covered by Code Secton 162(m) includes the chief executve ofcer, the chief fnancial ofcer, the three other most highly compensated executve ofcers, and anyone who was previously a covered executve ofcer with the Company. While the Tax Act provides some limited transitonal relief for certain performance-based compensaton awards that may be grandfathered from the eliminaton of the performance-based compensaton excepton, this relief is limited and may not be applicable. Therefore, despite the Compensaton Commitee’s past eforts to structure executve team incentve awards in a manner intended to be exempt from Code Secton 162(m) and therefore not subject to its deducton limits, no assurance can be given that compensaton which is in excess of the annual $1 million compensaton limit will in fact be deductble. Further, the Compensaton Commitee reserves the right to modify compensaton that was initally intended to be exempt from Code Secton 162(m) if it determines that such modifcatons are consistent with the Company’s business needs.</w:t>
      </w:r>
    </w:p>
    <w:p>
      <w:pPr>
        <w:spacing w:after="0" w:line="120"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auto"/>
        </w:rPr>
        <w:t xml:space="preserve">Nonqualifed Deferred Compensaton </w:t>
      </w:r>
      <w:r>
        <w:rPr>
          <w:rFonts w:ascii="Calibri" w:cs="Calibri" w:eastAsia="Calibri" w:hAnsi="Calibri"/>
          <w:sz w:val="20"/>
          <w:szCs w:val="20"/>
          <w:color w:val="auto"/>
        </w:rPr>
        <w:t>For a discussion of the Company's nonqualifed deferred compensaton arrangements, see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 Compensaton – Nonqualifed Deferred Compensaton.”</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 xml:space="preserve">Accountng for Share-Based Compensaton </w:t>
      </w:r>
      <w:r>
        <w:rPr>
          <w:rFonts w:ascii="Calibri" w:cs="Calibri" w:eastAsia="Calibri" w:hAnsi="Calibri"/>
          <w:sz w:val="20"/>
          <w:szCs w:val="20"/>
          <w:color w:val="auto"/>
        </w:rPr>
        <w:t>The Company uses the Black-Scholes-Merton opton-pricing model to determine the fair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value of stock optons on the date of grant. The amount recognized for fnancial statement reportng purposes for restricted stock and performance stock grants is calculated by multplying the number of shares subject to the grant by the closing price of the Company’s Common Stock on the grant date.</w:t>
      </w:r>
    </w:p>
    <w:p>
      <w:pPr>
        <w:spacing w:after="0" w:line="120"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auto"/>
        </w:rPr>
        <w:t xml:space="preserve">Limited Change-in-Control Benefts </w:t>
      </w:r>
      <w:r>
        <w:rPr>
          <w:rFonts w:ascii="Calibri" w:cs="Calibri" w:eastAsia="Calibri" w:hAnsi="Calibri"/>
          <w:sz w:val="20"/>
          <w:szCs w:val="20"/>
          <w:color w:val="auto"/>
        </w:rPr>
        <w:t>We provide limited change-in-control severance benefts to the Company’s executve ofcers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do not provide any related tax gross-ups. See “Compensaton Discussion and Analysis – Additonal Benefts and Perquisites.”</w:t>
      </w:r>
    </w:p>
    <w:p>
      <w:pPr>
        <w:spacing w:after="0" w:line="34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46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49" w:name="page50"/>
    <w:bookmarkEnd w:id="49"/>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REPORT OF THE COMPENSATION COMMITTEE ON EXECUTIVE COMPENSATION</w:t>
      </w:r>
    </w:p>
    <w:p>
      <w:pPr>
        <w:spacing w:after="0" w:line="4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auto"/>
        </w:rPr>
        <w:t>The Report of the Compensaton Commitee of the Board does not consttute solicitng material and shall not be deemed incorporated by reference by any general statement incorporatng by reference this Proxy Statement into any fling under the Securites Act of 1933 or under the Securites Exchange Act of 1934, except to the extent that the Company specifcally incorporates this informaton by reference and shall not otherwise be deemed fled under such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005CA9"/>
        </w:rPr>
        <w:t>COMPENSATION COMMITTEE REPORT</w:t>
      </w:r>
    </w:p>
    <w:p>
      <w:pPr>
        <w:spacing w:after="0" w:line="11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Compensaton Commitee of the Board has reviewed and discussed the Compensaton Discussion and Analysis with the Company’s management, and based on such review and discussions, the Compensaton Commitee unanimously recommended to the Board that the Compensaton Discussion and Analysis be included in this Proxy Statement.</w:t>
      </w:r>
    </w:p>
    <w:p>
      <w:pPr>
        <w:spacing w:after="0" w:line="283" w:lineRule="exact"/>
        <w:rPr>
          <w:sz w:val="20"/>
          <w:szCs w:val="20"/>
          <w:color w:val="auto"/>
        </w:rPr>
      </w:pPr>
    </w:p>
    <w:p>
      <w:pPr>
        <w:ind w:left="7520"/>
        <w:spacing w:after="0"/>
        <w:rPr>
          <w:sz w:val="20"/>
          <w:szCs w:val="20"/>
          <w:color w:val="auto"/>
        </w:rPr>
      </w:pPr>
      <w:r>
        <w:rPr>
          <w:rFonts w:ascii="Calibri" w:cs="Calibri" w:eastAsia="Calibri" w:hAnsi="Calibri"/>
          <w:sz w:val="20"/>
          <w:szCs w:val="20"/>
          <w:color w:val="auto"/>
        </w:rPr>
        <w:t>Respectully submited,</w:t>
      </w:r>
    </w:p>
    <w:p>
      <w:pPr>
        <w:spacing w:after="0" w:line="174" w:lineRule="exact"/>
        <w:rPr>
          <w:sz w:val="20"/>
          <w:szCs w:val="20"/>
          <w:color w:val="auto"/>
        </w:rPr>
      </w:pPr>
    </w:p>
    <w:p>
      <w:pPr>
        <w:ind w:left="7520"/>
        <w:spacing w:after="0"/>
        <w:rPr>
          <w:sz w:val="20"/>
          <w:szCs w:val="20"/>
          <w:color w:val="auto"/>
        </w:rPr>
      </w:pPr>
      <w:r>
        <w:rPr>
          <w:rFonts w:ascii="Calibri" w:cs="Calibri" w:eastAsia="Calibri" w:hAnsi="Calibri"/>
          <w:sz w:val="20"/>
          <w:szCs w:val="20"/>
          <w:color w:val="auto"/>
        </w:rPr>
        <w:t>The Compensaton Commitee</w:t>
      </w:r>
    </w:p>
    <w:p>
      <w:pPr>
        <w:spacing w:after="0" w:line="174" w:lineRule="exact"/>
        <w:rPr>
          <w:sz w:val="20"/>
          <w:szCs w:val="20"/>
          <w:color w:val="auto"/>
        </w:rPr>
      </w:pPr>
    </w:p>
    <w:p>
      <w:pPr>
        <w:ind w:left="7520"/>
        <w:spacing w:after="0"/>
        <w:rPr>
          <w:sz w:val="20"/>
          <w:szCs w:val="20"/>
          <w:color w:val="auto"/>
        </w:rPr>
      </w:pPr>
      <w:r>
        <w:rPr>
          <w:rFonts w:ascii="Calibri" w:cs="Calibri" w:eastAsia="Calibri" w:hAnsi="Calibri"/>
          <w:sz w:val="20"/>
          <w:szCs w:val="20"/>
          <w:color w:val="auto"/>
        </w:rPr>
        <w:t>Angie Chen Buton, Chair</w:t>
      </w:r>
    </w:p>
    <w:p>
      <w:pPr>
        <w:ind w:left="7520"/>
        <w:spacing w:after="0" w:line="238" w:lineRule="auto"/>
        <w:rPr>
          <w:sz w:val="20"/>
          <w:szCs w:val="20"/>
          <w:color w:val="auto"/>
        </w:rPr>
      </w:pPr>
      <w:r>
        <w:rPr>
          <w:rFonts w:ascii="Calibri" w:cs="Calibri" w:eastAsia="Calibri" w:hAnsi="Calibri"/>
          <w:sz w:val="20"/>
          <w:szCs w:val="20"/>
          <w:color w:val="auto"/>
        </w:rPr>
        <w:t>Warren Chen</w:t>
      </w:r>
    </w:p>
    <w:p>
      <w:pPr>
        <w:ind w:left="7520"/>
        <w:spacing w:after="0"/>
        <w:rPr>
          <w:sz w:val="20"/>
          <w:szCs w:val="20"/>
          <w:color w:val="auto"/>
        </w:rPr>
      </w:pPr>
      <w:r>
        <w:rPr>
          <w:rFonts w:ascii="Calibri" w:cs="Calibri" w:eastAsia="Calibri" w:hAnsi="Calibri"/>
          <w:sz w:val="20"/>
          <w:szCs w:val="20"/>
          <w:color w:val="auto"/>
        </w:rPr>
        <w:t>Christna Wen-Chi Sung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47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0" w:name="page51"/>
    <w:bookmarkEnd w:id="50"/>
    <w:p>
      <w:pPr>
        <w:jc w:val="center"/>
        <w:spacing w:after="0"/>
        <w:rPr>
          <w:sz w:val="20"/>
          <w:szCs w:val="20"/>
          <w:color w:val="auto"/>
        </w:rPr>
      </w:pPr>
      <w:r>
        <w:rPr>
          <w:rFonts w:ascii="Calibri" w:cs="Calibri" w:eastAsia="Calibri" w:hAnsi="Calibri"/>
          <w:sz w:val="43"/>
          <w:szCs w:val="43"/>
          <w:color w:val="005CA9"/>
        </w:rPr>
        <w:t>EXECUTIVE COMPENSATION</w:t>
      </w:r>
    </w:p>
    <w:p>
      <w:pPr>
        <w:spacing w:after="0" w:line="138"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The table below summarizes the compensaton of each of our NEOs for 2024, 2023 and 2022, except in the case of Ms. Yang who was not a NEO in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SUMMARY COMPENSATION TABLE —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Borders>
              <w:top w:val="single" w:sz="8" w:color="005CA9"/>
            </w:tcBorders>
          </w:tcPr>
          <w:p>
            <w:pPr>
              <w:spacing w:after="0"/>
              <w:rPr>
                <w:sz w:val="15"/>
                <w:szCs w:val="15"/>
                <w:color w:val="auto"/>
              </w:rPr>
            </w:pPr>
          </w:p>
        </w:tc>
        <w:tc>
          <w:tcPr>
            <w:tcW w:w="960" w:type="dxa"/>
            <w:vAlign w:val="bottom"/>
            <w:tcBorders>
              <w:top w:val="single" w:sz="8" w:color="005CA9"/>
            </w:tcBorders>
          </w:tcPr>
          <w:p>
            <w:pPr>
              <w:spacing w:after="0"/>
              <w:rPr>
                <w:sz w:val="15"/>
                <w:szCs w:val="15"/>
                <w:color w:val="auto"/>
              </w:rPr>
            </w:pPr>
          </w:p>
        </w:tc>
        <w:tc>
          <w:tcPr>
            <w:tcW w:w="1340" w:type="dxa"/>
            <w:vAlign w:val="bottom"/>
            <w:tcBorders>
              <w:top w:val="single" w:sz="8" w:color="005CA9"/>
            </w:tcBorders>
          </w:tcPr>
          <w:p>
            <w:pPr>
              <w:spacing w:after="0"/>
              <w:rPr>
                <w:sz w:val="15"/>
                <w:szCs w:val="15"/>
                <w:color w:val="auto"/>
              </w:rPr>
            </w:pPr>
          </w:p>
        </w:tc>
        <w:tc>
          <w:tcPr>
            <w:tcW w:w="1080" w:type="dxa"/>
            <w:vAlign w:val="bottom"/>
            <w:tcBorders>
              <w:top w:val="single" w:sz="8" w:color="005CA9"/>
            </w:tcBorders>
          </w:tcPr>
          <w:p>
            <w:pPr>
              <w:spacing w:after="0"/>
              <w:rPr>
                <w:sz w:val="15"/>
                <w:szCs w:val="15"/>
                <w:color w:val="auto"/>
              </w:rPr>
            </w:pPr>
          </w:p>
        </w:tc>
        <w:tc>
          <w:tcPr>
            <w:tcW w:w="1280" w:type="dxa"/>
            <w:vAlign w:val="bottom"/>
            <w:tcBorders>
              <w:top w:val="single" w:sz="8" w:color="005CA9"/>
            </w:tcBorders>
          </w:tcPr>
          <w:p>
            <w:pPr>
              <w:spacing w:after="0"/>
              <w:rPr>
                <w:sz w:val="15"/>
                <w:szCs w:val="15"/>
                <w:color w:val="auto"/>
              </w:rPr>
            </w:pPr>
          </w:p>
        </w:tc>
        <w:tc>
          <w:tcPr>
            <w:tcW w:w="1460" w:type="dxa"/>
            <w:vAlign w:val="bottom"/>
            <w:tcBorders>
              <w:top w:val="single" w:sz="8" w:color="005CA9"/>
            </w:tcBorders>
          </w:tcPr>
          <w:p>
            <w:pPr>
              <w:jc w:val="center"/>
              <w:ind w:right="108"/>
              <w:spacing w:after="0"/>
              <w:rPr>
                <w:sz w:val="20"/>
                <w:szCs w:val="20"/>
                <w:color w:val="auto"/>
              </w:rPr>
            </w:pPr>
            <w:r>
              <w:rPr>
                <w:rFonts w:ascii="Calibri" w:cs="Calibri" w:eastAsia="Calibri" w:hAnsi="Calibri"/>
                <w:sz w:val="14"/>
                <w:szCs w:val="14"/>
                <w:b w:val="1"/>
                <w:bCs w:val="1"/>
                <w:color w:val="auto"/>
              </w:rPr>
              <w:t>Non-Equity</w:t>
            </w:r>
          </w:p>
        </w:tc>
        <w:tc>
          <w:tcPr>
            <w:tcW w:w="1540" w:type="dxa"/>
            <w:vAlign w:val="bottom"/>
            <w:tcBorders>
              <w:top w:val="single" w:sz="8" w:color="005CA9"/>
            </w:tcBorders>
          </w:tcPr>
          <w:p>
            <w:pPr>
              <w:spacing w:after="0"/>
              <w:rPr>
                <w:sz w:val="15"/>
                <w:szCs w:val="15"/>
                <w:color w:val="auto"/>
              </w:rPr>
            </w:pPr>
          </w:p>
        </w:tc>
        <w:tc>
          <w:tcPr>
            <w:tcW w:w="1180" w:type="dxa"/>
            <w:vAlign w:val="bottom"/>
            <w:tcBorders>
              <w:top w:val="single" w:sz="8" w:color="005CA9"/>
            </w:tcBorders>
          </w:tcPr>
          <w:p>
            <w:pPr>
              <w:spacing w:after="0"/>
              <w:rPr>
                <w:sz w:val="15"/>
                <w:szCs w:val="15"/>
                <w:color w:val="auto"/>
              </w:rPr>
            </w:pPr>
          </w:p>
        </w:tc>
      </w:tr>
      <w:tr>
        <w:trPr>
          <w:trHeight w:val="170"/>
        </w:trPr>
        <w:tc>
          <w:tcPr>
            <w:tcW w:w="2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jc w:val="center"/>
              <w:ind w:right="170"/>
              <w:spacing w:after="0"/>
              <w:rPr>
                <w:sz w:val="20"/>
                <w:szCs w:val="20"/>
                <w:color w:val="auto"/>
              </w:rPr>
            </w:pPr>
            <w:r>
              <w:rPr>
                <w:rFonts w:ascii="Calibri" w:cs="Calibri" w:eastAsia="Calibri" w:hAnsi="Calibri"/>
                <w:sz w:val="14"/>
                <w:szCs w:val="14"/>
                <w:b w:val="1"/>
                <w:bCs w:val="1"/>
                <w:color w:val="auto"/>
              </w:rPr>
              <w:t>Stock</w:t>
            </w:r>
          </w:p>
        </w:tc>
        <w:tc>
          <w:tcPr>
            <w:tcW w:w="1460" w:type="dxa"/>
            <w:vAlign w:val="bottom"/>
          </w:tcPr>
          <w:p>
            <w:pPr>
              <w:jc w:val="center"/>
              <w:ind w:right="108"/>
              <w:spacing w:after="0"/>
              <w:rPr>
                <w:sz w:val="20"/>
                <w:szCs w:val="20"/>
                <w:color w:val="auto"/>
              </w:rPr>
            </w:pPr>
            <w:r>
              <w:rPr>
                <w:rFonts w:ascii="Calibri" w:cs="Calibri" w:eastAsia="Calibri" w:hAnsi="Calibri"/>
                <w:sz w:val="14"/>
                <w:szCs w:val="14"/>
                <w:b w:val="1"/>
                <w:bCs w:val="1"/>
                <w:color w:val="auto"/>
              </w:rPr>
              <w:t>Incentve Plan</w:t>
            </w:r>
          </w:p>
        </w:tc>
        <w:tc>
          <w:tcPr>
            <w:tcW w:w="1540" w:type="dxa"/>
            <w:vAlign w:val="bottom"/>
          </w:tcPr>
          <w:p>
            <w:pPr>
              <w:jc w:val="center"/>
              <w:ind w:right="208"/>
              <w:spacing w:after="0"/>
              <w:rPr>
                <w:sz w:val="20"/>
                <w:szCs w:val="20"/>
                <w:color w:val="auto"/>
              </w:rPr>
            </w:pPr>
            <w:r>
              <w:rPr>
                <w:rFonts w:ascii="Calibri" w:cs="Calibri" w:eastAsia="Calibri" w:hAnsi="Calibri"/>
                <w:sz w:val="14"/>
                <w:szCs w:val="14"/>
                <w:b w:val="1"/>
                <w:bCs w:val="1"/>
                <w:color w:val="auto"/>
              </w:rPr>
              <w:t>All Other</w:t>
            </w:r>
          </w:p>
        </w:tc>
        <w:tc>
          <w:tcPr>
            <w:tcW w:w="1180" w:type="dxa"/>
            <w:vAlign w:val="bottom"/>
          </w:tcPr>
          <w:p>
            <w:pPr>
              <w:spacing w:after="0"/>
              <w:rPr>
                <w:sz w:val="14"/>
                <w:szCs w:val="14"/>
                <w:color w:val="auto"/>
              </w:rPr>
            </w:pPr>
          </w:p>
        </w:tc>
      </w:tr>
      <w:tr>
        <w:trPr>
          <w:trHeight w:val="159"/>
        </w:trPr>
        <w:tc>
          <w:tcPr>
            <w:tcW w:w="2400" w:type="dxa"/>
            <w:vAlign w:val="bottom"/>
          </w:tcPr>
          <w:p>
            <w:pPr>
              <w:ind w:left="20"/>
              <w:spacing w:after="0" w:line="159" w:lineRule="exact"/>
              <w:rPr>
                <w:sz w:val="20"/>
                <w:szCs w:val="20"/>
                <w:color w:val="auto"/>
              </w:rPr>
            </w:pPr>
            <w:r>
              <w:rPr>
                <w:rFonts w:ascii="Calibri" w:cs="Calibri" w:eastAsia="Calibri" w:hAnsi="Calibri"/>
                <w:sz w:val="14"/>
                <w:szCs w:val="14"/>
                <w:b w:val="1"/>
                <w:bCs w:val="1"/>
                <w:color w:val="auto"/>
              </w:rPr>
              <w:t>Name and</w:t>
            </w:r>
          </w:p>
        </w:tc>
        <w:tc>
          <w:tcPr>
            <w:tcW w:w="960" w:type="dxa"/>
            <w:vAlign w:val="bottom"/>
          </w:tcPr>
          <w:p>
            <w:pPr>
              <w:spacing w:after="0"/>
              <w:rPr>
                <w:sz w:val="13"/>
                <w:szCs w:val="13"/>
                <w:color w:val="auto"/>
              </w:rPr>
            </w:pPr>
          </w:p>
        </w:tc>
        <w:tc>
          <w:tcPr>
            <w:tcW w:w="1340" w:type="dxa"/>
            <w:vAlign w:val="bottom"/>
          </w:tcPr>
          <w:p>
            <w:pPr>
              <w:jc w:val="center"/>
              <w:ind w:right="188"/>
              <w:spacing w:after="0" w:line="159" w:lineRule="exact"/>
              <w:rPr>
                <w:sz w:val="20"/>
                <w:szCs w:val="20"/>
                <w:color w:val="auto"/>
              </w:rPr>
            </w:pPr>
            <w:r>
              <w:rPr>
                <w:rFonts w:ascii="Calibri" w:cs="Calibri" w:eastAsia="Calibri" w:hAnsi="Calibri"/>
                <w:sz w:val="14"/>
                <w:szCs w:val="14"/>
                <w:b w:val="1"/>
                <w:bCs w:val="1"/>
                <w:color w:val="auto"/>
              </w:rPr>
              <w:t>Salary</w:t>
            </w:r>
          </w:p>
        </w:tc>
        <w:tc>
          <w:tcPr>
            <w:tcW w:w="1080" w:type="dxa"/>
            <w:vAlign w:val="bottom"/>
          </w:tcPr>
          <w:p>
            <w:pPr>
              <w:jc w:val="center"/>
              <w:ind w:right="168"/>
              <w:spacing w:after="0" w:line="159" w:lineRule="exact"/>
              <w:rPr>
                <w:sz w:val="20"/>
                <w:szCs w:val="20"/>
                <w:color w:val="auto"/>
              </w:rPr>
            </w:pPr>
            <w:r>
              <w:rPr>
                <w:rFonts w:ascii="Calibri" w:cs="Calibri" w:eastAsia="Calibri" w:hAnsi="Calibri"/>
                <w:sz w:val="14"/>
                <w:szCs w:val="14"/>
                <w:b w:val="1"/>
                <w:bCs w:val="1"/>
                <w:color w:val="auto"/>
                <w:w w:val="99"/>
              </w:rPr>
              <w:t>Bonus</w:t>
            </w:r>
          </w:p>
        </w:tc>
        <w:tc>
          <w:tcPr>
            <w:tcW w:w="1280" w:type="dxa"/>
            <w:vAlign w:val="bottom"/>
          </w:tcPr>
          <w:p>
            <w:pPr>
              <w:jc w:val="center"/>
              <w:ind w:right="170"/>
              <w:spacing w:after="0" w:line="159" w:lineRule="exact"/>
              <w:rPr>
                <w:sz w:val="20"/>
                <w:szCs w:val="20"/>
                <w:color w:val="auto"/>
              </w:rPr>
            </w:pPr>
            <w:r>
              <w:rPr>
                <w:rFonts w:ascii="Calibri" w:cs="Calibri" w:eastAsia="Calibri" w:hAnsi="Calibri"/>
                <w:sz w:val="14"/>
                <w:szCs w:val="14"/>
                <w:b w:val="1"/>
                <w:bCs w:val="1"/>
                <w:color w:val="auto"/>
              </w:rPr>
              <w:t>Awards</w:t>
            </w:r>
          </w:p>
        </w:tc>
        <w:tc>
          <w:tcPr>
            <w:tcW w:w="1460" w:type="dxa"/>
            <w:vAlign w:val="bottom"/>
          </w:tcPr>
          <w:p>
            <w:pPr>
              <w:jc w:val="center"/>
              <w:ind w:right="88"/>
              <w:spacing w:after="0" w:line="159" w:lineRule="exact"/>
              <w:rPr>
                <w:sz w:val="20"/>
                <w:szCs w:val="20"/>
                <w:color w:val="auto"/>
              </w:rPr>
            </w:pPr>
            <w:r>
              <w:rPr>
                <w:rFonts w:ascii="Calibri" w:cs="Calibri" w:eastAsia="Calibri" w:hAnsi="Calibri"/>
                <w:sz w:val="14"/>
                <w:szCs w:val="14"/>
                <w:b w:val="1"/>
                <w:bCs w:val="1"/>
                <w:color w:val="auto"/>
              </w:rPr>
              <w:t>Compensaton</w:t>
            </w:r>
          </w:p>
        </w:tc>
        <w:tc>
          <w:tcPr>
            <w:tcW w:w="1540" w:type="dxa"/>
            <w:vAlign w:val="bottom"/>
          </w:tcPr>
          <w:p>
            <w:pPr>
              <w:jc w:val="center"/>
              <w:ind w:right="208"/>
              <w:spacing w:after="0" w:line="159" w:lineRule="exact"/>
              <w:rPr>
                <w:sz w:val="20"/>
                <w:szCs w:val="20"/>
                <w:color w:val="auto"/>
              </w:rPr>
            </w:pPr>
            <w:r>
              <w:rPr>
                <w:rFonts w:ascii="Calibri" w:cs="Calibri" w:eastAsia="Calibri" w:hAnsi="Calibri"/>
                <w:sz w:val="14"/>
                <w:szCs w:val="14"/>
                <w:b w:val="1"/>
                <w:bCs w:val="1"/>
                <w:color w:val="auto"/>
              </w:rPr>
              <w:t>Compensaton</w:t>
            </w:r>
          </w:p>
        </w:tc>
        <w:tc>
          <w:tcPr>
            <w:tcW w:w="1180" w:type="dxa"/>
            <w:vAlign w:val="bottom"/>
          </w:tcPr>
          <w:p>
            <w:pPr>
              <w:jc w:val="center"/>
              <w:ind w:right="128"/>
              <w:spacing w:after="0" w:line="159" w:lineRule="exact"/>
              <w:rPr>
                <w:sz w:val="20"/>
                <w:szCs w:val="20"/>
                <w:color w:val="auto"/>
              </w:rPr>
            </w:pPr>
            <w:r>
              <w:rPr>
                <w:rFonts w:ascii="Calibri" w:cs="Calibri" w:eastAsia="Calibri" w:hAnsi="Calibri"/>
                <w:sz w:val="14"/>
                <w:szCs w:val="14"/>
                <w:b w:val="1"/>
                <w:bCs w:val="1"/>
                <w:color w:val="auto"/>
              </w:rPr>
              <w:t>Total</w:t>
            </w:r>
          </w:p>
        </w:tc>
      </w:tr>
      <w:tr>
        <w:trPr>
          <w:trHeight w:val="197"/>
        </w:trPr>
        <w:tc>
          <w:tcPr>
            <w:tcW w:w="2400" w:type="dxa"/>
            <w:vAlign w:val="bottom"/>
          </w:tcPr>
          <w:p>
            <w:pPr>
              <w:ind w:left="20"/>
              <w:spacing w:after="0"/>
              <w:rPr>
                <w:sz w:val="20"/>
                <w:szCs w:val="20"/>
                <w:color w:val="auto"/>
              </w:rPr>
            </w:pPr>
            <w:r>
              <w:rPr>
                <w:rFonts w:ascii="Calibri" w:cs="Calibri" w:eastAsia="Calibri" w:hAnsi="Calibri"/>
                <w:sz w:val="14"/>
                <w:szCs w:val="14"/>
                <w:b w:val="1"/>
                <w:bCs w:val="1"/>
                <w:color w:val="auto"/>
              </w:rPr>
              <w:t>Principal Positon</w:t>
            </w:r>
          </w:p>
        </w:tc>
        <w:tc>
          <w:tcPr>
            <w:tcW w:w="960" w:type="dxa"/>
            <w:vAlign w:val="bottom"/>
          </w:tcPr>
          <w:p>
            <w:pPr>
              <w:jc w:val="center"/>
              <w:spacing w:after="0"/>
              <w:rPr>
                <w:sz w:val="20"/>
                <w:szCs w:val="20"/>
                <w:color w:val="auto"/>
              </w:rPr>
            </w:pPr>
            <w:r>
              <w:rPr>
                <w:rFonts w:ascii="Calibri" w:cs="Calibri" w:eastAsia="Calibri" w:hAnsi="Calibri"/>
                <w:sz w:val="14"/>
                <w:szCs w:val="14"/>
                <w:b w:val="1"/>
                <w:bCs w:val="1"/>
                <w:color w:val="auto"/>
              </w:rPr>
              <w:t>Year</w:t>
            </w:r>
          </w:p>
        </w:tc>
        <w:tc>
          <w:tcPr>
            <w:tcW w:w="1340" w:type="dxa"/>
            <w:vAlign w:val="bottom"/>
          </w:tcPr>
          <w:p>
            <w:pPr>
              <w:jc w:val="center"/>
              <w:ind w:right="208"/>
              <w:spacing w:after="0" w:line="198" w:lineRule="exact"/>
              <w:rPr>
                <w:sz w:val="20"/>
                <w:szCs w:val="20"/>
                <w:color w:val="auto"/>
              </w:rPr>
            </w:pPr>
            <w:r>
              <w:rPr>
                <w:rFonts w:ascii="Calibri" w:cs="Calibri" w:eastAsia="Calibri" w:hAnsi="Calibri"/>
                <w:sz w:val="14"/>
                <w:szCs w:val="14"/>
                <w:b w:val="1"/>
                <w:bCs w:val="1"/>
                <w:color w:val="auto"/>
                <w:w w:val="89"/>
              </w:rPr>
              <w:t xml:space="preserve">($) </w:t>
            </w:r>
            <w:r>
              <w:rPr>
                <w:rFonts w:ascii="Calibri" w:cs="Calibri" w:eastAsia="Calibri" w:hAnsi="Calibri"/>
                <w:sz w:val="19"/>
                <w:szCs w:val="19"/>
                <w:b w:val="1"/>
                <w:bCs w:val="1"/>
                <w:color w:val="auto"/>
                <w:w w:val="89"/>
                <w:vertAlign w:val="superscript"/>
              </w:rPr>
              <w:t>(1)</w:t>
            </w:r>
          </w:p>
        </w:tc>
        <w:tc>
          <w:tcPr>
            <w:tcW w:w="1080" w:type="dxa"/>
            <w:vAlign w:val="bottom"/>
          </w:tcPr>
          <w:p>
            <w:pPr>
              <w:jc w:val="center"/>
              <w:ind w:right="168"/>
              <w:spacing w:after="0" w:line="198" w:lineRule="exact"/>
              <w:rPr>
                <w:sz w:val="20"/>
                <w:szCs w:val="20"/>
                <w:color w:val="auto"/>
              </w:rPr>
            </w:pPr>
            <w:r>
              <w:rPr>
                <w:rFonts w:ascii="Calibri" w:cs="Calibri" w:eastAsia="Calibri" w:hAnsi="Calibri"/>
                <w:sz w:val="14"/>
                <w:szCs w:val="14"/>
                <w:b w:val="1"/>
                <w:bCs w:val="1"/>
                <w:color w:val="auto"/>
                <w:w w:val="95"/>
              </w:rPr>
              <w:t xml:space="preserve">($) </w:t>
            </w:r>
            <w:r>
              <w:rPr>
                <w:rFonts w:ascii="Calibri" w:cs="Calibri" w:eastAsia="Calibri" w:hAnsi="Calibri"/>
                <w:sz w:val="19"/>
                <w:szCs w:val="19"/>
                <w:b w:val="1"/>
                <w:bCs w:val="1"/>
                <w:color w:val="auto"/>
                <w:w w:val="95"/>
                <w:vertAlign w:val="superscript"/>
              </w:rPr>
              <w:t>(2)</w:t>
            </w:r>
          </w:p>
        </w:tc>
        <w:tc>
          <w:tcPr>
            <w:tcW w:w="1280" w:type="dxa"/>
            <w:vAlign w:val="bottom"/>
          </w:tcPr>
          <w:p>
            <w:pPr>
              <w:jc w:val="center"/>
              <w:ind w:right="170"/>
              <w:spacing w:after="0" w:line="197" w:lineRule="exact"/>
              <w:rPr>
                <w:sz w:val="20"/>
                <w:szCs w:val="20"/>
                <w:color w:val="auto"/>
              </w:rPr>
            </w:pPr>
            <w:r>
              <w:rPr>
                <w:rFonts w:ascii="Calibri" w:cs="Calibri" w:eastAsia="Calibri" w:hAnsi="Calibri"/>
                <w:sz w:val="21"/>
                <w:szCs w:val="21"/>
                <w:b w:val="1"/>
                <w:bCs w:val="1"/>
                <w:color w:val="auto"/>
                <w:vertAlign w:val="subscript"/>
              </w:rPr>
              <w:t>($)</w:t>
            </w:r>
            <w:r>
              <w:rPr>
                <w:rFonts w:ascii="Calibri" w:cs="Calibri" w:eastAsia="Calibri" w:hAnsi="Calibri"/>
                <w:sz w:val="8"/>
                <w:szCs w:val="8"/>
                <w:b w:val="1"/>
                <w:bCs w:val="1"/>
                <w:color w:val="auto"/>
              </w:rPr>
              <w:t xml:space="preserve"> (3) (4)</w:t>
            </w:r>
          </w:p>
        </w:tc>
        <w:tc>
          <w:tcPr>
            <w:tcW w:w="1460" w:type="dxa"/>
            <w:vAlign w:val="bottom"/>
          </w:tcPr>
          <w:p>
            <w:pPr>
              <w:jc w:val="center"/>
              <w:ind w:right="88"/>
              <w:spacing w:after="0" w:line="198" w:lineRule="exact"/>
              <w:rPr>
                <w:sz w:val="20"/>
                <w:szCs w:val="20"/>
                <w:color w:val="auto"/>
              </w:rPr>
            </w:pPr>
            <w:r>
              <w:rPr>
                <w:rFonts w:ascii="Calibri" w:cs="Calibri" w:eastAsia="Calibri" w:hAnsi="Calibri"/>
                <w:sz w:val="14"/>
                <w:szCs w:val="14"/>
                <w:b w:val="1"/>
                <w:bCs w:val="1"/>
                <w:color w:val="auto"/>
                <w:w w:val="89"/>
              </w:rPr>
              <w:t xml:space="preserve">($) </w:t>
            </w:r>
            <w:r>
              <w:rPr>
                <w:rFonts w:ascii="Calibri" w:cs="Calibri" w:eastAsia="Calibri" w:hAnsi="Calibri"/>
                <w:sz w:val="19"/>
                <w:szCs w:val="19"/>
                <w:b w:val="1"/>
                <w:bCs w:val="1"/>
                <w:color w:val="auto"/>
                <w:w w:val="89"/>
                <w:vertAlign w:val="superscript"/>
              </w:rPr>
              <w:t>(2)</w:t>
            </w:r>
          </w:p>
        </w:tc>
        <w:tc>
          <w:tcPr>
            <w:tcW w:w="1540" w:type="dxa"/>
            <w:vAlign w:val="bottom"/>
          </w:tcPr>
          <w:p>
            <w:pPr>
              <w:jc w:val="center"/>
              <w:ind w:right="208"/>
              <w:spacing w:after="0" w:line="198" w:lineRule="exact"/>
              <w:rPr>
                <w:sz w:val="20"/>
                <w:szCs w:val="20"/>
                <w:color w:val="auto"/>
              </w:rPr>
            </w:pPr>
            <w:r>
              <w:rPr>
                <w:rFonts w:ascii="Calibri" w:cs="Calibri" w:eastAsia="Calibri" w:hAnsi="Calibri"/>
                <w:sz w:val="14"/>
                <w:szCs w:val="14"/>
                <w:b w:val="1"/>
                <w:bCs w:val="1"/>
                <w:color w:val="auto"/>
                <w:w w:val="89"/>
              </w:rPr>
              <w:t xml:space="preserve">($) </w:t>
            </w:r>
            <w:r>
              <w:rPr>
                <w:rFonts w:ascii="Calibri" w:cs="Calibri" w:eastAsia="Calibri" w:hAnsi="Calibri"/>
                <w:sz w:val="19"/>
                <w:szCs w:val="19"/>
                <w:b w:val="1"/>
                <w:bCs w:val="1"/>
                <w:color w:val="auto"/>
                <w:w w:val="89"/>
                <w:vertAlign w:val="superscript"/>
              </w:rPr>
              <w:t>(5)</w:t>
            </w:r>
          </w:p>
        </w:tc>
        <w:tc>
          <w:tcPr>
            <w:tcW w:w="1180" w:type="dxa"/>
            <w:vAlign w:val="bottom"/>
          </w:tcPr>
          <w:p>
            <w:pPr>
              <w:jc w:val="center"/>
              <w:ind w:right="168"/>
              <w:spacing w:after="0" w:line="198" w:lineRule="exact"/>
              <w:rPr>
                <w:sz w:val="20"/>
                <w:szCs w:val="20"/>
                <w:color w:val="auto"/>
              </w:rPr>
            </w:pPr>
            <w:r>
              <w:rPr>
                <w:rFonts w:ascii="Calibri" w:cs="Calibri" w:eastAsia="Calibri" w:hAnsi="Calibri"/>
                <w:sz w:val="14"/>
                <w:szCs w:val="14"/>
                <w:b w:val="1"/>
                <w:bCs w:val="1"/>
                <w:color w:val="auto"/>
                <w:w w:val="89"/>
              </w:rPr>
              <w:t xml:space="preserve">($) </w:t>
            </w:r>
            <w:r>
              <w:rPr>
                <w:rFonts w:ascii="Calibri" w:cs="Calibri" w:eastAsia="Calibri" w:hAnsi="Calibri"/>
                <w:sz w:val="19"/>
                <w:szCs w:val="19"/>
                <w:b w:val="1"/>
                <w:bCs w:val="1"/>
                <w:color w:val="auto"/>
                <w:w w:val="89"/>
                <w:vertAlign w:val="superscript"/>
              </w:rPr>
              <w:t>(6)</w:t>
            </w:r>
          </w:p>
        </w:tc>
      </w:tr>
      <w:tr>
        <w:trPr>
          <w:trHeight w:val="170"/>
        </w:trPr>
        <w:tc>
          <w:tcPr>
            <w:tcW w:w="2400" w:type="dxa"/>
            <w:vAlign w:val="bottom"/>
          </w:tcPr>
          <w:p>
            <w:pPr>
              <w:ind w:left="20"/>
              <w:spacing w:after="0"/>
              <w:rPr>
                <w:sz w:val="20"/>
                <w:szCs w:val="20"/>
                <w:color w:val="auto"/>
              </w:rPr>
            </w:pPr>
            <w:r>
              <w:rPr>
                <w:rFonts w:ascii="Calibri" w:cs="Calibri" w:eastAsia="Calibri" w:hAnsi="Calibri"/>
                <w:sz w:val="14"/>
                <w:szCs w:val="14"/>
                <w:b w:val="1"/>
                <w:bCs w:val="1"/>
                <w:color w:val="auto"/>
              </w:rPr>
              <w:t>(a)</w:t>
            </w:r>
          </w:p>
        </w:tc>
        <w:tc>
          <w:tcPr>
            <w:tcW w:w="96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(b)</w:t>
            </w:r>
          </w:p>
        </w:tc>
        <w:tc>
          <w:tcPr>
            <w:tcW w:w="1340" w:type="dxa"/>
            <w:vAlign w:val="bottom"/>
          </w:tcPr>
          <w:p>
            <w:pPr>
              <w:jc w:val="center"/>
              <w:ind w:right="188"/>
              <w:spacing w:after="0"/>
              <w:rPr>
                <w:sz w:val="20"/>
                <w:szCs w:val="20"/>
                <w:color w:val="auto"/>
              </w:rPr>
            </w:pPr>
            <w:r>
              <w:rPr>
                <w:rFonts w:ascii="Calibri" w:cs="Calibri" w:eastAsia="Calibri" w:hAnsi="Calibri"/>
                <w:sz w:val="14"/>
                <w:szCs w:val="14"/>
                <w:b w:val="1"/>
                <w:bCs w:val="1"/>
                <w:color w:val="auto"/>
              </w:rPr>
              <w:t>(c)</w:t>
            </w:r>
          </w:p>
        </w:tc>
        <w:tc>
          <w:tcPr>
            <w:tcW w:w="1080" w:type="dxa"/>
            <w:vAlign w:val="bottom"/>
          </w:tcPr>
          <w:p>
            <w:pPr>
              <w:jc w:val="center"/>
              <w:ind w:right="168"/>
              <w:spacing w:after="0"/>
              <w:rPr>
                <w:sz w:val="20"/>
                <w:szCs w:val="20"/>
                <w:color w:val="auto"/>
              </w:rPr>
            </w:pPr>
            <w:r>
              <w:rPr>
                <w:rFonts w:ascii="Calibri" w:cs="Calibri" w:eastAsia="Calibri" w:hAnsi="Calibri"/>
                <w:sz w:val="14"/>
                <w:szCs w:val="14"/>
                <w:b w:val="1"/>
                <w:bCs w:val="1"/>
                <w:color w:val="auto"/>
                <w:w w:val="98"/>
              </w:rPr>
              <w:t>(d)</w:t>
            </w:r>
          </w:p>
        </w:tc>
        <w:tc>
          <w:tcPr>
            <w:tcW w:w="1280" w:type="dxa"/>
            <w:vAlign w:val="bottom"/>
          </w:tcPr>
          <w:p>
            <w:pPr>
              <w:jc w:val="center"/>
              <w:ind w:right="170"/>
              <w:spacing w:after="0"/>
              <w:rPr>
                <w:sz w:val="20"/>
                <w:szCs w:val="20"/>
                <w:color w:val="auto"/>
              </w:rPr>
            </w:pPr>
            <w:r>
              <w:rPr>
                <w:rFonts w:ascii="Calibri" w:cs="Calibri" w:eastAsia="Calibri" w:hAnsi="Calibri"/>
                <w:sz w:val="14"/>
                <w:szCs w:val="14"/>
                <w:b w:val="1"/>
                <w:bCs w:val="1"/>
                <w:color w:val="auto"/>
              </w:rPr>
              <w:t>(e)</w:t>
            </w:r>
          </w:p>
        </w:tc>
        <w:tc>
          <w:tcPr>
            <w:tcW w:w="1460" w:type="dxa"/>
            <w:vAlign w:val="bottom"/>
          </w:tcPr>
          <w:p>
            <w:pPr>
              <w:jc w:val="center"/>
              <w:ind w:right="108"/>
              <w:spacing w:after="0"/>
              <w:rPr>
                <w:sz w:val="20"/>
                <w:szCs w:val="20"/>
                <w:color w:val="auto"/>
              </w:rPr>
            </w:pPr>
            <w:r>
              <w:rPr>
                <w:rFonts w:ascii="Calibri" w:cs="Calibri" w:eastAsia="Calibri" w:hAnsi="Calibri"/>
                <w:sz w:val="14"/>
                <w:szCs w:val="14"/>
                <w:b w:val="1"/>
                <w:bCs w:val="1"/>
                <w:color w:val="auto"/>
              </w:rPr>
              <w:t>(g)</w:t>
            </w:r>
          </w:p>
        </w:tc>
        <w:tc>
          <w:tcPr>
            <w:tcW w:w="1540" w:type="dxa"/>
            <w:vAlign w:val="bottom"/>
          </w:tcPr>
          <w:p>
            <w:pPr>
              <w:jc w:val="center"/>
              <w:ind w:right="208"/>
              <w:spacing w:after="0"/>
              <w:rPr>
                <w:sz w:val="20"/>
                <w:szCs w:val="20"/>
                <w:color w:val="auto"/>
              </w:rPr>
            </w:pPr>
            <w:r>
              <w:rPr>
                <w:rFonts w:ascii="Calibri" w:cs="Calibri" w:eastAsia="Calibri" w:hAnsi="Calibri"/>
                <w:sz w:val="14"/>
                <w:szCs w:val="14"/>
                <w:b w:val="1"/>
                <w:bCs w:val="1"/>
                <w:color w:val="auto"/>
              </w:rPr>
              <w:t>(i)</w:t>
            </w:r>
          </w:p>
        </w:tc>
        <w:tc>
          <w:tcPr>
            <w:tcW w:w="1180" w:type="dxa"/>
            <w:vAlign w:val="bottom"/>
          </w:tcPr>
          <w:p>
            <w:pPr>
              <w:jc w:val="center"/>
              <w:ind w:right="128"/>
              <w:spacing w:after="0"/>
              <w:rPr>
                <w:sz w:val="20"/>
                <w:szCs w:val="20"/>
                <w:color w:val="auto"/>
              </w:rPr>
            </w:pPr>
            <w:r>
              <w:rPr>
                <w:rFonts w:ascii="Calibri" w:cs="Calibri" w:eastAsia="Calibri" w:hAnsi="Calibri"/>
                <w:sz w:val="14"/>
                <w:szCs w:val="14"/>
                <w:b w:val="1"/>
                <w:bCs w:val="1"/>
                <w:color w:val="auto"/>
              </w:rPr>
              <w:t>(j)</w:t>
            </w:r>
          </w:p>
        </w:tc>
      </w:tr>
      <w:tr>
        <w:trPr>
          <w:trHeight w:val="40"/>
        </w:trPr>
        <w:tc>
          <w:tcPr>
            <w:tcW w:w="2400" w:type="dxa"/>
            <w:vAlign w:val="bottom"/>
            <w:tcBorders>
              <w:bottom w:val="single" w:sz="8" w:color="005CA9"/>
            </w:tcBorders>
          </w:tcPr>
          <w:p>
            <w:pPr>
              <w:spacing w:after="0"/>
              <w:rPr>
                <w:sz w:val="3"/>
                <w:szCs w:val="3"/>
                <w:color w:val="auto"/>
              </w:rPr>
            </w:pPr>
          </w:p>
        </w:tc>
        <w:tc>
          <w:tcPr>
            <w:tcW w:w="960" w:type="dxa"/>
            <w:vAlign w:val="bottom"/>
            <w:tcBorders>
              <w:bottom w:val="single" w:sz="8" w:color="005CA9"/>
            </w:tcBorders>
          </w:tcPr>
          <w:p>
            <w:pPr>
              <w:spacing w:after="0"/>
              <w:rPr>
                <w:sz w:val="3"/>
                <w:szCs w:val="3"/>
                <w:color w:val="auto"/>
              </w:rPr>
            </w:pPr>
          </w:p>
        </w:tc>
        <w:tc>
          <w:tcPr>
            <w:tcW w:w="1340" w:type="dxa"/>
            <w:vAlign w:val="bottom"/>
            <w:tcBorders>
              <w:bottom w:val="single" w:sz="8" w:color="005CA9"/>
            </w:tcBorders>
          </w:tcPr>
          <w:p>
            <w:pPr>
              <w:spacing w:after="0"/>
              <w:rPr>
                <w:sz w:val="3"/>
                <w:szCs w:val="3"/>
                <w:color w:val="auto"/>
              </w:rPr>
            </w:pPr>
          </w:p>
        </w:tc>
        <w:tc>
          <w:tcPr>
            <w:tcW w:w="1080" w:type="dxa"/>
            <w:vAlign w:val="bottom"/>
            <w:tcBorders>
              <w:bottom w:val="single" w:sz="8" w:color="005CA9"/>
            </w:tcBorders>
          </w:tcPr>
          <w:p>
            <w:pPr>
              <w:spacing w:after="0"/>
              <w:rPr>
                <w:sz w:val="3"/>
                <w:szCs w:val="3"/>
                <w:color w:val="auto"/>
              </w:rPr>
            </w:pPr>
          </w:p>
        </w:tc>
        <w:tc>
          <w:tcPr>
            <w:tcW w:w="1280" w:type="dxa"/>
            <w:vAlign w:val="bottom"/>
            <w:tcBorders>
              <w:bottom w:val="single" w:sz="8" w:color="005CA9"/>
            </w:tcBorders>
          </w:tcPr>
          <w:p>
            <w:pPr>
              <w:spacing w:after="0"/>
              <w:rPr>
                <w:sz w:val="3"/>
                <w:szCs w:val="3"/>
                <w:color w:val="auto"/>
              </w:rPr>
            </w:pPr>
          </w:p>
        </w:tc>
        <w:tc>
          <w:tcPr>
            <w:tcW w:w="1460" w:type="dxa"/>
            <w:vAlign w:val="bottom"/>
            <w:tcBorders>
              <w:bottom w:val="single" w:sz="8" w:color="005CA9"/>
            </w:tcBorders>
          </w:tcPr>
          <w:p>
            <w:pPr>
              <w:spacing w:after="0"/>
              <w:rPr>
                <w:sz w:val="3"/>
                <w:szCs w:val="3"/>
                <w:color w:val="auto"/>
              </w:rPr>
            </w:pPr>
          </w:p>
        </w:tc>
        <w:tc>
          <w:tcPr>
            <w:tcW w:w="1540" w:type="dxa"/>
            <w:vAlign w:val="bottom"/>
            <w:tcBorders>
              <w:bottom w:val="single" w:sz="8" w:color="005CA9"/>
            </w:tcBorders>
          </w:tcPr>
          <w:p>
            <w:pPr>
              <w:spacing w:after="0"/>
              <w:rPr>
                <w:sz w:val="3"/>
                <w:szCs w:val="3"/>
                <w:color w:val="auto"/>
              </w:rPr>
            </w:pPr>
          </w:p>
        </w:tc>
        <w:tc>
          <w:tcPr>
            <w:tcW w:w="1180" w:type="dxa"/>
            <w:vAlign w:val="bottom"/>
            <w:tcBorders>
              <w:bottom w:val="single" w:sz="8" w:color="005CA9"/>
            </w:tcBorders>
          </w:tcPr>
          <w:p>
            <w:pPr>
              <w:spacing w:after="0"/>
              <w:rPr>
                <w:sz w:val="3"/>
                <w:szCs w:val="3"/>
                <w:color w:val="auto"/>
              </w:rPr>
            </w:pPr>
          </w:p>
        </w:tc>
      </w:tr>
      <w:tr>
        <w:trPr>
          <w:trHeight w:val="170"/>
        </w:trPr>
        <w:tc>
          <w:tcPr>
            <w:tcW w:w="240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Dr. Keh-Shew Lu</w:t>
            </w:r>
          </w:p>
        </w:tc>
        <w:tc>
          <w:tcPr>
            <w:tcW w:w="960" w:type="dxa"/>
            <w:vAlign w:val="bottom"/>
            <w:shd w:val="clear" w:color="auto" w:fill="CFF0FC"/>
          </w:tcPr>
          <w:p>
            <w:pPr>
              <w:jc w:val="center"/>
              <w:spacing w:after="0"/>
              <w:rPr>
                <w:sz w:val="20"/>
                <w:szCs w:val="20"/>
                <w:color w:val="auto"/>
              </w:rPr>
            </w:pPr>
            <w:r>
              <w:rPr>
                <w:rFonts w:ascii="Calibri" w:cs="Calibri" w:eastAsia="Calibri" w:hAnsi="Calibri"/>
                <w:sz w:val="14"/>
                <w:szCs w:val="14"/>
                <w:b w:val="1"/>
                <w:bCs w:val="1"/>
                <w:color w:val="auto"/>
                <w:w w:val="98"/>
              </w:rPr>
              <w:t>2024</w:t>
            </w:r>
          </w:p>
        </w:tc>
        <w:tc>
          <w:tcPr>
            <w:tcW w:w="134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b w:val="1"/>
                <w:bCs w:val="1"/>
                <w:color w:val="auto"/>
              </w:rPr>
              <w:t>740,192</w:t>
            </w:r>
          </w:p>
        </w:tc>
        <w:tc>
          <w:tcPr>
            <w:tcW w:w="10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CFF0FC"/>
          </w:tcPr>
          <w:p>
            <w:pPr>
              <w:jc w:val="right"/>
              <w:ind w:right="130"/>
              <w:spacing w:after="0"/>
              <w:rPr>
                <w:sz w:val="20"/>
                <w:szCs w:val="20"/>
                <w:color w:val="auto"/>
              </w:rPr>
            </w:pPr>
            <w:r>
              <w:rPr>
                <w:rFonts w:ascii="Calibri" w:cs="Calibri" w:eastAsia="Calibri" w:hAnsi="Calibri"/>
                <w:sz w:val="14"/>
                <w:szCs w:val="14"/>
                <w:b w:val="1"/>
                <w:bCs w:val="1"/>
                <w:color w:val="auto"/>
              </w:rPr>
              <w:t>3,821,600</w:t>
            </w:r>
          </w:p>
        </w:tc>
        <w:tc>
          <w:tcPr>
            <w:tcW w:w="146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b w:val="1"/>
                <w:bCs w:val="1"/>
                <w:color w:val="auto"/>
              </w:rPr>
              <w:t>165,269</w:t>
            </w:r>
          </w:p>
        </w:tc>
        <w:tc>
          <w:tcPr>
            <w:tcW w:w="1540" w:type="dxa"/>
            <w:vAlign w:val="bottom"/>
            <w:shd w:val="clear" w:color="auto" w:fill="CFF0FC"/>
          </w:tcPr>
          <w:p>
            <w:pPr>
              <w:jc w:val="right"/>
              <w:ind w:right="248"/>
              <w:spacing w:after="0"/>
              <w:rPr>
                <w:sz w:val="20"/>
                <w:szCs w:val="20"/>
                <w:color w:val="auto"/>
              </w:rPr>
            </w:pPr>
            <w:r>
              <w:rPr>
                <w:rFonts w:ascii="Calibri" w:cs="Calibri" w:eastAsia="Calibri" w:hAnsi="Calibri"/>
                <w:sz w:val="14"/>
                <w:szCs w:val="14"/>
                <w:b w:val="1"/>
                <w:bCs w:val="1"/>
                <w:color w:val="auto"/>
              </w:rPr>
              <w:t>96,166</w:t>
            </w:r>
          </w:p>
        </w:tc>
        <w:tc>
          <w:tcPr>
            <w:tcW w:w="11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b w:val="1"/>
                <w:bCs w:val="1"/>
                <w:color w:val="auto"/>
              </w:rPr>
              <w:t>4,823,227</w:t>
            </w:r>
          </w:p>
        </w:tc>
      </w:tr>
      <w:tr>
        <w:trPr>
          <w:trHeight w:val="170"/>
        </w:trPr>
        <w:tc>
          <w:tcPr>
            <w:tcW w:w="24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Chairman and</w:t>
            </w:r>
          </w:p>
        </w:tc>
        <w:tc>
          <w:tcPr>
            <w:tcW w:w="9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8"/>
              </w:rPr>
              <w:t>2023</w:t>
            </w:r>
          </w:p>
        </w:tc>
        <w:tc>
          <w:tcPr>
            <w:tcW w:w="134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color w:val="auto"/>
              </w:rPr>
              <w:t>805,753</w:t>
            </w:r>
          </w:p>
        </w:tc>
        <w:tc>
          <w:tcPr>
            <w:tcW w:w="10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CFF0FC"/>
          </w:tcPr>
          <w:p>
            <w:pPr>
              <w:jc w:val="right"/>
              <w:ind w:right="130"/>
              <w:spacing w:after="0"/>
              <w:rPr>
                <w:sz w:val="20"/>
                <w:szCs w:val="20"/>
                <w:color w:val="auto"/>
              </w:rPr>
            </w:pPr>
            <w:r>
              <w:rPr>
                <w:rFonts w:ascii="Calibri" w:cs="Calibri" w:eastAsia="Calibri" w:hAnsi="Calibri"/>
                <w:sz w:val="14"/>
                <w:szCs w:val="14"/>
                <w:color w:val="auto"/>
              </w:rPr>
              <w:t>8,365,620</w:t>
            </w:r>
          </w:p>
        </w:tc>
        <w:tc>
          <w:tcPr>
            <w:tcW w:w="146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color w:val="auto"/>
              </w:rPr>
              <w:t>211,905</w:t>
            </w:r>
          </w:p>
        </w:tc>
        <w:tc>
          <w:tcPr>
            <w:tcW w:w="1540" w:type="dxa"/>
            <w:vAlign w:val="bottom"/>
            <w:shd w:val="clear" w:color="auto" w:fill="CFF0FC"/>
          </w:tcPr>
          <w:p>
            <w:pPr>
              <w:jc w:val="right"/>
              <w:ind w:right="248"/>
              <w:spacing w:after="0"/>
              <w:rPr>
                <w:sz w:val="20"/>
                <w:szCs w:val="20"/>
                <w:color w:val="auto"/>
              </w:rPr>
            </w:pPr>
            <w:r>
              <w:rPr>
                <w:rFonts w:ascii="Calibri" w:cs="Calibri" w:eastAsia="Calibri" w:hAnsi="Calibri"/>
                <w:sz w:val="14"/>
                <w:szCs w:val="14"/>
                <w:color w:val="auto"/>
              </w:rPr>
              <w:t>100,538</w:t>
            </w:r>
          </w:p>
        </w:tc>
        <w:tc>
          <w:tcPr>
            <w:tcW w:w="11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b w:val="1"/>
                <w:bCs w:val="1"/>
                <w:color w:val="auto"/>
              </w:rPr>
              <w:t>9,483,816</w:t>
            </w:r>
          </w:p>
        </w:tc>
      </w:tr>
      <w:tr>
        <w:trPr>
          <w:trHeight w:val="187"/>
        </w:trPr>
        <w:tc>
          <w:tcPr>
            <w:tcW w:w="24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Chief Executve Ofcer</w:t>
            </w:r>
          </w:p>
        </w:tc>
        <w:tc>
          <w:tcPr>
            <w:tcW w:w="9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8"/>
              </w:rPr>
              <w:t>2022</w:t>
            </w:r>
          </w:p>
        </w:tc>
        <w:tc>
          <w:tcPr>
            <w:tcW w:w="134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color w:val="auto"/>
              </w:rPr>
              <w:t>757,303</w:t>
            </w:r>
          </w:p>
        </w:tc>
        <w:tc>
          <w:tcPr>
            <w:tcW w:w="10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204,615</w:t>
            </w:r>
          </w:p>
        </w:tc>
        <w:tc>
          <w:tcPr>
            <w:tcW w:w="1280" w:type="dxa"/>
            <w:vAlign w:val="bottom"/>
            <w:shd w:val="clear" w:color="auto" w:fill="CFF0FC"/>
          </w:tcPr>
          <w:p>
            <w:pPr>
              <w:jc w:val="right"/>
              <w:ind w:right="130"/>
              <w:spacing w:after="0"/>
              <w:rPr>
                <w:sz w:val="20"/>
                <w:szCs w:val="20"/>
                <w:color w:val="auto"/>
              </w:rPr>
            </w:pPr>
            <w:r>
              <w:rPr>
                <w:rFonts w:ascii="Calibri" w:cs="Calibri" w:eastAsia="Calibri" w:hAnsi="Calibri"/>
                <w:sz w:val="14"/>
                <w:szCs w:val="14"/>
                <w:color w:val="auto"/>
              </w:rPr>
              <w:t>6,250,510</w:t>
            </w:r>
          </w:p>
        </w:tc>
        <w:tc>
          <w:tcPr>
            <w:tcW w:w="146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color w:val="auto"/>
              </w:rPr>
              <w:t>1,714,886</w:t>
            </w:r>
          </w:p>
        </w:tc>
        <w:tc>
          <w:tcPr>
            <w:tcW w:w="1540" w:type="dxa"/>
            <w:vAlign w:val="bottom"/>
            <w:shd w:val="clear" w:color="auto" w:fill="CFF0FC"/>
          </w:tcPr>
          <w:p>
            <w:pPr>
              <w:jc w:val="right"/>
              <w:ind w:right="248"/>
              <w:spacing w:after="0"/>
              <w:rPr>
                <w:sz w:val="20"/>
                <w:szCs w:val="20"/>
                <w:color w:val="auto"/>
              </w:rPr>
            </w:pPr>
            <w:r>
              <w:rPr>
                <w:rFonts w:ascii="Calibri" w:cs="Calibri" w:eastAsia="Calibri" w:hAnsi="Calibri"/>
                <w:sz w:val="14"/>
                <w:szCs w:val="14"/>
                <w:color w:val="auto"/>
              </w:rPr>
              <w:t>118,332</w:t>
            </w:r>
          </w:p>
        </w:tc>
        <w:tc>
          <w:tcPr>
            <w:tcW w:w="11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b w:val="1"/>
                <w:bCs w:val="1"/>
                <w:color w:val="auto"/>
              </w:rPr>
              <w:t>9,045,646</w:t>
            </w:r>
          </w:p>
        </w:tc>
      </w:tr>
      <w:tr>
        <w:trPr>
          <w:trHeight w:val="161"/>
        </w:trPr>
        <w:tc>
          <w:tcPr>
            <w:tcW w:w="2400" w:type="dxa"/>
            <w:vAlign w:val="bottom"/>
          </w:tcPr>
          <w:p>
            <w:pPr>
              <w:ind w:left="20"/>
              <w:spacing w:after="0" w:line="161" w:lineRule="exact"/>
              <w:rPr>
                <w:sz w:val="20"/>
                <w:szCs w:val="20"/>
                <w:color w:val="auto"/>
              </w:rPr>
            </w:pPr>
            <w:r>
              <w:rPr>
                <w:rFonts w:ascii="Calibri" w:cs="Calibri" w:eastAsia="Calibri" w:hAnsi="Calibri"/>
                <w:sz w:val="14"/>
                <w:szCs w:val="14"/>
                <w:b w:val="1"/>
                <w:bCs w:val="1"/>
                <w:color w:val="auto"/>
              </w:rPr>
              <w:t>Bret R. Whitmire</w:t>
            </w:r>
          </w:p>
        </w:tc>
        <w:tc>
          <w:tcPr>
            <w:tcW w:w="960" w:type="dxa"/>
            <w:vAlign w:val="bottom"/>
          </w:tcPr>
          <w:p>
            <w:pPr>
              <w:jc w:val="center"/>
              <w:spacing w:after="0" w:line="161" w:lineRule="exact"/>
              <w:rPr>
                <w:sz w:val="20"/>
                <w:szCs w:val="20"/>
                <w:color w:val="auto"/>
              </w:rPr>
            </w:pPr>
            <w:r>
              <w:rPr>
                <w:rFonts w:ascii="Calibri" w:cs="Calibri" w:eastAsia="Calibri" w:hAnsi="Calibri"/>
                <w:sz w:val="14"/>
                <w:szCs w:val="14"/>
                <w:b w:val="1"/>
                <w:bCs w:val="1"/>
                <w:color w:val="auto"/>
                <w:w w:val="98"/>
              </w:rPr>
              <w:t>2024</w:t>
            </w:r>
          </w:p>
        </w:tc>
        <w:tc>
          <w:tcPr>
            <w:tcW w:w="1340" w:type="dxa"/>
            <w:vAlign w:val="bottom"/>
          </w:tcPr>
          <w:p>
            <w:pPr>
              <w:jc w:val="right"/>
              <w:ind w:right="168"/>
              <w:spacing w:after="0" w:line="161" w:lineRule="exact"/>
              <w:rPr>
                <w:sz w:val="20"/>
                <w:szCs w:val="20"/>
                <w:color w:val="auto"/>
              </w:rPr>
            </w:pPr>
            <w:r>
              <w:rPr>
                <w:rFonts w:ascii="Calibri" w:cs="Calibri" w:eastAsia="Calibri" w:hAnsi="Calibri"/>
                <w:sz w:val="14"/>
                <w:szCs w:val="14"/>
                <w:b w:val="1"/>
                <w:bCs w:val="1"/>
                <w:color w:val="auto"/>
              </w:rPr>
              <w:t>330,000</w:t>
            </w:r>
          </w:p>
        </w:tc>
        <w:tc>
          <w:tcPr>
            <w:tcW w:w="1080" w:type="dxa"/>
            <w:vAlign w:val="bottom"/>
          </w:tcPr>
          <w:p>
            <w:pPr>
              <w:jc w:val="right"/>
              <w:ind w:right="208"/>
              <w:spacing w:after="0" w:line="161" w:lineRule="exact"/>
              <w:rPr>
                <w:sz w:val="20"/>
                <w:szCs w:val="20"/>
                <w:color w:val="auto"/>
              </w:rPr>
            </w:pPr>
            <w:r>
              <w:rPr>
                <w:rFonts w:ascii="Calibri" w:cs="Calibri" w:eastAsia="Calibri" w:hAnsi="Calibri"/>
                <w:sz w:val="14"/>
                <w:szCs w:val="14"/>
                <w:color w:val="auto"/>
              </w:rPr>
              <w:t>—</w:t>
            </w:r>
          </w:p>
        </w:tc>
        <w:tc>
          <w:tcPr>
            <w:tcW w:w="1280" w:type="dxa"/>
            <w:vAlign w:val="bottom"/>
          </w:tcPr>
          <w:p>
            <w:pPr>
              <w:jc w:val="right"/>
              <w:ind w:right="130"/>
              <w:spacing w:after="0" w:line="161" w:lineRule="exact"/>
              <w:rPr>
                <w:sz w:val="20"/>
                <w:szCs w:val="20"/>
                <w:color w:val="auto"/>
              </w:rPr>
            </w:pPr>
            <w:r>
              <w:rPr>
                <w:rFonts w:ascii="Calibri" w:cs="Calibri" w:eastAsia="Calibri" w:hAnsi="Calibri"/>
                <w:sz w:val="14"/>
                <w:szCs w:val="14"/>
                <w:b w:val="1"/>
                <w:bCs w:val="1"/>
                <w:color w:val="auto"/>
              </w:rPr>
              <w:t>825,818</w:t>
            </w:r>
          </w:p>
        </w:tc>
        <w:tc>
          <w:tcPr>
            <w:tcW w:w="1460" w:type="dxa"/>
            <w:vAlign w:val="bottom"/>
          </w:tcPr>
          <w:p>
            <w:pPr>
              <w:jc w:val="right"/>
              <w:ind w:right="128"/>
              <w:spacing w:after="0" w:line="161" w:lineRule="exact"/>
              <w:rPr>
                <w:sz w:val="20"/>
                <w:szCs w:val="20"/>
                <w:color w:val="auto"/>
              </w:rPr>
            </w:pPr>
            <w:r>
              <w:rPr>
                <w:rFonts w:ascii="Calibri" w:cs="Calibri" w:eastAsia="Calibri" w:hAnsi="Calibri"/>
                <w:sz w:val="14"/>
                <w:szCs w:val="14"/>
                <w:b w:val="1"/>
                <w:bCs w:val="1"/>
                <w:color w:val="auto"/>
              </w:rPr>
              <w:t>28,494</w:t>
            </w:r>
          </w:p>
        </w:tc>
        <w:tc>
          <w:tcPr>
            <w:tcW w:w="1540" w:type="dxa"/>
            <w:vAlign w:val="bottom"/>
          </w:tcPr>
          <w:p>
            <w:pPr>
              <w:jc w:val="right"/>
              <w:ind w:right="248"/>
              <w:spacing w:after="0" w:line="161" w:lineRule="exact"/>
              <w:rPr>
                <w:sz w:val="20"/>
                <w:szCs w:val="20"/>
                <w:color w:val="auto"/>
              </w:rPr>
            </w:pPr>
            <w:r>
              <w:rPr>
                <w:rFonts w:ascii="Calibri" w:cs="Calibri" w:eastAsia="Calibri" w:hAnsi="Calibri"/>
                <w:sz w:val="14"/>
                <w:szCs w:val="14"/>
                <w:b w:val="1"/>
                <w:bCs w:val="1"/>
                <w:color w:val="auto"/>
              </w:rPr>
              <w:t>53,066</w:t>
            </w:r>
          </w:p>
        </w:tc>
        <w:tc>
          <w:tcPr>
            <w:tcW w:w="1180" w:type="dxa"/>
            <w:vAlign w:val="bottom"/>
          </w:tcPr>
          <w:p>
            <w:pPr>
              <w:jc w:val="right"/>
              <w:ind w:right="48"/>
              <w:spacing w:after="0" w:line="161" w:lineRule="exact"/>
              <w:rPr>
                <w:sz w:val="20"/>
                <w:szCs w:val="20"/>
                <w:color w:val="auto"/>
              </w:rPr>
            </w:pPr>
            <w:r>
              <w:rPr>
                <w:rFonts w:ascii="Calibri" w:cs="Calibri" w:eastAsia="Calibri" w:hAnsi="Calibri"/>
                <w:sz w:val="14"/>
                <w:szCs w:val="14"/>
                <w:b w:val="1"/>
                <w:bCs w:val="1"/>
                <w:color w:val="auto"/>
              </w:rPr>
              <w:t>1,237,378</w:t>
            </w:r>
          </w:p>
        </w:tc>
      </w:tr>
      <w:tr>
        <w:trPr>
          <w:trHeight w:val="170"/>
        </w:trPr>
        <w:tc>
          <w:tcPr>
            <w:tcW w:w="2400" w:type="dxa"/>
            <w:vAlign w:val="bottom"/>
          </w:tcPr>
          <w:p>
            <w:pPr>
              <w:ind w:left="20"/>
              <w:spacing w:after="0"/>
              <w:rPr>
                <w:sz w:val="20"/>
                <w:szCs w:val="20"/>
                <w:color w:val="auto"/>
              </w:rPr>
            </w:pPr>
            <w:r>
              <w:rPr>
                <w:rFonts w:ascii="Calibri" w:cs="Calibri" w:eastAsia="Calibri" w:hAnsi="Calibri"/>
                <w:sz w:val="14"/>
                <w:szCs w:val="14"/>
                <w:color w:val="auto"/>
              </w:rPr>
              <w:t>Chief Financial Ofcer</w:t>
            </w:r>
          </w:p>
        </w:tc>
        <w:tc>
          <w:tcPr>
            <w:tcW w:w="960" w:type="dxa"/>
            <w:vAlign w:val="bottom"/>
          </w:tcPr>
          <w:p>
            <w:pPr>
              <w:jc w:val="center"/>
              <w:spacing w:after="0"/>
              <w:rPr>
                <w:sz w:val="20"/>
                <w:szCs w:val="20"/>
                <w:color w:val="auto"/>
              </w:rPr>
            </w:pPr>
            <w:r>
              <w:rPr>
                <w:rFonts w:ascii="Calibri" w:cs="Calibri" w:eastAsia="Calibri" w:hAnsi="Calibri"/>
                <w:sz w:val="14"/>
                <w:szCs w:val="14"/>
                <w:color w:val="auto"/>
                <w:w w:val="98"/>
              </w:rPr>
              <w:t>2023</w:t>
            </w:r>
          </w:p>
        </w:tc>
        <w:tc>
          <w:tcPr>
            <w:tcW w:w="1340" w:type="dxa"/>
            <w:vAlign w:val="bottom"/>
          </w:tcPr>
          <w:p>
            <w:pPr>
              <w:jc w:val="right"/>
              <w:ind w:right="168"/>
              <w:spacing w:after="0"/>
              <w:rPr>
                <w:sz w:val="20"/>
                <w:szCs w:val="20"/>
                <w:color w:val="auto"/>
              </w:rPr>
            </w:pPr>
            <w:r>
              <w:rPr>
                <w:rFonts w:ascii="Calibri" w:cs="Calibri" w:eastAsia="Calibri" w:hAnsi="Calibri"/>
                <w:sz w:val="14"/>
                <w:szCs w:val="14"/>
                <w:color w:val="auto"/>
              </w:rPr>
              <w:t>328,301</w:t>
            </w:r>
          </w:p>
        </w:tc>
        <w:tc>
          <w:tcPr>
            <w:tcW w:w="1080" w:type="dxa"/>
            <w:vAlign w:val="bottom"/>
          </w:tcPr>
          <w:p>
            <w:pPr>
              <w:jc w:val="right"/>
              <w:ind w:right="208"/>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130"/>
              <w:spacing w:after="0"/>
              <w:rPr>
                <w:sz w:val="20"/>
                <w:szCs w:val="20"/>
                <w:color w:val="auto"/>
              </w:rPr>
            </w:pPr>
            <w:r>
              <w:rPr>
                <w:rFonts w:ascii="Calibri" w:cs="Calibri" w:eastAsia="Calibri" w:hAnsi="Calibri"/>
                <w:sz w:val="14"/>
                <w:szCs w:val="14"/>
                <w:color w:val="auto"/>
              </w:rPr>
              <w:t>1,680,300</w:t>
            </w:r>
          </w:p>
        </w:tc>
        <w:tc>
          <w:tcPr>
            <w:tcW w:w="1460" w:type="dxa"/>
            <w:vAlign w:val="bottom"/>
          </w:tcPr>
          <w:p>
            <w:pPr>
              <w:jc w:val="right"/>
              <w:ind w:right="128"/>
              <w:spacing w:after="0"/>
              <w:rPr>
                <w:sz w:val="20"/>
                <w:szCs w:val="20"/>
                <w:color w:val="auto"/>
              </w:rPr>
            </w:pPr>
            <w:r>
              <w:rPr>
                <w:rFonts w:ascii="Calibri" w:cs="Calibri" w:eastAsia="Calibri" w:hAnsi="Calibri"/>
                <w:sz w:val="14"/>
                <w:szCs w:val="14"/>
                <w:color w:val="auto"/>
              </w:rPr>
              <w:t>48,370</w:t>
            </w:r>
          </w:p>
        </w:tc>
        <w:tc>
          <w:tcPr>
            <w:tcW w:w="1540" w:type="dxa"/>
            <w:vAlign w:val="bottom"/>
          </w:tcPr>
          <w:p>
            <w:pPr>
              <w:jc w:val="right"/>
              <w:ind w:right="248"/>
              <w:spacing w:after="0"/>
              <w:rPr>
                <w:sz w:val="20"/>
                <w:szCs w:val="20"/>
                <w:color w:val="auto"/>
              </w:rPr>
            </w:pPr>
            <w:r>
              <w:rPr>
                <w:rFonts w:ascii="Calibri" w:cs="Calibri" w:eastAsia="Calibri" w:hAnsi="Calibri"/>
                <w:sz w:val="14"/>
                <w:szCs w:val="14"/>
                <w:color w:val="auto"/>
              </w:rPr>
              <w:t>52,622</w:t>
            </w:r>
          </w:p>
        </w:tc>
        <w:tc>
          <w:tcPr>
            <w:tcW w:w="1180" w:type="dxa"/>
            <w:vAlign w:val="bottom"/>
          </w:tcPr>
          <w:p>
            <w:pPr>
              <w:jc w:val="right"/>
              <w:ind w:right="48"/>
              <w:spacing w:after="0"/>
              <w:rPr>
                <w:sz w:val="20"/>
                <w:szCs w:val="20"/>
                <w:color w:val="auto"/>
              </w:rPr>
            </w:pPr>
            <w:r>
              <w:rPr>
                <w:rFonts w:ascii="Calibri" w:cs="Calibri" w:eastAsia="Calibri" w:hAnsi="Calibri"/>
                <w:sz w:val="14"/>
                <w:szCs w:val="14"/>
                <w:color w:val="auto"/>
              </w:rPr>
              <w:t>2,109,594</w:t>
            </w:r>
          </w:p>
        </w:tc>
      </w:tr>
      <w:tr>
        <w:trPr>
          <w:trHeight w:val="175"/>
        </w:trPr>
        <w:tc>
          <w:tcPr>
            <w:tcW w:w="24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4"/>
                <w:szCs w:val="14"/>
                <w:color w:val="auto"/>
                <w:w w:val="98"/>
              </w:rPr>
              <w:t>2022</w:t>
            </w:r>
          </w:p>
        </w:tc>
        <w:tc>
          <w:tcPr>
            <w:tcW w:w="1340" w:type="dxa"/>
            <w:vAlign w:val="bottom"/>
          </w:tcPr>
          <w:p>
            <w:pPr>
              <w:jc w:val="right"/>
              <w:ind w:right="168"/>
              <w:spacing w:after="0"/>
              <w:rPr>
                <w:sz w:val="20"/>
                <w:szCs w:val="20"/>
                <w:color w:val="auto"/>
              </w:rPr>
            </w:pPr>
            <w:r>
              <w:rPr>
                <w:rFonts w:ascii="Calibri" w:cs="Calibri" w:eastAsia="Calibri" w:hAnsi="Calibri"/>
                <w:sz w:val="14"/>
                <w:szCs w:val="14"/>
                <w:color w:val="auto"/>
              </w:rPr>
              <w:t>308,641</w:t>
            </w:r>
          </w:p>
        </w:tc>
        <w:tc>
          <w:tcPr>
            <w:tcW w:w="1080" w:type="dxa"/>
            <w:vAlign w:val="bottom"/>
          </w:tcPr>
          <w:p>
            <w:pPr>
              <w:jc w:val="right"/>
              <w:ind w:right="208"/>
              <w:spacing w:after="0"/>
              <w:rPr>
                <w:sz w:val="20"/>
                <w:szCs w:val="20"/>
                <w:color w:val="auto"/>
              </w:rPr>
            </w:pPr>
            <w:r>
              <w:rPr>
                <w:rFonts w:ascii="Calibri" w:cs="Calibri" w:eastAsia="Calibri" w:hAnsi="Calibri"/>
                <w:sz w:val="14"/>
                <w:szCs w:val="14"/>
                <w:color w:val="auto"/>
              </w:rPr>
              <w:t>83,461</w:t>
            </w:r>
          </w:p>
        </w:tc>
        <w:tc>
          <w:tcPr>
            <w:tcW w:w="1280" w:type="dxa"/>
            <w:vAlign w:val="bottom"/>
          </w:tcPr>
          <w:p>
            <w:pPr>
              <w:jc w:val="right"/>
              <w:ind w:right="130"/>
              <w:spacing w:after="0"/>
              <w:rPr>
                <w:sz w:val="20"/>
                <w:szCs w:val="20"/>
                <w:color w:val="auto"/>
              </w:rPr>
            </w:pPr>
            <w:r>
              <w:rPr>
                <w:rFonts w:ascii="Calibri" w:cs="Calibri" w:eastAsia="Calibri" w:hAnsi="Calibri"/>
                <w:sz w:val="14"/>
                <w:szCs w:val="14"/>
                <w:color w:val="auto"/>
              </w:rPr>
              <w:t>1,396,728</w:t>
            </w:r>
          </w:p>
        </w:tc>
        <w:tc>
          <w:tcPr>
            <w:tcW w:w="1460" w:type="dxa"/>
            <w:vAlign w:val="bottom"/>
          </w:tcPr>
          <w:p>
            <w:pPr>
              <w:jc w:val="right"/>
              <w:ind w:right="128"/>
              <w:spacing w:after="0"/>
              <w:rPr>
                <w:sz w:val="20"/>
                <w:szCs w:val="20"/>
                <w:color w:val="auto"/>
              </w:rPr>
            </w:pPr>
            <w:r>
              <w:rPr>
                <w:rFonts w:ascii="Calibri" w:cs="Calibri" w:eastAsia="Calibri" w:hAnsi="Calibri"/>
                <w:sz w:val="14"/>
                <w:szCs w:val="14"/>
                <w:color w:val="auto"/>
              </w:rPr>
              <w:t>391,716</w:t>
            </w:r>
          </w:p>
        </w:tc>
        <w:tc>
          <w:tcPr>
            <w:tcW w:w="1540" w:type="dxa"/>
            <w:vAlign w:val="bottom"/>
          </w:tcPr>
          <w:p>
            <w:pPr>
              <w:jc w:val="right"/>
              <w:ind w:right="248"/>
              <w:spacing w:after="0"/>
              <w:rPr>
                <w:sz w:val="20"/>
                <w:szCs w:val="20"/>
                <w:color w:val="auto"/>
              </w:rPr>
            </w:pPr>
            <w:r>
              <w:rPr>
                <w:rFonts w:ascii="Calibri" w:cs="Calibri" w:eastAsia="Calibri" w:hAnsi="Calibri"/>
                <w:sz w:val="14"/>
                <w:szCs w:val="14"/>
                <w:color w:val="auto"/>
              </w:rPr>
              <w:t>50,721</w:t>
            </w:r>
          </w:p>
        </w:tc>
        <w:tc>
          <w:tcPr>
            <w:tcW w:w="1180" w:type="dxa"/>
            <w:vAlign w:val="bottom"/>
          </w:tcPr>
          <w:p>
            <w:pPr>
              <w:jc w:val="right"/>
              <w:ind w:right="48"/>
              <w:spacing w:after="0"/>
              <w:rPr>
                <w:sz w:val="20"/>
                <w:szCs w:val="20"/>
                <w:color w:val="auto"/>
              </w:rPr>
            </w:pPr>
            <w:r>
              <w:rPr>
                <w:rFonts w:ascii="Calibri" w:cs="Calibri" w:eastAsia="Calibri" w:hAnsi="Calibri"/>
                <w:sz w:val="14"/>
                <w:szCs w:val="14"/>
                <w:color w:val="auto"/>
              </w:rPr>
              <w:t>2,231,267</w:t>
            </w:r>
          </w:p>
        </w:tc>
      </w:tr>
      <w:tr>
        <w:trPr>
          <w:trHeight w:val="20"/>
        </w:trPr>
        <w:tc>
          <w:tcPr>
            <w:tcW w:w="2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0"/>
        </w:trPr>
        <w:tc>
          <w:tcPr>
            <w:tcW w:w="240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Gary Yu</w:t>
            </w:r>
          </w:p>
        </w:tc>
        <w:tc>
          <w:tcPr>
            <w:tcW w:w="960" w:type="dxa"/>
            <w:vAlign w:val="bottom"/>
            <w:shd w:val="clear" w:color="auto" w:fill="CFF0FC"/>
          </w:tcPr>
          <w:p>
            <w:pPr>
              <w:jc w:val="center"/>
              <w:spacing w:after="0"/>
              <w:rPr>
                <w:sz w:val="20"/>
                <w:szCs w:val="20"/>
                <w:color w:val="auto"/>
              </w:rPr>
            </w:pPr>
            <w:r>
              <w:rPr>
                <w:rFonts w:ascii="Calibri" w:cs="Calibri" w:eastAsia="Calibri" w:hAnsi="Calibri"/>
                <w:sz w:val="14"/>
                <w:szCs w:val="14"/>
                <w:b w:val="1"/>
                <w:bCs w:val="1"/>
                <w:color w:val="auto"/>
                <w:w w:val="98"/>
              </w:rPr>
              <w:t>2024</w:t>
            </w:r>
          </w:p>
        </w:tc>
        <w:tc>
          <w:tcPr>
            <w:tcW w:w="134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b w:val="1"/>
                <w:bCs w:val="1"/>
                <w:color w:val="auto"/>
              </w:rPr>
              <w:t>629,507</w:t>
            </w:r>
          </w:p>
        </w:tc>
        <w:tc>
          <w:tcPr>
            <w:tcW w:w="10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CFF0FC"/>
          </w:tcPr>
          <w:p>
            <w:pPr>
              <w:jc w:val="right"/>
              <w:ind w:right="130"/>
              <w:spacing w:after="0"/>
              <w:rPr>
                <w:sz w:val="20"/>
                <w:szCs w:val="20"/>
                <w:color w:val="auto"/>
              </w:rPr>
            </w:pPr>
            <w:r>
              <w:rPr>
                <w:rFonts w:ascii="Calibri" w:cs="Calibri" w:eastAsia="Calibri" w:hAnsi="Calibri"/>
                <w:sz w:val="14"/>
                <w:szCs w:val="14"/>
                <w:b w:val="1"/>
                <w:bCs w:val="1"/>
                <w:color w:val="auto"/>
              </w:rPr>
              <w:t>3,196,910</w:t>
            </w:r>
          </w:p>
        </w:tc>
        <w:tc>
          <w:tcPr>
            <w:tcW w:w="146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b w:val="1"/>
                <w:bCs w:val="1"/>
                <w:color w:val="auto"/>
              </w:rPr>
              <w:t>126,632</w:t>
            </w:r>
          </w:p>
        </w:tc>
        <w:tc>
          <w:tcPr>
            <w:tcW w:w="1540" w:type="dxa"/>
            <w:vAlign w:val="bottom"/>
            <w:shd w:val="clear" w:color="auto" w:fill="CFF0FC"/>
          </w:tcPr>
          <w:p>
            <w:pPr>
              <w:jc w:val="right"/>
              <w:ind w:right="248"/>
              <w:spacing w:after="0"/>
              <w:rPr>
                <w:sz w:val="20"/>
                <w:szCs w:val="20"/>
                <w:color w:val="auto"/>
              </w:rPr>
            </w:pPr>
            <w:r>
              <w:rPr>
                <w:rFonts w:ascii="Calibri" w:cs="Calibri" w:eastAsia="Calibri" w:hAnsi="Calibri"/>
                <w:sz w:val="14"/>
                <w:szCs w:val="14"/>
                <w:b w:val="1"/>
                <w:bCs w:val="1"/>
                <w:color w:val="auto"/>
              </w:rPr>
              <w:t>21,894</w:t>
            </w:r>
          </w:p>
        </w:tc>
        <w:tc>
          <w:tcPr>
            <w:tcW w:w="11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b w:val="1"/>
                <w:bCs w:val="1"/>
                <w:color w:val="auto"/>
              </w:rPr>
              <w:t>3,974,943</w:t>
            </w:r>
          </w:p>
        </w:tc>
      </w:tr>
      <w:tr>
        <w:trPr>
          <w:trHeight w:val="175"/>
        </w:trPr>
        <w:tc>
          <w:tcPr>
            <w:tcW w:w="240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President</w:t>
            </w:r>
          </w:p>
        </w:tc>
        <w:tc>
          <w:tcPr>
            <w:tcW w:w="9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8"/>
              </w:rPr>
              <w:t>2023</w:t>
            </w:r>
          </w:p>
        </w:tc>
        <w:tc>
          <w:tcPr>
            <w:tcW w:w="134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color w:val="auto"/>
              </w:rPr>
              <w:t>441,507</w:t>
            </w:r>
          </w:p>
        </w:tc>
        <w:tc>
          <w:tcPr>
            <w:tcW w:w="10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CFF0FC"/>
          </w:tcPr>
          <w:p>
            <w:pPr>
              <w:jc w:val="right"/>
              <w:ind w:right="130"/>
              <w:spacing w:after="0"/>
              <w:rPr>
                <w:sz w:val="20"/>
                <w:szCs w:val="20"/>
                <w:color w:val="auto"/>
              </w:rPr>
            </w:pPr>
            <w:r>
              <w:rPr>
                <w:rFonts w:ascii="Calibri" w:cs="Calibri" w:eastAsia="Calibri" w:hAnsi="Calibri"/>
                <w:sz w:val="14"/>
                <w:szCs w:val="14"/>
                <w:color w:val="auto"/>
              </w:rPr>
              <w:t>2,427,100</w:t>
            </w:r>
          </w:p>
        </w:tc>
        <w:tc>
          <w:tcPr>
            <w:tcW w:w="146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color w:val="auto"/>
              </w:rPr>
              <w:t>65,959</w:t>
            </w:r>
          </w:p>
        </w:tc>
        <w:tc>
          <w:tcPr>
            <w:tcW w:w="1540" w:type="dxa"/>
            <w:vAlign w:val="bottom"/>
            <w:shd w:val="clear" w:color="auto" w:fill="CFF0FC"/>
          </w:tcPr>
          <w:p>
            <w:pPr>
              <w:jc w:val="right"/>
              <w:ind w:right="248"/>
              <w:spacing w:after="0"/>
              <w:rPr>
                <w:sz w:val="20"/>
                <w:szCs w:val="20"/>
                <w:color w:val="auto"/>
              </w:rPr>
            </w:pPr>
            <w:r>
              <w:rPr>
                <w:rFonts w:ascii="Calibri" w:cs="Calibri" w:eastAsia="Calibri" w:hAnsi="Calibri"/>
                <w:sz w:val="14"/>
                <w:szCs w:val="14"/>
                <w:color w:val="auto"/>
              </w:rPr>
              <w:t>15,905</w:t>
            </w:r>
          </w:p>
        </w:tc>
        <w:tc>
          <w:tcPr>
            <w:tcW w:w="11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2,950,471</w:t>
            </w:r>
          </w:p>
        </w:tc>
      </w:tr>
      <w:tr>
        <w:trPr>
          <w:trHeight w:val="216"/>
        </w:trPr>
        <w:tc>
          <w:tcPr>
            <w:tcW w:w="24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Calibri" w:cs="Calibri" w:eastAsia="Calibri" w:hAnsi="Calibri"/>
                <w:sz w:val="14"/>
                <w:szCs w:val="14"/>
                <w:color w:val="auto"/>
                <w:w w:val="98"/>
              </w:rPr>
              <w:t>2022</w:t>
            </w:r>
          </w:p>
        </w:tc>
        <w:tc>
          <w:tcPr>
            <w:tcW w:w="1340" w:type="dxa"/>
            <w:vAlign w:val="bottom"/>
            <w:tcBorders>
              <w:bottom w:val="single" w:sz="8" w:color="CFF0FC"/>
            </w:tcBorders>
            <w:shd w:val="clear" w:color="auto" w:fill="CFF0FC"/>
          </w:tcPr>
          <w:p>
            <w:pPr>
              <w:jc w:val="right"/>
              <w:ind w:right="168"/>
              <w:spacing w:after="0"/>
              <w:rPr>
                <w:sz w:val="20"/>
                <w:szCs w:val="20"/>
                <w:color w:val="auto"/>
              </w:rPr>
            </w:pPr>
            <w:r>
              <w:rPr>
                <w:rFonts w:ascii="Calibri" w:cs="Calibri" w:eastAsia="Calibri" w:hAnsi="Calibri"/>
                <w:sz w:val="14"/>
                <w:szCs w:val="14"/>
                <w:color w:val="auto"/>
              </w:rPr>
              <w:t>348,301</w:t>
            </w:r>
          </w:p>
        </w:tc>
        <w:tc>
          <w:tcPr>
            <w:tcW w:w="1080" w:type="dxa"/>
            <w:vAlign w:val="bottom"/>
            <w:tcBorders>
              <w:bottom w:val="single" w:sz="8" w:color="CFF0FC"/>
            </w:tcBorders>
            <w:shd w:val="clear" w:color="auto" w:fill="CFF0FC"/>
          </w:tcPr>
          <w:p>
            <w:pPr>
              <w:jc w:val="right"/>
              <w:ind w:right="208"/>
              <w:spacing w:after="0"/>
              <w:rPr>
                <w:sz w:val="20"/>
                <w:szCs w:val="20"/>
                <w:color w:val="auto"/>
              </w:rPr>
            </w:pPr>
            <w:r>
              <w:rPr>
                <w:rFonts w:ascii="Calibri" w:cs="Calibri" w:eastAsia="Calibri" w:hAnsi="Calibri"/>
                <w:sz w:val="14"/>
                <w:szCs w:val="14"/>
                <w:color w:val="auto"/>
              </w:rPr>
              <w:t>94,231</w:t>
            </w:r>
          </w:p>
        </w:tc>
        <w:tc>
          <w:tcPr>
            <w:tcW w:w="1280" w:type="dxa"/>
            <w:vAlign w:val="bottom"/>
            <w:tcBorders>
              <w:bottom w:val="single" w:sz="8" w:color="CFF0FC"/>
            </w:tcBorders>
            <w:shd w:val="clear" w:color="auto" w:fill="CFF0FC"/>
          </w:tcPr>
          <w:p>
            <w:pPr>
              <w:jc w:val="right"/>
              <w:ind w:right="130"/>
              <w:spacing w:after="0"/>
              <w:rPr>
                <w:sz w:val="20"/>
                <w:szCs w:val="20"/>
                <w:color w:val="auto"/>
              </w:rPr>
            </w:pPr>
            <w:r>
              <w:rPr>
                <w:rFonts w:ascii="Calibri" w:cs="Calibri" w:eastAsia="Calibri" w:hAnsi="Calibri"/>
                <w:sz w:val="14"/>
                <w:szCs w:val="14"/>
                <w:color w:val="auto"/>
              </w:rPr>
              <w:t>1,562,130</w:t>
            </w:r>
          </w:p>
        </w:tc>
        <w:tc>
          <w:tcPr>
            <w:tcW w:w="1460" w:type="dxa"/>
            <w:vAlign w:val="bottom"/>
            <w:tcBorders>
              <w:bottom w:val="single" w:sz="8" w:color="CFF0FC"/>
            </w:tcBorders>
            <w:shd w:val="clear" w:color="auto" w:fill="CFF0FC"/>
          </w:tcPr>
          <w:p>
            <w:pPr>
              <w:jc w:val="right"/>
              <w:ind w:right="128"/>
              <w:spacing w:after="0"/>
              <w:rPr>
                <w:sz w:val="20"/>
                <w:szCs w:val="20"/>
                <w:color w:val="auto"/>
              </w:rPr>
            </w:pPr>
            <w:r>
              <w:rPr>
                <w:rFonts w:ascii="Calibri" w:cs="Calibri" w:eastAsia="Calibri" w:hAnsi="Calibri"/>
                <w:sz w:val="14"/>
                <w:szCs w:val="14"/>
                <w:color w:val="auto"/>
              </w:rPr>
              <w:t>442,260</w:t>
            </w:r>
          </w:p>
        </w:tc>
        <w:tc>
          <w:tcPr>
            <w:tcW w:w="1540" w:type="dxa"/>
            <w:vAlign w:val="bottom"/>
            <w:tcBorders>
              <w:bottom w:val="single" w:sz="8" w:color="CFF0FC"/>
            </w:tcBorders>
            <w:shd w:val="clear" w:color="auto" w:fill="CFF0FC"/>
          </w:tcPr>
          <w:p>
            <w:pPr>
              <w:jc w:val="right"/>
              <w:ind w:right="248"/>
              <w:spacing w:after="0"/>
              <w:rPr>
                <w:sz w:val="20"/>
                <w:szCs w:val="20"/>
                <w:color w:val="auto"/>
              </w:rPr>
            </w:pPr>
            <w:r>
              <w:rPr>
                <w:rFonts w:ascii="Calibri" w:cs="Calibri" w:eastAsia="Calibri" w:hAnsi="Calibri"/>
                <w:sz w:val="14"/>
                <w:szCs w:val="14"/>
                <w:color w:val="auto"/>
              </w:rPr>
              <w:t>12,082</w:t>
            </w:r>
          </w:p>
        </w:tc>
        <w:tc>
          <w:tcPr>
            <w:tcW w:w="118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2,459,005</w:t>
            </w:r>
          </w:p>
        </w:tc>
      </w:tr>
      <w:tr>
        <w:trPr>
          <w:trHeight w:val="161"/>
        </w:trPr>
        <w:tc>
          <w:tcPr>
            <w:tcW w:w="2400" w:type="dxa"/>
            <w:vAlign w:val="bottom"/>
          </w:tcPr>
          <w:p>
            <w:pPr>
              <w:ind w:left="20"/>
              <w:spacing w:after="0" w:line="161" w:lineRule="exact"/>
              <w:rPr>
                <w:sz w:val="20"/>
                <w:szCs w:val="20"/>
                <w:color w:val="auto"/>
              </w:rPr>
            </w:pPr>
            <w:r>
              <w:rPr>
                <w:rFonts w:ascii="Calibri" w:cs="Calibri" w:eastAsia="Calibri" w:hAnsi="Calibri"/>
                <w:sz w:val="14"/>
                <w:szCs w:val="14"/>
                <w:b w:val="1"/>
                <w:bCs w:val="1"/>
                <w:color w:val="auto"/>
              </w:rPr>
              <w:t>Francis Tang</w:t>
            </w:r>
          </w:p>
        </w:tc>
        <w:tc>
          <w:tcPr>
            <w:tcW w:w="960" w:type="dxa"/>
            <w:vAlign w:val="bottom"/>
          </w:tcPr>
          <w:p>
            <w:pPr>
              <w:jc w:val="center"/>
              <w:spacing w:after="0" w:line="161" w:lineRule="exact"/>
              <w:rPr>
                <w:sz w:val="20"/>
                <w:szCs w:val="20"/>
                <w:color w:val="auto"/>
              </w:rPr>
            </w:pPr>
            <w:r>
              <w:rPr>
                <w:rFonts w:ascii="Calibri" w:cs="Calibri" w:eastAsia="Calibri" w:hAnsi="Calibri"/>
                <w:sz w:val="14"/>
                <w:szCs w:val="14"/>
                <w:b w:val="1"/>
                <w:bCs w:val="1"/>
                <w:color w:val="auto"/>
                <w:w w:val="98"/>
              </w:rPr>
              <w:t>2024</w:t>
            </w:r>
          </w:p>
        </w:tc>
        <w:tc>
          <w:tcPr>
            <w:tcW w:w="1340" w:type="dxa"/>
            <w:vAlign w:val="bottom"/>
          </w:tcPr>
          <w:p>
            <w:pPr>
              <w:jc w:val="right"/>
              <w:ind w:right="168"/>
              <w:spacing w:after="0" w:line="161" w:lineRule="exact"/>
              <w:rPr>
                <w:sz w:val="20"/>
                <w:szCs w:val="20"/>
                <w:color w:val="auto"/>
              </w:rPr>
            </w:pPr>
            <w:r>
              <w:rPr>
                <w:rFonts w:ascii="Calibri" w:cs="Calibri" w:eastAsia="Calibri" w:hAnsi="Calibri"/>
                <w:sz w:val="14"/>
                <w:szCs w:val="14"/>
                <w:b w:val="1"/>
                <w:bCs w:val="1"/>
                <w:color w:val="auto"/>
              </w:rPr>
              <w:t>410,000</w:t>
            </w:r>
          </w:p>
        </w:tc>
        <w:tc>
          <w:tcPr>
            <w:tcW w:w="1080" w:type="dxa"/>
            <w:vAlign w:val="bottom"/>
          </w:tcPr>
          <w:p>
            <w:pPr>
              <w:jc w:val="right"/>
              <w:ind w:right="208"/>
              <w:spacing w:after="0" w:line="161" w:lineRule="exact"/>
              <w:rPr>
                <w:sz w:val="20"/>
                <w:szCs w:val="20"/>
                <w:color w:val="auto"/>
              </w:rPr>
            </w:pPr>
            <w:r>
              <w:rPr>
                <w:rFonts w:ascii="Calibri" w:cs="Calibri" w:eastAsia="Calibri" w:hAnsi="Calibri"/>
                <w:sz w:val="14"/>
                <w:szCs w:val="14"/>
                <w:color w:val="auto"/>
              </w:rPr>
              <w:t>—</w:t>
            </w:r>
          </w:p>
        </w:tc>
        <w:tc>
          <w:tcPr>
            <w:tcW w:w="1280" w:type="dxa"/>
            <w:vAlign w:val="bottom"/>
          </w:tcPr>
          <w:p>
            <w:pPr>
              <w:jc w:val="right"/>
              <w:ind w:right="130"/>
              <w:spacing w:after="0" w:line="161" w:lineRule="exact"/>
              <w:rPr>
                <w:sz w:val="20"/>
                <w:szCs w:val="20"/>
                <w:color w:val="auto"/>
              </w:rPr>
            </w:pPr>
            <w:r>
              <w:rPr>
                <w:rFonts w:ascii="Calibri" w:cs="Calibri" w:eastAsia="Calibri" w:hAnsi="Calibri"/>
                <w:sz w:val="14"/>
                <w:szCs w:val="14"/>
                <w:b w:val="1"/>
                <w:bCs w:val="1"/>
                <w:color w:val="auto"/>
              </w:rPr>
              <w:t>974,736</w:t>
            </w:r>
          </w:p>
        </w:tc>
        <w:tc>
          <w:tcPr>
            <w:tcW w:w="1460" w:type="dxa"/>
            <w:vAlign w:val="bottom"/>
          </w:tcPr>
          <w:p>
            <w:pPr>
              <w:jc w:val="right"/>
              <w:ind w:right="128"/>
              <w:spacing w:after="0" w:line="161" w:lineRule="exact"/>
              <w:rPr>
                <w:sz w:val="20"/>
                <w:szCs w:val="20"/>
                <w:color w:val="auto"/>
              </w:rPr>
            </w:pPr>
            <w:r>
              <w:rPr>
                <w:rFonts w:ascii="Calibri" w:cs="Calibri" w:eastAsia="Calibri" w:hAnsi="Calibri"/>
                <w:sz w:val="14"/>
                <w:szCs w:val="14"/>
                <w:b w:val="1"/>
                <w:bCs w:val="1"/>
                <w:color w:val="auto"/>
              </w:rPr>
              <w:t>59,519</w:t>
            </w:r>
          </w:p>
        </w:tc>
        <w:tc>
          <w:tcPr>
            <w:tcW w:w="1540" w:type="dxa"/>
            <w:vAlign w:val="bottom"/>
          </w:tcPr>
          <w:p>
            <w:pPr>
              <w:jc w:val="right"/>
              <w:ind w:right="248"/>
              <w:spacing w:after="0" w:line="161" w:lineRule="exact"/>
              <w:rPr>
                <w:sz w:val="20"/>
                <w:szCs w:val="20"/>
                <w:color w:val="auto"/>
              </w:rPr>
            </w:pPr>
            <w:r>
              <w:rPr>
                <w:rFonts w:ascii="Calibri" w:cs="Calibri" w:eastAsia="Calibri" w:hAnsi="Calibri"/>
                <w:sz w:val="14"/>
                <w:szCs w:val="14"/>
                <w:b w:val="1"/>
                <w:bCs w:val="1"/>
                <w:color w:val="auto"/>
              </w:rPr>
              <w:t>36,445</w:t>
            </w:r>
          </w:p>
        </w:tc>
        <w:tc>
          <w:tcPr>
            <w:tcW w:w="1180" w:type="dxa"/>
            <w:vAlign w:val="bottom"/>
          </w:tcPr>
          <w:p>
            <w:pPr>
              <w:jc w:val="right"/>
              <w:ind w:right="48"/>
              <w:spacing w:after="0" w:line="161" w:lineRule="exact"/>
              <w:rPr>
                <w:sz w:val="20"/>
                <w:szCs w:val="20"/>
                <w:color w:val="auto"/>
              </w:rPr>
            </w:pPr>
            <w:r>
              <w:rPr>
                <w:rFonts w:ascii="Calibri" w:cs="Calibri" w:eastAsia="Calibri" w:hAnsi="Calibri"/>
                <w:sz w:val="14"/>
                <w:szCs w:val="14"/>
                <w:b w:val="1"/>
                <w:bCs w:val="1"/>
                <w:color w:val="auto"/>
              </w:rPr>
              <w:t>1,480,700</w:t>
            </w:r>
          </w:p>
        </w:tc>
      </w:tr>
      <w:tr>
        <w:trPr>
          <w:trHeight w:val="170"/>
        </w:trPr>
        <w:tc>
          <w:tcPr>
            <w:tcW w:w="2400" w:type="dxa"/>
            <w:vAlign w:val="bottom"/>
          </w:tcPr>
          <w:p>
            <w:pPr>
              <w:ind w:left="20"/>
              <w:spacing w:after="0"/>
              <w:rPr>
                <w:sz w:val="20"/>
                <w:szCs w:val="20"/>
                <w:color w:val="auto"/>
              </w:rPr>
            </w:pPr>
            <w:r>
              <w:rPr>
                <w:rFonts w:ascii="Calibri" w:cs="Calibri" w:eastAsia="Calibri" w:hAnsi="Calibri"/>
                <w:sz w:val="14"/>
                <w:szCs w:val="14"/>
                <w:color w:val="auto"/>
              </w:rPr>
              <w:t>Senior Vice President,</w:t>
            </w:r>
          </w:p>
        </w:tc>
        <w:tc>
          <w:tcPr>
            <w:tcW w:w="960" w:type="dxa"/>
            <w:vAlign w:val="bottom"/>
          </w:tcPr>
          <w:p>
            <w:pPr>
              <w:jc w:val="center"/>
              <w:spacing w:after="0"/>
              <w:rPr>
                <w:sz w:val="20"/>
                <w:szCs w:val="20"/>
                <w:color w:val="auto"/>
              </w:rPr>
            </w:pPr>
            <w:r>
              <w:rPr>
                <w:rFonts w:ascii="Calibri" w:cs="Calibri" w:eastAsia="Calibri" w:hAnsi="Calibri"/>
                <w:sz w:val="14"/>
                <w:szCs w:val="14"/>
                <w:color w:val="auto"/>
                <w:w w:val="98"/>
              </w:rPr>
              <w:t>2023</w:t>
            </w:r>
          </w:p>
        </w:tc>
        <w:tc>
          <w:tcPr>
            <w:tcW w:w="1340" w:type="dxa"/>
            <w:vAlign w:val="bottom"/>
          </w:tcPr>
          <w:p>
            <w:pPr>
              <w:jc w:val="right"/>
              <w:ind w:right="168"/>
              <w:spacing w:after="0"/>
              <w:rPr>
                <w:sz w:val="20"/>
                <w:szCs w:val="20"/>
                <w:color w:val="auto"/>
              </w:rPr>
            </w:pPr>
            <w:r>
              <w:rPr>
                <w:rFonts w:ascii="Calibri" w:cs="Calibri" w:eastAsia="Calibri" w:hAnsi="Calibri"/>
                <w:sz w:val="14"/>
                <w:szCs w:val="14"/>
                <w:color w:val="auto"/>
              </w:rPr>
              <w:t>409,151</w:t>
            </w:r>
          </w:p>
        </w:tc>
        <w:tc>
          <w:tcPr>
            <w:tcW w:w="1080" w:type="dxa"/>
            <w:vAlign w:val="bottom"/>
          </w:tcPr>
          <w:p>
            <w:pPr>
              <w:jc w:val="right"/>
              <w:ind w:right="208"/>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130"/>
              <w:spacing w:after="0"/>
              <w:rPr>
                <w:sz w:val="20"/>
                <w:szCs w:val="20"/>
                <w:color w:val="auto"/>
              </w:rPr>
            </w:pPr>
            <w:r>
              <w:rPr>
                <w:rFonts w:ascii="Calibri" w:cs="Calibri" w:eastAsia="Calibri" w:hAnsi="Calibri"/>
                <w:sz w:val="14"/>
                <w:szCs w:val="14"/>
                <w:color w:val="auto"/>
              </w:rPr>
              <w:t>1,680,300</w:t>
            </w:r>
          </w:p>
        </w:tc>
        <w:tc>
          <w:tcPr>
            <w:tcW w:w="1460" w:type="dxa"/>
            <w:vAlign w:val="bottom"/>
          </w:tcPr>
          <w:p>
            <w:pPr>
              <w:jc w:val="right"/>
              <w:ind w:right="128"/>
              <w:spacing w:after="0"/>
              <w:rPr>
                <w:sz w:val="20"/>
                <w:szCs w:val="20"/>
                <w:color w:val="auto"/>
              </w:rPr>
            </w:pPr>
            <w:r>
              <w:rPr>
                <w:rFonts w:ascii="Calibri" w:cs="Calibri" w:eastAsia="Calibri" w:hAnsi="Calibri"/>
                <w:sz w:val="14"/>
                <w:szCs w:val="14"/>
                <w:color w:val="auto"/>
              </w:rPr>
              <w:t>48,370</w:t>
            </w:r>
          </w:p>
        </w:tc>
        <w:tc>
          <w:tcPr>
            <w:tcW w:w="1540" w:type="dxa"/>
            <w:vAlign w:val="bottom"/>
          </w:tcPr>
          <w:p>
            <w:pPr>
              <w:jc w:val="right"/>
              <w:ind w:right="248"/>
              <w:spacing w:after="0"/>
              <w:rPr>
                <w:sz w:val="20"/>
                <w:szCs w:val="20"/>
                <w:color w:val="auto"/>
              </w:rPr>
            </w:pPr>
            <w:r>
              <w:rPr>
                <w:rFonts w:ascii="Calibri" w:cs="Calibri" w:eastAsia="Calibri" w:hAnsi="Calibri"/>
                <w:sz w:val="14"/>
                <w:szCs w:val="14"/>
                <w:color w:val="auto"/>
              </w:rPr>
              <w:t>30,699</w:t>
            </w:r>
          </w:p>
        </w:tc>
        <w:tc>
          <w:tcPr>
            <w:tcW w:w="1180" w:type="dxa"/>
            <w:vAlign w:val="bottom"/>
          </w:tcPr>
          <w:p>
            <w:pPr>
              <w:jc w:val="right"/>
              <w:ind w:right="48"/>
              <w:spacing w:after="0"/>
              <w:rPr>
                <w:sz w:val="20"/>
                <w:szCs w:val="20"/>
                <w:color w:val="auto"/>
              </w:rPr>
            </w:pPr>
            <w:r>
              <w:rPr>
                <w:rFonts w:ascii="Calibri" w:cs="Calibri" w:eastAsia="Calibri" w:hAnsi="Calibri"/>
                <w:sz w:val="14"/>
                <w:szCs w:val="14"/>
                <w:color w:val="auto"/>
              </w:rPr>
              <w:t>2,168,520</w:t>
            </w:r>
          </w:p>
        </w:tc>
      </w:tr>
      <w:tr>
        <w:trPr>
          <w:trHeight w:val="159"/>
        </w:trPr>
        <w:tc>
          <w:tcPr>
            <w:tcW w:w="2400" w:type="dxa"/>
            <w:vAlign w:val="bottom"/>
          </w:tcPr>
          <w:p>
            <w:pPr>
              <w:ind w:left="20"/>
              <w:spacing w:after="0" w:line="159" w:lineRule="exact"/>
              <w:rPr>
                <w:sz w:val="20"/>
                <w:szCs w:val="20"/>
                <w:color w:val="auto"/>
              </w:rPr>
            </w:pPr>
            <w:r>
              <w:rPr>
                <w:rFonts w:ascii="Calibri" w:cs="Calibri" w:eastAsia="Calibri" w:hAnsi="Calibri"/>
                <w:sz w:val="14"/>
                <w:szCs w:val="14"/>
                <w:color w:val="auto"/>
              </w:rPr>
              <w:t>Worldwide Discrete Products</w:t>
            </w:r>
          </w:p>
        </w:tc>
        <w:tc>
          <w:tcPr>
            <w:tcW w:w="960" w:type="dxa"/>
            <w:vAlign w:val="bottom"/>
          </w:tcPr>
          <w:p>
            <w:pPr>
              <w:jc w:val="center"/>
              <w:spacing w:after="0" w:line="159" w:lineRule="exact"/>
              <w:rPr>
                <w:sz w:val="20"/>
                <w:szCs w:val="20"/>
                <w:color w:val="auto"/>
              </w:rPr>
            </w:pPr>
            <w:r>
              <w:rPr>
                <w:rFonts w:ascii="Calibri" w:cs="Calibri" w:eastAsia="Calibri" w:hAnsi="Calibri"/>
                <w:sz w:val="14"/>
                <w:szCs w:val="14"/>
                <w:color w:val="auto"/>
                <w:w w:val="98"/>
              </w:rPr>
              <w:t>2022</w:t>
            </w:r>
          </w:p>
        </w:tc>
        <w:tc>
          <w:tcPr>
            <w:tcW w:w="1340" w:type="dxa"/>
            <w:vAlign w:val="bottom"/>
          </w:tcPr>
          <w:p>
            <w:pPr>
              <w:jc w:val="right"/>
              <w:ind w:right="168"/>
              <w:spacing w:after="0" w:line="159" w:lineRule="exact"/>
              <w:rPr>
                <w:sz w:val="20"/>
                <w:szCs w:val="20"/>
                <w:color w:val="auto"/>
              </w:rPr>
            </w:pPr>
            <w:r>
              <w:rPr>
                <w:rFonts w:ascii="Calibri" w:cs="Calibri" w:eastAsia="Calibri" w:hAnsi="Calibri"/>
                <w:sz w:val="14"/>
                <w:szCs w:val="14"/>
                <w:color w:val="auto"/>
              </w:rPr>
              <w:t>399,193</w:t>
            </w:r>
          </w:p>
        </w:tc>
        <w:tc>
          <w:tcPr>
            <w:tcW w:w="1080" w:type="dxa"/>
            <w:vAlign w:val="bottom"/>
          </w:tcPr>
          <w:p>
            <w:pPr>
              <w:jc w:val="right"/>
              <w:ind w:right="208"/>
              <w:spacing w:after="0" w:line="159" w:lineRule="exact"/>
              <w:rPr>
                <w:sz w:val="20"/>
                <w:szCs w:val="20"/>
                <w:color w:val="auto"/>
              </w:rPr>
            </w:pPr>
            <w:r>
              <w:rPr>
                <w:rFonts w:ascii="Calibri" w:cs="Calibri" w:eastAsia="Calibri" w:hAnsi="Calibri"/>
                <w:sz w:val="14"/>
                <w:szCs w:val="14"/>
                <w:color w:val="auto"/>
              </w:rPr>
              <w:t>107,692</w:t>
            </w:r>
          </w:p>
        </w:tc>
        <w:tc>
          <w:tcPr>
            <w:tcW w:w="1280" w:type="dxa"/>
            <w:vAlign w:val="bottom"/>
          </w:tcPr>
          <w:p>
            <w:pPr>
              <w:jc w:val="right"/>
              <w:ind w:right="130"/>
              <w:spacing w:after="0" w:line="159" w:lineRule="exact"/>
              <w:rPr>
                <w:sz w:val="20"/>
                <w:szCs w:val="20"/>
                <w:color w:val="auto"/>
              </w:rPr>
            </w:pPr>
            <w:r>
              <w:rPr>
                <w:rFonts w:ascii="Calibri" w:cs="Calibri" w:eastAsia="Calibri" w:hAnsi="Calibri"/>
                <w:sz w:val="14"/>
                <w:szCs w:val="14"/>
                <w:color w:val="auto"/>
              </w:rPr>
              <w:t>1,396,728</w:t>
            </w:r>
          </w:p>
        </w:tc>
        <w:tc>
          <w:tcPr>
            <w:tcW w:w="1460" w:type="dxa"/>
            <w:vAlign w:val="bottom"/>
          </w:tcPr>
          <w:p>
            <w:pPr>
              <w:jc w:val="right"/>
              <w:ind w:right="128"/>
              <w:spacing w:after="0" w:line="159" w:lineRule="exact"/>
              <w:rPr>
                <w:sz w:val="20"/>
                <w:szCs w:val="20"/>
                <w:color w:val="auto"/>
              </w:rPr>
            </w:pPr>
            <w:r>
              <w:rPr>
                <w:rFonts w:ascii="Calibri" w:cs="Calibri" w:eastAsia="Calibri" w:hAnsi="Calibri"/>
                <w:sz w:val="14"/>
                <w:szCs w:val="14"/>
                <w:color w:val="auto"/>
              </w:rPr>
              <w:t>505,440</w:t>
            </w:r>
          </w:p>
        </w:tc>
        <w:tc>
          <w:tcPr>
            <w:tcW w:w="1540" w:type="dxa"/>
            <w:vAlign w:val="bottom"/>
          </w:tcPr>
          <w:p>
            <w:pPr>
              <w:jc w:val="right"/>
              <w:ind w:right="248"/>
              <w:spacing w:after="0" w:line="159" w:lineRule="exact"/>
              <w:rPr>
                <w:sz w:val="20"/>
                <w:szCs w:val="20"/>
                <w:color w:val="auto"/>
              </w:rPr>
            </w:pPr>
            <w:r>
              <w:rPr>
                <w:rFonts w:ascii="Calibri" w:cs="Calibri" w:eastAsia="Calibri" w:hAnsi="Calibri"/>
                <w:sz w:val="14"/>
                <w:szCs w:val="14"/>
                <w:color w:val="auto"/>
              </w:rPr>
              <w:t>30,176</w:t>
            </w:r>
          </w:p>
        </w:tc>
        <w:tc>
          <w:tcPr>
            <w:tcW w:w="1180" w:type="dxa"/>
            <w:vAlign w:val="bottom"/>
          </w:tcPr>
          <w:p>
            <w:pPr>
              <w:jc w:val="right"/>
              <w:ind w:right="48"/>
              <w:spacing w:after="0" w:line="159" w:lineRule="exact"/>
              <w:rPr>
                <w:sz w:val="20"/>
                <w:szCs w:val="20"/>
                <w:color w:val="auto"/>
              </w:rPr>
            </w:pPr>
            <w:r>
              <w:rPr>
                <w:rFonts w:ascii="Calibri" w:cs="Calibri" w:eastAsia="Calibri" w:hAnsi="Calibri"/>
                <w:sz w:val="14"/>
                <w:szCs w:val="14"/>
                <w:color w:val="auto"/>
              </w:rPr>
              <w:t>2,439,229</w:t>
            </w:r>
          </w:p>
        </w:tc>
      </w:tr>
      <w:tr>
        <w:trPr>
          <w:trHeight w:val="212"/>
        </w:trPr>
        <w:tc>
          <w:tcPr>
            <w:tcW w:w="2400" w:type="dxa"/>
            <w:vAlign w:val="bottom"/>
          </w:tcPr>
          <w:p>
            <w:pPr>
              <w:ind w:left="20"/>
              <w:spacing w:after="0" w:line="212" w:lineRule="exact"/>
              <w:rPr>
                <w:sz w:val="20"/>
                <w:szCs w:val="20"/>
                <w:color w:val="auto"/>
              </w:rPr>
            </w:pPr>
            <w:r>
              <w:rPr>
                <w:rFonts w:ascii="Calibri" w:cs="Calibri" w:eastAsia="Calibri" w:hAnsi="Calibri"/>
                <w:sz w:val="14"/>
                <w:szCs w:val="14"/>
                <w:b w:val="1"/>
                <w:bCs w:val="1"/>
                <w:color w:val="auto"/>
              </w:rPr>
              <w:t xml:space="preserve">Emily Yang </w:t>
            </w:r>
            <w:r>
              <w:rPr>
                <w:rFonts w:ascii="Calibri" w:cs="Calibri" w:eastAsia="Calibri" w:hAnsi="Calibri"/>
                <w:sz w:val="19"/>
                <w:szCs w:val="19"/>
                <w:b w:val="1"/>
                <w:bCs w:val="1"/>
                <w:color w:val="auto"/>
                <w:vertAlign w:val="superscript"/>
              </w:rPr>
              <w:t>(7)</w:t>
            </w:r>
          </w:p>
        </w:tc>
        <w:tc>
          <w:tcPr>
            <w:tcW w:w="96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2024</w:t>
            </w:r>
          </w:p>
        </w:tc>
        <w:tc>
          <w:tcPr>
            <w:tcW w:w="1340" w:type="dxa"/>
            <w:vAlign w:val="bottom"/>
          </w:tcPr>
          <w:p>
            <w:pPr>
              <w:jc w:val="right"/>
              <w:ind w:right="168"/>
              <w:spacing w:after="0"/>
              <w:rPr>
                <w:sz w:val="20"/>
                <w:szCs w:val="20"/>
                <w:color w:val="auto"/>
              </w:rPr>
            </w:pPr>
            <w:r>
              <w:rPr>
                <w:rFonts w:ascii="Calibri" w:cs="Calibri" w:eastAsia="Calibri" w:hAnsi="Calibri"/>
                <w:sz w:val="14"/>
                <w:szCs w:val="14"/>
                <w:b w:val="1"/>
                <w:bCs w:val="1"/>
                <w:color w:val="auto"/>
              </w:rPr>
              <w:t>330,000</w:t>
            </w:r>
          </w:p>
        </w:tc>
        <w:tc>
          <w:tcPr>
            <w:tcW w:w="1080" w:type="dxa"/>
            <w:vAlign w:val="bottom"/>
          </w:tcPr>
          <w:p>
            <w:pPr>
              <w:jc w:val="right"/>
              <w:ind w:right="208"/>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130"/>
              <w:spacing w:after="0"/>
              <w:rPr>
                <w:sz w:val="20"/>
                <w:szCs w:val="20"/>
                <w:color w:val="auto"/>
              </w:rPr>
            </w:pPr>
            <w:r>
              <w:rPr>
                <w:rFonts w:ascii="Calibri" w:cs="Calibri" w:eastAsia="Calibri" w:hAnsi="Calibri"/>
                <w:sz w:val="14"/>
                <w:szCs w:val="14"/>
                <w:b w:val="1"/>
                <w:bCs w:val="1"/>
                <w:color w:val="auto"/>
              </w:rPr>
              <w:t>825,818</w:t>
            </w:r>
          </w:p>
        </w:tc>
        <w:tc>
          <w:tcPr>
            <w:tcW w:w="1460" w:type="dxa"/>
            <w:vAlign w:val="bottom"/>
          </w:tcPr>
          <w:p>
            <w:pPr>
              <w:jc w:val="right"/>
              <w:ind w:right="128"/>
              <w:spacing w:after="0"/>
              <w:rPr>
                <w:sz w:val="20"/>
                <w:szCs w:val="20"/>
                <w:color w:val="auto"/>
              </w:rPr>
            </w:pPr>
            <w:r>
              <w:rPr>
                <w:rFonts w:ascii="Calibri" w:cs="Calibri" w:eastAsia="Calibri" w:hAnsi="Calibri"/>
                <w:sz w:val="14"/>
                <w:szCs w:val="14"/>
                <w:b w:val="1"/>
                <w:bCs w:val="1"/>
                <w:color w:val="auto"/>
              </w:rPr>
              <w:t>28,494</w:t>
            </w:r>
          </w:p>
        </w:tc>
        <w:tc>
          <w:tcPr>
            <w:tcW w:w="1540" w:type="dxa"/>
            <w:vAlign w:val="bottom"/>
          </w:tcPr>
          <w:p>
            <w:pPr>
              <w:jc w:val="right"/>
              <w:ind w:right="248"/>
              <w:spacing w:after="0"/>
              <w:rPr>
                <w:sz w:val="20"/>
                <w:szCs w:val="20"/>
                <w:color w:val="auto"/>
              </w:rPr>
            </w:pPr>
            <w:r>
              <w:rPr>
                <w:rFonts w:ascii="Calibri" w:cs="Calibri" w:eastAsia="Calibri" w:hAnsi="Calibri"/>
                <w:sz w:val="14"/>
                <w:szCs w:val="14"/>
                <w:b w:val="1"/>
                <w:bCs w:val="1"/>
                <w:color w:val="auto"/>
              </w:rPr>
              <w:t>36,445</w:t>
            </w:r>
          </w:p>
        </w:tc>
        <w:tc>
          <w:tcPr>
            <w:tcW w:w="118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1,220,757</w:t>
            </w:r>
          </w:p>
        </w:tc>
      </w:tr>
      <w:tr>
        <w:trPr>
          <w:trHeight w:val="170"/>
        </w:trPr>
        <w:tc>
          <w:tcPr>
            <w:tcW w:w="2400" w:type="dxa"/>
            <w:vAlign w:val="bottom"/>
          </w:tcPr>
          <w:p>
            <w:pPr>
              <w:ind w:left="20"/>
              <w:spacing w:after="0"/>
              <w:rPr>
                <w:sz w:val="20"/>
                <w:szCs w:val="20"/>
                <w:color w:val="auto"/>
              </w:rPr>
            </w:pPr>
            <w:r>
              <w:rPr>
                <w:rFonts w:ascii="Calibri" w:cs="Calibri" w:eastAsia="Calibri" w:hAnsi="Calibri"/>
                <w:sz w:val="14"/>
                <w:szCs w:val="14"/>
                <w:color w:val="auto"/>
              </w:rPr>
              <w:t>Senior Vice President,</w:t>
            </w:r>
          </w:p>
        </w:tc>
        <w:tc>
          <w:tcPr>
            <w:tcW w:w="9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8"/>
              </w:rPr>
              <w:t>2023</w:t>
            </w:r>
          </w:p>
        </w:tc>
        <w:tc>
          <w:tcPr>
            <w:tcW w:w="134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color w:val="auto"/>
              </w:rPr>
              <w:t>—</w:t>
            </w:r>
          </w:p>
        </w:tc>
        <w:tc>
          <w:tcPr>
            <w:tcW w:w="10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CFF0FC"/>
          </w:tcPr>
          <w:p>
            <w:pPr>
              <w:jc w:val="right"/>
              <w:ind w:right="130"/>
              <w:spacing w:after="0"/>
              <w:rPr>
                <w:sz w:val="20"/>
                <w:szCs w:val="20"/>
                <w:color w:val="auto"/>
              </w:rPr>
            </w:pPr>
            <w:r>
              <w:rPr>
                <w:rFonts w:ascii="Calibri" w:cs="Calibri" w:eastAsia="Calibri" w:hAnsi="Calibri"/>
                <w:sz w:val="14"/>
                <w:szCs w:val="14"/>
                <w:color w:val="auto"/>
              </w:rPr>
              <w:t>—</w:t>
            </w:r>
          </w:p>
        </w:tc>
        <w:tc>
          <w:tcPr>
            <w:tcW w:w="146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color w:val="auto"/>
              </w:rPr>
              <w:t>—</w:t>
            </w:r>
          </w:p>
        </w:tc>
        <w:tc>
          <w:tcPr>
            <w:tcW w:w="1540" w:type="dxa"/>
            <w:vAlign w:val="bottom"/>
            <w:shd w:val="clear" w:color="auto" w:fill="CFF0FC"/>
          </w:tcPr>
          <w:p>
            <w:pPr>
              <w:jc w:val="right"/>
              <w:ind w:right="248"/>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202"/>
        </w:trPr>
        <w:tc>
          <w:tcPr>
            <w:tcW w:w="2400" w:type="dxa"/>
            <w:vAlign w:val="bottom"/>
          </w:tcPr>
          <w:p>
            <w:pPr>
              <w:ind w:left="20"/>
              <w:spacing w:after="0"/>
              <w:rPr>
                <w:sz w:val="20"/>
                <w:szCs w:val="20"/>
                <w:color w:val="auto"/>
              </w:rPr>
            </w:pPr>
            <w:r>
              <w:rPr>
                <w:rFonts w:ascii="Calibri" w:cs="Calibri" w:eastAsia="Calibri" w:hAnsi="Calibri"/>
                <w:sz w:val="14"/>
                <w:szCs w:val="14"/>
                <w:color w:val="auto"/>
              </w:rPr>
              <w:t>Worldwide Sales and Marketng</w:t>
            </w:r>
          </w:p>
        </w:tc>
        <w:tc>
          <w:tcPr>
            <w:tcW w:w="9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8"/>
              </w:rPr>
              <w:t>2022</w:t>
            </w:r>
          </w:p>
        </w:tc>
        <w:tc>
          <w:tcPr>
            <w:tcW w:w="134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color w:val="auto"/>
              </w:rPr>
              <w:t>—</w:t>
            </w:r>
          </w:p>
        </w:tc>
        <w:tc>
          <w:tcPr>
            <w:tcW w:w="10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CFF0FC"/>
          </w:tcPr>
          <w:p>
            <w:pPr>
              <w:jc w:val="right"/>
              <w:ind w:right="130"/>
              <w:spacing w:after="0"/>
              <w:rPr>
                <w:sz w:val="20"/>
                <w:szCs w:val="20"/>
                <w:color w:val="auto"/>
              </w:rPr>
            </w:pPr>
            <w:r>
              <w:rPr>
                <w:rFonts w:ascii="Calibri" w:cs="Calibri" w:eastAsia="Calibri" w:hAnsi="Calibri"/>
                <w:sz w:val="14"/>
                <w:szCs w:val="14"/>
                <w:color w:val="auto"/>
              </w:rPr>
              <w:t>—</w:t>
            </w:r>
          </w:p>
        </w:tc>
        <w:tc>
          <w:tcPr>
            <w:tcW w:w="1460" w:type="dxa"/>
            <w:vAlign w:val="bottom"/>
            <w:shd w:val="clear" w:color="auto" w:fill="CFF0FC"/>
          </w:tcPr>
          <w:p>
            <w:pPr>
              <w:jc w:val="right"/>
              <w:ind w:right="128"/>
              <w:spacing w:after="0"/>
              <w:rPr>
                <w:sz w:val="20"/>
                <w:szCs w:val="20"/>
                <w:color w:val="auto"/>
              </w:rPr>
            </w:pPr>
            <w:r>
              <w:rPr>
                <w:rFonts w:ascii="Calibri" w:cs="Calibri" w:eastAsia="Calibri" w:hAnsi="Calibri"/>
                <w:sz w:val="14"/>
                <w:szCs w:val="14"/>
                <w:color w:val="auto"/>
              </w:rPr>
              <w:t>—</w:t>
            </w:r>
          </w:p>
        </w:tc>
        <w:tc>
          <w:tcPr>
            <w:tcW w:w="1540" w:type="dxa"/>
            <w:vAlign w:val="bottom"/>
            <w:shd w:val="clear" w:color="auto" w:fill="CFF0FC"/>
          </w:tcPr>
          <w:p>
            <w:pPr>
              <w:jc w:val="right"/>
              <w:ind w:right="248"/>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33"/>
        </w:trPr>
        <w:tc>
          <w:tcPr>
            <w:tcW w:w="2400" w:type="dxa"/>
            <w:vAlign w:val="bottom"/>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3689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200" w:hanging="5"/>
        <w:spacing w:after="0" w:line="232" w:lineRule="auto"/>
        <w:tabs>
          <w:tab w:leader="none" w:pos="396"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Each executve ofcer’s salary is established in February of each year. Amounts shown represent the amounts earned in each fscal year. Efectve February 1, 2025, the base salaries for Dr. Lu, Messrs. Whitmire, Yu, and Tang, and Ms. Yang were $740,000, $350,000, $630,000, $410,000, and $350,000 respectvely.</w:t>
      </w:r>
    </w:p>
    <w:p>
      <w:pPr>
        <w:spacing w:after="0" w:line="6" w:lineRule="exact"/>
        <w:rPr>
          <w:rFonts w:ascii="Calibri" w:cs="Calibri" w:eastAsia="Calibri" w:hAnsi="Calibri"/>
          <w:sz w:val="14"/>
          <w:szCs w:val="14"/>
          <w:color w:val="auto"/>
        </w:rPr>
      </w:pPr>
    </w:p>
    <w:p>
      <w:pPr>
        <w:jc w:val="both"/>
        <w:ind w:left="200" w:hanging="5"/>
        <w:spacing w:after="0" w:line="245" w:lineRule="auto"/>
        <w:tabs>
          <w:tab w:leader="none" w:pos="402"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The amount shown is the actual cash bonus paid for each period presented. This amount consists of any performance-based bonus and any discretonary bonus. Under the executve bonus formula that established the target bonus for each executve ofcer (i) 80% of the bonus was ted to the fnancial metrics of the Company and (ii) 20% of the bonus was ted to individual goals for each NEO. See “Compensaton Discussion and Analysis – Principal Components of Compensaton – Annual (Bonus) Incentve Plan.”</w:t>
      </w:r>
    </w:p>
    <w:p>
      <w:pPr>
        <w:spacing w:after="0" w:line="3" w:lineRule="exact"/>
        <w:rPr>
          <w:rFonts w:ascii="Calibri" w:cs="Calibri" w:eastAsia="Calibri" w:hAnsi="Calibri"/>
          <w:sz w:val="14"/>
          <w:szCs w:val="14"/>
          <w:color w:val="auto"/>
        </w:rPr>
      </w:pPr>
    </w:p>
    <w:p>
      <w:pPr>
        <w:jc w:val="both"/>
        <w:ind w:left="200" w:hanging="5"/>
        <w:spacing w:after="0" w:line="246" w:lineRule="auto"/>
        <w:tabs>
          <w:tab w:leader="none" w:pos="404"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These amounts refect the value determined by the Company for accountng purposes for these awards and do not refect whether each NEO has actually realized a fnancial beneft from the awards. The value of the equity awards in columns (e) and (f) is based on the grant date fair value calculated in accordance with the amount recognized for fnancial statement reportng purposes. Pursuant to SEC rules, the amounts shown exclude the impact of estmated forfeitures related to service-based vestng conditons. Amounts reported in the Stock Awards column (e) above (in the form of RSUs and PSUs) are calculated by multplying the number of shares subject to the award by the closing price of the Company’s Common Stock on the grant date. See Note 14, Share-Based Compensaton, to the Company’s audited fnancial statements for the fscal year ended December 31, 2024, included in the Company’s Annual Report on Form 10-K fled with the SEC on February 14, 2025, for a further discussion of the relevant valuaton assumptons used in calculatng grant date fair value. All restricted stock and opton awards vest in four equal annual installments afer the date of grant. Performance-based equity awards vest according to actual performance compared to pre-established, three‐ year absolute fnancial performance targets.</w:t>
      </w:r>
    </w:p>
    <w:p>
      <w:pPr>
        <w:spacing w:after="0" w:line="177" w:lineRule="exact"/>
        <w:rPr>
          <w:rFonts w:ascii="Calibri" w:cs="Calibri" w:eastAsia="Calibri" w:hAnsi="Calibri"/>
          <w:sz w:val="14"/>
          <w:szCs w:val="14"/>
          <w:color w:val="auto"/>
        </w:rPr>
      </w:pPr>
    </w:p>
    <w:p>
      <w:pPr>
        <w:ind w:left="200" w:hanging="5"/>
        <w:spacing w:after="0" w:line="245" w:lineRule="auto"/>
        <w:tabs>
          <w:tab w:leader="none" w:pos="395"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Includes $437,100, $524,220, and $369,550 for 2024, 2023, and 2022, respectvely, for Dr. Lu's service as a member of the Company's Board of Directors. Includes $218,550 for Mr. Yu's service in 2024 as a member of the Company's Board of Directors.</w:t>
      </w:r>
    </w:p>
    <w:p>
      <w:pPr>
        <w:spacing w:after="0" w:line="2" w:lineRule="exact"/>
        <w:rPr>
          <w:rFonts w:ascii="Calibri" w:cs="Calibri" w:eastAsia="Calibri" w:hAnsi="Calibri"/>
          <w:sz w:val="14"/>
          <w:szCs w:val="14"/>
          <w:color w:val="auto"/>
        </w:rPr>
      </w:pPr>
    </w:p>
    <w:p>
      <w:pPr>
        <w:jc w:val="both"/>
        <w:ind w:left="200" w:hanging="5"/>
        <w:spacing w:after="0" w:line="246" w:lineRule="auto"/>
        <w:tabs>
          <w:tab w:leader="none" w:pos="403"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Certain of the Company’s executve ofcers receive personal benefts in additon to salary, cash bonuses and share-based compensaton, consistng of automobile allowance, medical insurance, dental insurance, vision insurance, employee assistance program, taxable per diem, contributons under the Company’s retrement plans, deferred compensaton plan, life insurance payable at the directon of the employee, accidental death and dismemberment insurance (“AD&amp;D”), business travel accident insurance, and short-term and long-term disability insurance. The amount shown in column (i) for “All Other Compensaton” includes benefts summarized in the following table for each``.</w:t>
      </w:r>
    </w:p>
    <w:p>
      <w:pPr>
        <w:ind w:left="380" w:hanging="185"/>
        <w:spacing w:after="0"/>
        <w:tabs>
          <w:tab w:leader="none" w:pos="3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Ms. Yang frst became an NEO in 2024.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48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51" w:name="page52"/>
    <w:bookmarkEnd w:id="51"/>
    <w:p>
      <w:pPr>
        <w:ind w:left="20"/>
        <w:spacing w:after="0"/>
        <w:rPr>
          <w:sz w:val="20"/>
          <w:szCs w:val="20"/>
          <w:color w:val="auto"/>
        </w:rPr>
      </w:pPr>
      <w:r>
        <w:rPr>
          <w:rFonts w:ascii="Calibri" w:cs="Calibri" w:eastAsia="Calibri" w:hAnsi="Calibri"/>
          <w:sz w:val="20"/>
          <w:szCs w:val="20"/>
          <w:color w:val="auto"/>
        </w:rPr>
        <w:t>The table below sets forth the detail of “All Other Compensaton” for each NEO:</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60" w:type="dxa"/>
            <w:vAlign w:val="bottom"/>
            <w:tcBorders>
              <w:top w:val="single" w:sz="8" w:color="005CA9"/>
            </w:tcBorders>
          </w:tcPr>
          <w:p>
            <w:pPr>
              <w:spacing w:after="0"/>
              <w:rPr>
                <w:sz w:val="17"/>
                <w:szCs w:val="17"/>
                <w:color w:val="auto"/>
              </w:rPr>
            </w:pPr>
          </w:p>
        </w:tc>
        <w:tc>
          <w:tcPr>
            <w:tcW w:w="1360" w:type="dxa"/>
            <w:vAlign w:val="bottom"/>
            <w:tcBorders>
              <w:top w:val="single" w:sz="8" w:color="005CA9"/>
            </w:tcBorders>
          </w:tcPr>
          <w:p>
            <w:pPr>
              <w:spacing w:after="0"/>
              <w:rPr>
                <w:sz w:val="17"/>
                <w:szCs w:val="17"/>
                <w:color w:val="auto"/>
              </w:rPr>
            </w:pPr>
          </w:p>
        </w:tc>
        <w:tc>
          <w:tcPr>
            <w:tcW w:w="1480" w:type="dxa"/>
            <w:vAlign w:val="bottom"/>
            <w:tcBorders>
              <w:top w:val="single" w:sz="8" w:color="005CA9"/>
            </w:tcBorders>
          </w:tcPr>
          <w:p>
            <w:pPr>
              <w:spacing w:after="0"/>
              <w:rPr>
                <w:sz w:val="17"/>
                <w:szCs w:val="17"/>
                <w:color w:val="auto"/>
              </w:rPr>
            </w:pPr>
          </w:p>
        </w:tc>
        <w:tc>
          <w:tcPr>
            <w:tcW w:w="1300" w:type="dxa"/>
            <w:vAlign w:val="bottom"/>
            <w:tcBorders>
              <w:top w:val="single" w:sz="8" w:color="005CA9"/>
            </w:tcBorders>
          </w:tcPr>
          <w:p>
            <w:pPr>
              <w:spacing w:after="0"/>
              <w:rPr>
                <w:sz w:val="17"/>
                <w:szCs w:val="17"/>
                <w:color w:val="auto"/>
              </w:rPr>
            </w:pPr>
          </w:p>
        </w:tc>
        <w:tc>
          <w:tcPr>
            <w:tcW w:w="1360" w:type="dxa"/>
            <w:vAlign w:val="bottom"/>
            <w:tcBorders>
              <w:top w:val="single" w:sz="8" w:color="005CA9"/>
            </w:tcBorders>
          </w:tcPr>
          <w:p>
            <w:pPr>
              <w:spacing w:after="0"/>
              <w:rPr>
                <w:sz w:val="17"/>
                <w:szCs w:val="17"/>
                <w:color w:val="auto"/>
              </w:rPr>
            </w:pPr>
          </w:p>
        </w:tc>
        <w:tc>
          <w:tcPr>
            <w:tcW w:w="1400" w:type="dxa"/>
            <w:vAlign w:val="bottom"/>
            <w:tcBorders>
              <w:top w:val="single" w:sz="8" w:color="005CA9"/>
            </w:tcBorders>
          </w:tcPr>
          <w:p>
            <w:pPr>
              <w:jc w:val="center"/>
              <w:ind w:right="222"/>
              <w:spacing w:after="0"/>
              <w:rPr>
                <w:sz w:val="20"/>
                <w:szCs w:val="20"/>
                <w:color w:val="auto"/>
              </w:rPr>
            </w:pPr>
            <w:r>
              <w:rPr>
                <w:rFonts w:ascii="Calibri" w:cs="Calibri" w:eastAsia="Calibri" w:hAnsi="Calibri"/>
                <w:sz w:val="16"/>
                <w:szCs w:val="16"/>
                <w:b w:val="1"/>
                <w:bCs w:val="1"/>
                <w:color w:val="auto"/>
              </w:rPr>
              <w:t>Life and</w:t>
            </w:r>
          </w:p>
        </w:tc>
        <w:tc>
          <w:tcPr>
            <w:tcW w:w="1360" w:type="dxa"/>
            <w:vAlign w:val="bottom"/>
            <w:tcBorders>
              <w:top w:val="single" w:sz="8" w:color="005CA9"/>
            </w:tcBorders>
          </w:tcPr>
          <w:p>
            <w:pPr>
              <w:spacing w:after="0"/>
              <w:rPr>
                <w:sz w:val="17"/>
                <w:szCs w:val="17"/>
                <w:color w:val="auto"/>
              </w:rPr>
            </w:pPr>
          </w:p>
        </w:tc>
        <w:tc>
          <w:tcPr>
            <w:tcW w:w="1120" w:type="dxa"/>
            <w:vAlign w:val="bottom"/>
            <w:tcBorders>
              <w:top w:val="single" w:sz="8" w:color="005CA9"/>
            </w:tcBorders>
          </w:tcPr>
          <w:p>
            <w:pPr>
              <w:spacing w:after="0"/>
              <w:rPr>
                <w:sz w:val="17"/>
                <w:szCs w:val="17"/>
                <w:color w:val="auto"/>
              </w:rPr>
            </w:pPr>
          </w:p>
        </w:tc>
      </w:tr>
      <w:tr>
        <w:trPr>
          <w:trHeight w:val="193"/>
        </w:trPr>
        <w:tc>
          <w:tcPr>
            <w:tcW w:w="1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Auto</w:t>
            </w:r>
          </w:p>
        </w:tc>
        <w:tc>
          <w:tcPr>
            <w:tcW w:w="1300" w:type="dxa"/>
            <w:vAlign w:val="bottom"/>
          </w:tcPr>
          <w:p>
            <w:pPr>
              <w:jc w:val="center"/>
              <w:ind w:right="83"/>
              <w:spacing w:after="0" w:line="193" w:lineRule="exact"/>
              <w:rPr>
                <w:sz w:val="20"/>
                <w:szCs w:val="20"/>
                <w:color w:val="auto"/>
              </w:rPr>
            </w:pPr>
            <w:r>
              <w:rPr>
                <w:rFonts w:ascii="Calibri" w:cs="Calibri" w:eastAsia="Calibri" w:hAnsi="Calibri"/>
                <w:sz w:val="16"/>
                <w:szCs w:val="16"/>
                <w:b w:val="1"/>
                <w:bCs w:val="1"/>
                <w:color w:val="auto"/>
              </w:rPr>
              <w:t>Health</w:t>
            </w:r>
          </w:p>
        </w:tc>
        <w:tc>
          <w:tcPr>
            <w:tcW w:w="1360" w:type="dxa"/>
            <w:vAlign w:val="bottom"/>
          </w:tcPr>
          <w:p>
            <w:pPr>
              <w:jc w:val="center"/>
              <w:ind w:right="119"/>
              <w:spacing w:after="0" w:line="193" w:lineRule="exact"/>
              <w:rPr>
                <w:sz w:val="20"/>
                <w:szCs w:val="20"/>
                <w:color w:val="auto"/>
              </w:rPr>
            </w:pPr>
            <w:r>
              <w:rPr>
                <w:rFonts w:ascii="Calibri" w:cs="Calibri" w:eastAsia="Calibri" w:hAnsi="Calibri"/>
                <w:sz w:val="16"/>
                <w:szCs w:val="16"/>
                <w:b w:val="1"/>
                <w:bCs w:val="1"/>
                <w:color w:val="auto"/>
              </w:rPr>
              <w:t>Retrement</w:t>
            </w:r>
          </w:p>
        </w:tc>
        <w:tc>
          <w:tcPr>
            <w:tcW w:w="1400" w:type="dxa"/>
            <w:vAlign w:val="bottom"/>
          </w:tcPr>
          <w:p>
            <w:pPr>
              <w:jc w:val="center"/>
              <w:ind w:right="182"/>
              <w:spacing w:after="0" w:line="193" w:lineRule="exact"/>
              <w:rPr>
                <w:sz w:val="20"/>
                <w:szCs w:val="20"/>
                <w:color w:val="auto"/>
              </w:rPr>
            </w:pPr>
            <w:r>
              <w:rPr>
                <w:rFonts w:ascii="Calibri" w:cs="Calibri" w:eastAsia="Calibri" w:hAnsi="Calibri"/>
                <w:sz w:val="16"/>
                <w:szCs w:val="16"/>
                <w:b w:val="1"/>
                <w:bCs w:val="1"/>
                <w:color w:val="auto"/>
              </w:rPr>
              <w:t>Disability</w:t>
            </w: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3"/>
        </w:trPr>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jc w:val="center"/>
              <w:spacing w:after="0" w:line="183" w:lineRule="exact"/>
              <w:rPr>
                <w:sz w:val="20"/>
                <w:szCs w:val="20"/>
                <w:color w:val="auto"/>
              </w:rPr>
            </w:pPr>
            <w:r>
              <w:rPr>
                <w:rFonts w:ascii="Calibri" w:cs="Calibri" w:eastAsia="Calibri" w:hAnsi="Calibri"/>
                <w:sz w:val="16"/>
                <w:szCs w:val="16"/>
                <w:b w:val="1"/>
                <w:bCs w:val="1"/>
                <w:color w:val="auto"/>
              </w:rPr>
              <w:t>Allowance</w:t>
            </w:r>
          </w:p>
        </w:tc>
        <w:tc>
          <w:tcPr>
            <w:tcW w:w="1300" w:type="dxa"/>
            <w:vAlign w:val="bottom"/>
          </w:tcPr>
          <w:p>
            <w:pPr>
              <w:jc w:val="center"/>
              <w:ind w:right="83"/>
              <w:spacing w:after="0" w:line="183" w:lineRule="exact"/>
              <w:rPr>
                <w:sz w:val="20"/>
                <w:szCs w:val="20"/>
                <w:color w:val="auto"/>
              </w:rPr>
            </w:pPr>
            <w:r>
              <w:rPr>
                <w:rFonts w:ascii="Calibri" w:cs="Calibri" w:eastAsia="Calibri" w:hAnsi="Calibri"/>
                <w:sz w:val="16"/>
                <w:szCs w:val="16"/>
                <w:b w:val="1"/>
                <w:bCs w:val="1"/>
                <w:color w:val="auto"/>
              </w:rPr>
              <w:t>Insurance</w:t>
            </w:r>
          </w:p>
        </w:tc>
        <w:tc>
          <w:tcPr>
            <w:tcW w:w="1360" w:type="dxa"/>
            <w:vAlign w:val="bottom"/>
          </w:tcPr>
          <w:p>
            <w:pPr>
              <w:jc w:val="center"/>
              <w:ind w:right="119"/>
              <w:spacing w:after="0" w:line="183" w:lineRule="exact"/>
              <w:rPr>
                <w:sz w:val="20"/>
                <w:szCs w:val="20"/>
                <w:color w:val="auto"/>
              </w:rPr>
            </w:pPr>
            <w:r>
              <w:rPr>
                <w:rFonts w:ascii="Calibri" w:cs="Calibri" w:eastAsia="Calibri" w:hAnsi="Calibri"/>
                <w:sz w:val="16"/>
                <w:szCs w:val="16"/>
                <w:b w:val="1"/>
                <w:bCs w:val="1"/>
                <w:color w:val="auto"/>
              </w:rPr>
              <w:t>Plans</w:t>
            </w:r>
          </w:p>
        </w:tc>
        <w:tc>
          <w:tcPr>
            <w:tcW w:w="1400" w:type="dxa"/>
            <w:vAlign w:val="bottom"/>
          </w:tcPr>
          <w:p>
            <w:pPr>
              <w:jc w:val="center"/>
              <w:ind w:right="182"/>
              <w:spacing w:after="0" w:line="183" w:lineRule="exact"/>
              <w:rPr>
                <w:sz w:val="20"/>
                <w:szCs w:val="20"/>
                <w:color w:val="auto"/>
              </w:rPr>
            </w:pPr>
            <w:r>
              <w:rPr>
                <w:rFonts w:ascii="Calibri" w:cs="Calibri" w:eastAsia="Calibri" w:hAnsi="Calibri"/>
                <w:sz w:val="16"/>
                <w:szCs w:val="16"/>
                <w:b w:val="1"/>
                <w:bCs w:val="1"/>
                <w:color w:val="auto"/>
              </w:rPr>
              <w:t>Insurance</w:t>
            </w:r>
          </w:p>
        </w:tc>
        <w:tc>
          <w:tcPr>
            <w:tcW w:w="1360" w:type="dxa"/>
            <w:vAlign w:val="bottom"/>
          </w:tcPr>
          <w:p>
            <w:pPr>
              <w:jc w:val="right"/>
              <w:ind w:right="443"/>
              <w:spacing w:after="0" w:line="183" w:lineRule="exact"/>
              <w:rPr>
                <w:sz w:val="20"/>
                <w:szCs w:val="20"/>
                <w:color w:val="auto"/>
              </w:rPr>
            </w:pPr>
            <w:r>
              <w:rPr>
                <w:rFonts w:ascii="Calibri" w:cs="Calibri" w:eastAsia="Calibri" w:hAnsi="Calibri"/>
                <w:sz w:val="16"/>
                <w:szCs w:val="16"/>
                <w:b w:val="1"/>
                <w:bCs w:val="1"/>
                <w:color w:val="auto"/>
              </w:rPr>
              <w:t>Per Diem</w:t>
            </w:r>
          </w:p>
        </w:tc>
        <w:tc>
          <w:tcPr>
            <w:tcW w:w="1120" w:type="dxa"/>
            <w:vAlign w:val="bottom"/>
          </w:tcPr>
          <w:p>
            <w:pPr>
              <w:jc w:val="right"/>
              <w:ind w:right="399"/>
              <w:spacing w:after="0" w:line="183" w:lineRule="exact"/>
              <w:rPr>
                <w:sz w:val="20"/>
                <w:szCs w:val="20"/>
                <w:color w:val="auto"/>
              </w:rPr>
            </w:pPr>
            <w:r>
              <w:rPr>
                <w:rFonts w:ascii="Calibri" w:cs="Calibri" w:eastAsia="Calibri" w:hAnsi="Calibri"/>
                <w:sz w:val="16"/>
                <w:szCs w:val="16"/>
                <w:b w:val="1"/>
                <w:bCs w:val="1"/>
                <w:color w:val="auto"/>
              </w:rPr>
              <w:t>Total</w:t>
            </w:r>
          </w:p>
        </w:tc>
      </w:tr>
      <w:tr>
        <w:trPr>
          <w:trHeight w:val="270"/>
        </w:trPr>
        <w:tc>
          <w:tcPr>
            <w:tcW w:w="1860" w:type="dxa"/>
            <w:vAlign w:val="bottom"/>
            <w:tcBorders>
              <w:bottom w:val="single" w:sz="8" w:color="005CA9"/>
            </w:tcBorders>
          </w:tcPr>
          <w:p>
            <w:pPr>
              <w:ind w:left="20"/>
              <w:spacing w:after="0"/>
              <w:rPr>
                <w:sz w:val="20"/>
                <w:szCs w:val="20"/>
                <w:color w:val="auto"/>
              </w:rPr>
            </w:pPr>
            <w:r>
              <w:rPr>
                <w:rFonts w:ascii="Calibri" w:cs="Calibri" w:eastAsia="Calibri" w:hAnsi="Calibri"/>
                <w:sz w:val="16"/>
                <w:szCs w:val="16"/>
                <w:b w:val="1"/>
                <w:bCs w:val="1"/>
                <w:color w:val="auto"/>
              </w:rPr>
              <w:t>Name</w:t>
            </w:r>
          </w:p>
        </w:tc>
        <w:tc>
          <w:tcPr>
            <w:tcW w:w="1360" w:type="dxa"/>
            <w:vAlign w:val="bottom"/>
            <w:tcBorders>
              <w:bottom w:val="single" w:sz="8" w:color="005CA9"/>
            </w:tcBorders>
          </w:tcPr>
          <w:p>
            <w:pPr>
              <w:ind w:left="680"/>
              <w:spacing w:after="0"/>
              <w:rPr>
                <w:sz w:val="20"/>
                <w:szCs w:val="20"/>
                <w:color w:val="auto"/>
              </w:rPr>
            </w:pPr>
            <w:r>
              <w:rPr>
                <w:rFonts w:ascii="Calibri" w:cs="Calibri" w:eastAsia="Calibri" w:hAnsi="Calibri"/>
                <w:sz w:val="16"/>
                <w:szCs w:val="16"/>
                <w:b w:val="1"/>
                <w:bCs w:val="1"/>
                <w:color w:val="auto"/>
              </w:rPr>
              <w:t>Year</w:t>
            </w:r>
          </w:p>
        </w:tc>
        <w:tc>
          <w:tcPr>
            <w:tcW w:w="1480" w:type="dxa"/>
            <w:vAlign w:val="bottom"/>
            <w:tcBorders>
              <w:bottom w:val="single" w:sz="8" w:color="005CA9"/>
            </w:tcBorders>
          </w:tcPr>
          <w:p>
            <w:pPr>
              <w:jc w:val="center"/>
              <w:spacing w:after="0"/>
              <w:rPr>
                <w:sz w:val="20"/>
                <w:szCs w:val="20"/>
                <w:color w:val="auto"/>
              </w:rPr>
            </w:pPr>
            <w:r>
              <w:rPr>
                <w:rFonts w:ascii="Calibri" w:cs="Calibri" w:eastAsia="Calibri" w:hAnsi="Calibri"/>
                <w:sz w:val="16"/>
                <w:szCs w:val="16"/>
                <w:b w:val="1"/>
                <w:bCs w:val="1"/>
                <w:color w:val="auto"/>
                <w:w w:val="99"/>
              </w:rPr>
              <w:t>($)</w:t>
            </w:r>
          </w:p>
        </w:tc>
        <w:tc>
          <w:tcPr>
            <w:tcW w:w="1300" w:type="dxa"/>
            <w:vAlign w:val="bottom"/>
            <w:tcBorders>
              <w:bottom w:val="single" w:sz="8" w:color="005CA9"/>
            </w:tcBorders>
          </w:tcPr>
          <w:p>
            <w:pPr>
              <w:jc w:val="center"/>
              <w:ind w:right="83"/>
              <w:spacing w:after="0" w:line="249" w:lineRule="exact"/>
              <w:rPr>
                <w:sz w:val="20"/>
                <w:szCs w:val="20"/>
                <w:color w:val="auto"/>
              </w:rPr>
            </w:pPr>
            <w:r>
              <w:rPr>
                <w:rFonts w:ascii="Calibri" w:cs="Calibri" w:eastAsia="Calibri" w:hAnsi="Calibri"/>
                <w:sz w:val="27"/>
                <w:szCs w:val="27"/>
                <w:b w:val="1"/>
                <w:bCs w:val="1"/>
                <w:color w:val="auto"/>
                <w:w w:val="94"/>
                <w:vertAlign w:val="subscript"/>
              </w:rPr>
              <w:t>($)</w:t>
            </w:r>
            <w:r>
              <w:rPr>
                <w:rFonts w:ascii="Calibri" w:cs="Calibri" w:eastAsia="Calibri" w:hAnsi="Calibri"/>
                <w:sz w:val="10"/>
                <w:szCs w:val="10"/>
                <w:b w:val="1"/>
                <w:bCs w:val="1"/>
                <w:color w:val="auto"/>
                <w:w w:val="94"/>
              </w:rPr>
              <w:t>(1)</w:t>
            </w:r>
          </w:p>
        </w:tc>
        <w:tc>
          <w:tcPr>
            <w:tcW w:w="1360" w:type="dxa"/>
            <w:vAlign w:val="bottom"/>
            <w:tcBorders>
              <w:bottom w:val="single" w:sz="8" w:color="005CA9"/>
            </w:tcBorders>
          </w:tcPr>
          <w:p>
            <w:pPr>
              <w:jc w:val="center"/>
              <w:ind w:right="139"/>
              <w:spacing w:after="0"/>
              <w:rPr>
                <w:sz w:val="20"/>
                <w:szCs w:val="20"/>
                <w:color w:val="auto"/>
              </w:rPr>
            </w:pPr>
            <w:r>
              <w:rPr>
                <w:rFonts w:ascii="Calibri" w:cs="Calibri" w:eastAsia="Calibri" w:hAnsi="Calibri"/>
                <w:sz w:val="16"/>
                <w:szCs w:val="16"/>
                <w:b w:val="1"/>
                <w:bCs w:val="1"/>
                <w:color w:val="auto"/>
                <w:w w:val="99"/>
              </w:rPr>
              <w:t>($)</w:t>
            </w:r>
          </w:p>
        </w:tc>
        <w:tc>
          <w:tcPr>
            <w:tcW w:w="1400" w:type="dxa"/>
            <w:vAlign w:val="bottom"/>
            <w:tcBorders>
              <w:bottom w:val="single" w:sz="8" w:color="005CA9"/>
            </w:tcBorders>
          </w:tcPr>
          <w:p>
            <w:pPr>
              <w:jc w:val="center"/>
              <w:ind w:right="182"/>
              <w:spacing w:after="0" w:line="249" w:lineRule="exact"/>
              <w:rPr>
                <w:sz w:val="20"/>
                <w:szCs w:val="20"/>
                <w:color w:val="auto"/>
              </w:rPr>
            </w:pPr>
            <w:r>
              <w:rPr>
                <w:rFonts w:ascii="Calibri" w:cs="Calibri" w:eastAsia="Calibri" w:hAnsi="Calibri"/>
                <w:sz w:val="27"/>
                <w:szCs w:val="27"/>
                <w:b w:val="1"/>
                <w:bCs w:val="1"/>
                <w:color w:val="auto"/>
                <w:w w:val="94"/>
                <w:vertAlign w:val="subscript"/>
              </w:rPr>
              <w:t>($)</w:t>
            </w:r>
            <w:r>
              <w:rPr>
                <w:rFonts w:ascii="Calibri" w:cs="Calibri" w:eastAsia="Calibri" w:hAnsi="Calibri"/>
                <w:sz w:val="10"/>
                <w:szCs w:val="10"/>
                <w:b w:val="1"/>
                <w:bCs w:val="1"/>
                <w:color w:val="auto"/>
                <w:w w:val="94"/>
              </w:rPr>
              <w:t>(2)</w:t>
            </w:r>
          </w:p>
        </w:tc>
        <w:tc>
          <w:tcPr>
            <w:tcW w:w="1360" w:type="dxa"/>
            <w:vAlign w:val="bottom"/>
            <w:tcBorders>
              <w:bottom w:val="single" w:sz="8" w:color="005CA9"/>
            </w:tcBorders>
          </w:tcPr>
          <w:p>
            <w:pPr>
              <w:jc w:val="right"/>
              <w:ind w:right="603"/>
              <w:spacing w:after="0" w:line="249" w:lineRule="exact"/>
              <w:rPr>
                <w:sz w:val="20"/>
                <w:szCs w:val="20"/>
                <w:color w:val="auto"/>
              </w:rPr>
            </w:pPr>
            <w:r>
              <w:rPr>
                <w:rFonts w:ascii="Calibri" w:cs="Calibri" w:eastAsia="Calibri" w:hAnsi="Calibri"/>
                <w:sz w:val="27"/>
                <w:szCs w:val="27"/>
                <w:b w:val="1"/>
                <w:bCs w:val="1"/>
                <w:color w:val="auto"/>
                <w:vertAlign w:val="subscript"/>
              </w:rPr>
              <w:t>($)</w:t>
            </w:r>
            <w:r>
              <w:rPr>
                <w:rFonts w:ascii="Calibri" w:cs="Calibri" w:eastAsia="Calibri" w:hAnsi="Calibri"/>
                <w:sz w:val="10"/>
                <w:szCs w:val="10"/>
                <w:b w:val="1"/>
                <w:bCs w:val="1"/>
                <w:color w:val="auto"/>
              </w:rPr>
              <w:t>(3)</w:t>
            </w:r>
          </w:p>
        </w:tc>
        <w:tc>
          <w:tcPr>
            <w:tcW w:w="1120" w:type="dxa"/>
            <w:vAlign w:val="bottom"/>
            <w:tcBorders>
              <w:bottom w:val="single" w:sz="8" w:color="005CA9"/>
            </w:tcBorders>
          </w:tcPr>
          <w:p>
            <w:pPr>
              <w:jc w:val="right"/>
              <w:ind w:right="479"/>
              <w:spacing w:after="0"/>
              <w:rPr>
                <w:sz w:val="20"/>
                <w:szCs w:val="20"/>
                <w:color w:val="auto"/>
              </w:rPr>
            </w:pPr>
            <w:r>
              <w:rPr>
                <w:rFonts w:ascii="Calibri" w:cs="Calibri" w:eastAsia="Calibri" w:hAnsi="Calibri"/>
                <w:sz w:val="16"/>
                <w:szCs w:val="16"/>
                <w:b w:val="1"/>
                <w:bCs w:val="1"/>
                <w:color w:val="auto"/>
              </w:rPr>
              <w:t>($)</w:t>
            </w:r>
          </w:p>
        </w:tc>
      </w:tr>
      <w:tr>
        <w:trPr>
          <w:trHeight w:val="203"/>
        </w:trPr>
        <w:tc>
          <w:tcPr>
            <w:tcW w:w="186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Dr. Keh-Shew Lu</w:t>
            </w:r>
          </w:p>
        </w:tc>
        <w:tc>
          <w:tcPr>
            <w:tcW w:w="1360" w:type="dxa"/>
            <w:vAlign w:val="bottom"/>
            <w:shd w:val="clear" w:color="auto" w:fill="CFF0FC"/>
          </w:tcPr>
          <w:p>
            <w:pPr>
              <w:ind w:left="660"/>
              <w:spacing w:after="0" w:line="193" w:lineRule="exact"/>
              <w:rPr>
                <w:sz w:val="20"/>
                <w:szCs w:val="20"/>
                <w:color w:val="auto"/>
              </w:rPr>
            </w:pPr>
            <w:r>
              <w:rPr>
                <w:rFonts w:ascii="Calibri" w:cs="Calibri" w:eastAsia="Calibri" w:hAnsi="Calibri"/>
                <w:sz w:val="16"/>
                <w:szCs w:val="16"/>
                <w:b w:val="1"/>
                <w:bCs w:val="1"/>
                <w:color w:val="auto"/>
              </w:rPr>
              <w:t>2024</w:t>
            </w:r>
          </w:p>
        </w:tc>
        <w:tc>
          <w:tcPr>
            <w:tcW w:w="1480" w:type="dxa"/>
            <w:vAlign w:val="bottom"/>
            <w:shd w:val="clear" w:color="auto" w:fill="CFF0FC"/>
          </w:tcPr>
          <w:p>
            <w:pPr>
              <w:jc w:val="right"/>
              <w:ind w:right="159"/>
              <w:spacing w:after="0" w:line="193" w:lineRule="exact"/>
              <w:rPr>
                <w:sz w:val="20"/>
                <w:szCs w:val="20"/>
                <w:color w:val="auto"/>
              </w:rPr>
            </w:pPr>
            <w:r>
              <w:rPr>
                <w:rFonts w:ascii="Calibri" w:cs="Calibri" w:eastAsia="Calibri" w:hAnsi="Calibri"/>
                <w:sz w:val="16"/>
                <w:szCs w:val="16"/>
                <w:b w:val="1"/>
                <w:bCs w:val="1"/>
                <w:color w:val="auto"/>
              </w:rPr>
              <w:t>15,600</w:t>
            </w:r>
          </w:p>
        </w:tc>
        <w:tc>
          <w:tcPr>
            <w:tcW w:w="1300" w:type="dxa"/>
            <w:vAlign w:val="bottom"/>
            <w:shd w:val="clear" w:color="auto" w:fill="CFF0FC"/>
          </w:tcPr>
          <w:p>
            <w:pPr>
              <w:jc w:val="right"/>
              <w:ind w:right="123"/>
              <w:spacing w:after="0" w:line="193" w:lineRule="exact"/>
              <w:rPr>
                <w:sz w:val="20"/>
                <w:szCs w:val="20"/>
                <w:color w:val="auto"/>
              </w:rPr>
            </w:pPr>
            <w:r>
              <w:rPr>
                <w:rFonts w:ascii="Calibri" w:cs="Calibri" w:eastAsia="Calibri" w:hAnsi="Calibri"/>
                <w:sz w:val="16"/>
                <w:szCs w:val="16"/>
                <w:b w:val="1"/>
                <w:bCs w:val="1"/>
                <w:color w:val="auto"/>
              </w:rPr>
              <w:t>18,159</w:t>
            </w:r>
          </w:p>
        </w:tc>
        <w:tc>
          <w:tcPr>
            <w:tcW w:w="1360" w:type="dxa"/>
            <w:vAlign w:val="bottom"/>
            <w:shd w:val="clear" w:color="auto" w:fill="CFF0FC"/>
          </w:tcPr>
          <w:p>
            <w:pPr>
              <w:jc w:val="right"/>
              <w:ind w:right="179"/>
              <w:spacing w:after="0" w:line="193" w:lineRule="exact"/>
              <w:rPr>
                <w:sz w:val="20"/>
                <w:szCs w:val="20"/>
                <w:color w:val="auto"/>
              </w:rPr>
            </w:pPr>
            <w:r>
              <w:rPr>
                <w:rFonts w:ascii="Calibri" w:cs="Calibri" w:eastAsia="Calibri" w:hAnsi="Calibri"/>
                <w:sz w:val="16"/>
                <w:szCs w:val="16"/>
                <w:b w:val="1"/>
                <w:bCs w:val="1"/>
                <w:color w:val="auto"/>
              </w:rPr>
              <w:t>10,350</w:t>
            </w:r>
          </w:p>
        </w:tc>
        <w:tc>
          <w:tcPr>
            <w:tcW w:w="1400" w:type="dxa"/>
            <w:vAlign w:val="bottom"/>
            <w:shd w:val="clear" w:color="auto" w:fill="CFF0FC"/>
          </w:tcPr>
          <w:p>
            <w:pPr>
              <w:jc w:val="right"/>
              <w:ind w:right="162"/>
              <w:spacing w:after="0" w:line="193" w:lineRule="exact"/>
              <w:rPr>
                <w:sz w:val="20"/>
                <w:szCs w:val="20"/>
                <w:color w:val="auto"/>
              </w:rPr>
            </w:pPr>
            <w:r>
              <w:rPr>
                <w:rFonts w:ascii="Calibri" w:cs="Calibri" w:eastAsia="Calibri" w:hAnsi="Calibri"/>
                <w:sz w:val="16"/>
                <w:szCs w:val="16"/>
                <w:b w:val="1"/>
                <w:bCs w:val="1"/>
                <w:color w:val="auto"/>
              </w:rPr>
              <w:t>3,141</w:t>
            </w:r>
          </w:p>
        </w:tc>
        <w:tc>
          <w:tcPr>
            <w:tcW w:w="1360" w:type="dxa"/>
            <w:vAlign w:val="bottom"/>
            <w:shd w:val="clear" w:color="auto" w:fill="CFF0FC"/>
          </w:tcPr>
          <w:p>
            <w:pPr>
              <w:jc w:val="right"/>
              <w:ind w:right="243"/>
              <w:spacing w:after="0" w:line="193" w:lineRule="exact"/>
              <w:rPr>
                <w:sz w:val="20"/>
                <w:szCs w:val="20"/>
                <w:color w:val="auto"/>
              </w:rPr>
            </w:pPr>
            <w:r>
              <w:rPr>
                <w:rFonts w:ascii="Calibri" w:cs="Calibri" w:eastAsia="Calibri" w:hAnsi="Calibri"/>
                <w:sz w:val="16"/>
                <w:szCs w:val="16"/>
                <w:b w:val="1"/>
                <w:bCs w:val="1"/>
                <w:color w:val="auto"/>
              </w:rPr>
              <w:t>48,917</w:t>
            </w:r>
          </w:p>
        </w:tc>
        <w:tc>
          <w:tcPr>
            <w:tcW w:w="1120" w:type="dxa"/>
            <w:vAlign w:val="bottom"/>
            <w:shd w:val="clear" w:color="auto" w:fill="CFF0FC"/>
          </w:tcPr>
          <w:p>
            <w:pPr>
              <w:jc w:val="right"/>
              <w:ind w:right="39"/>
              <w:spacing w:after="0" w:line="193" w:lineRule="exact"/>
              <w:rPr>
                <w:sz w:val="20"/>
                <w:szCs w:val="20"/>
                <w:color w:val="auto"/>
              </w:rPr>
            </w:pPr>
            <w:r>
              <w:rPr>
                <w:rFonts w:ascii="Calibri" w:cs="Calibri" w:eastAsia="Calibri" w:hAnsi="Calibri"/>
                <w:sz w:val="16"/>
                <w:szCs w:val="16"/>
                <w:b w:val="1"/>
                <w:bCs w:val="1"/>
                <w:color w:val="auto"/>
              </w:rPr>
              <w:t>96,166</w:t>
            </w:r>
          </w:p>
        </w:tc>
      </w:tr>
      <w:tr>
        <w:trPr>
          <w:trHeight w:val="198"/>
        </w:trPr>
        <w:tc>
          <w:tcPr>
            <w:tcW w:w="186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Bret R. Whitmire</w:t>
            </w:r>
          </w:p>
        </w:tc>
        <w:tc>
          <w:tcPr>
            <w:tcW w:w="1360" w:type="dxa"/>
            <w:vAlign w:val="bottom"/>
          </w:tcPr>
          <w:p>
            <w:pPr>
              <w:ind w:left="660"/>
              <w:spacing w:after="0" w:line="193" w:lineRule="exact"/>
              <w:rPr>
                <w:sz w:val="20"/>
                <w:szCs w:val="20"/>
                <w:color w:val="auto"/>
              </w:rPr>
            </w:pPr>
            <w:r>
              <w:rPr>
                <w:rFonts w:ascii="Calibri" w:cs="Calibri" w:eastAsia="Calibri" w:hAnsi="Calibri"/>
                <w:sz w:val="16"/>
                <w:szCs w:val="16"/>
                <w:b w:val="1"/>
                <w:bCs w:val="1"/>
                <w:color w:val="auto"/>
              </w:rPr>
              <w:t>2024</w:t>
            </w:r>
          </w:p>
        </w:tc>
        <w:tc>
          <w:tcPr>
            <w:tcW w:w="1480" w:type="dxa"/>
            <w:vAlign w:val="bottom"/>
          </w:tcPr>
          <w:p>
            <w:pPr>
              <w:jc w:val="right"/>
              <w:ind w:right="159"/>
              <w:spacing w:after="0" w:line="193" w:lineRule="exact"/>
              <w:rPr>
                <w:sz w:val="20"/>
                <w:szCs w:val="20"/>
                <w:color w:val="auto"/>
              </w:rPr>
            </w:pPr>
            <w:r>
              <w:rPr>
                <w:rFonts w:ascii="Calibri" w:cs="Calibri" w:eastAsia="Calibri" w:hAnsi="Calibri"/>
                <w:sz w:val="16"/>
                <w:szCs w:val="16"/>
                <w:b w:val="1"/>
                <w:bCs w:val="1"/>
                <w:color w:val="auto"/>
              </w:rPr>
              <w:t>12,000</w:t>
            </w:r>
          </w:p>
        </w:tc>
        <w:tc>
          <w:tcPr>
            <w:tcW w:w="1300" w:type="dxa"/>
            <w:vAlign w:val="bottom"/>
          </w:tcPr>
          <w:p>
            <w:pPr>
              <w:jc w:val="right"/>
              <w:ind w:right="123"/>
              <w:spacing w:after="0" w:line="193" w:lineRule="exact"/>
              <w:rPr>
                <w:sz w:val="20"/>
                <w:szCs w:val="20"/>
                <w:color w:val="auto"/>
              </w:rPr>
            </w:pPr>
            <w:r>
              <w:rPr>
                <w:rFonts w:ascii="Calibri" w:cs="Calibri" w:eastAsia="Calibri" w:hAnsi="Calibri"/>
                <w:sz w:val="16"/>
                <w:szCs w:val="16"/>
                <w:b w:val="1"/>
                <w:bCs w:val="1"/>
                <w:color w:val="auto"/>
              </w:rPr>
              <w:t>27,575</w:t>
            </w:r>
          </w:p>
        </w:tc>
        <w:tc>
          <w:tcPr>
            <w:tcW w:w="1360" w:type="dxa"/>
            <w:vAlign w:val="bottom"/>
          </w:tcPr>
          <w:p>
            <w:pPr>
              <w:jc w:val="right"/>
              <w:ind w:right="179"/>
              <w:spacing w:after="0" w:line="193" w:lineRule="exact"/>
              <w:rPr>
                <w:sz w:val="20"/>
                <w:szCs w:val="20"/>
                <w:color w:val="auto"/>
              </w:rPr>
            </w:pPr>
            <w:r>
              <w:rPr>
                <w:rFonts w:ascii="Calibri" w:cs="Calibri" w:eastAsia="Calibri" w:hAnsi="Calibri"/>
                <w:sz w:val="16"/>
                <w:szCs w:val="16"/>
                <w:b w:val="1"/>
                <w:bCs w:val="1"/>
                <w:color w:val="auto"/>
              </w:rPr>
              <w:t>10,350</w:t>
            </w:r>
          </w:p>
        </w:tc>
        <w:tc>
          <w:tcPr>
            <w:tcW w:w="1400" w:type="dxa"/>
            <w:vAlign w:val="bottom"/>
          </w:tcPr>
          <w:p>
            <w:pPr>
              <w:jc w:val="right"/>
              <w:ind w:right="162"/>
              <w:spacing w:after="0" w:line="193" w:lineRule="exact"/>
              <w:rPr>
                <w:sz w:val="20"/>
                <w:szCs w:val="20"/>
                <w:color w:val="auto"/>
              </w:rPr>
            </w:pPr>
            <w:r>
              <w:rPr>
                <w:rFonts w:ascii="Calibri" w:cs="Calibri" w:eastAsia="Calibri" w:hAnsi="Calibri"/>
                <w:sz w:val="16"/>
                <w:szCs w:val="16"/>
                <w:b w:val="1"/>
                <w:bCs w:val="1"/>
                <w:color w:val="auto"/>
              </w:rPr>
              <w:t>3,141</w:t>
            </w:r>
          </w:p>
        </w:tc>
        <w:tc>
          <w:tcPr>
            <w:tcW w:w="1360" w:type="dxa"/>
            <w:vAlign w:val="bottom"/>
          </w:tcPr>
          <w:p>
            <w:pPr>
              <w:jc w:val="right"/>
              <w:ind w:right="243"/>
              <w:spacing w:after="0" w:line="193" w:lineRule="exact"/>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ind w:right="39"/>
              <w:spacing w:after="0" w:line="193" w:lineRule="exact"/>
              <w:rPr>
                <w:sz w:val="20"/>
                <w:szCs w:val="20"/>
                <w:color w:val="auto"/>
              </w:rPr>
            </w:pPr>
            <w:r>
              <w:rPr>
                <w:rFonts w:ascii="Calibri" w:cs="Calibri" w:eastAsia="Calibri" w:hAnsi="Calibri"/>
                <w:sz w:val="16"/>
                <w:szCs w:val="16"/>
                <w:b w:val="1"/>
                <w:bCs w:val="1"/>
                <w:color w:val="auto"/>
              </w:rPr>
              <w:t>53,066</w:t>
            </w:r>
          </w:p>
        </w:tc>
      </w:tr>
      <w:tr>
        <w:trPr>
          <w:trHeight w:val="207"/>
        </w:trPr>
        <w:tc>
          <w:tcPr>
            <w:tcW w:w="1860" w:type="dxa"/>
            <w:vAlign w:val="bottom"/>
            <w:shd w:val="clear" w:color="auto" w:fill="CFF0FC"/>
          </w:tcPr>
          <w:p>
            <w:pPr>
              <w:ind w:left="20"/>
              <w:spacing w:after="0"/>
              <w:rPr>
                <w:sz w:val="20"/>
                <w:szCs w:val="20"/>
                <w:color w:val="auto"/>
              </w:rPr>
            </w:pPr>
            <w:r>
              <w:rPr>
                <w:rFonts w:ascii="Calibri" w:cs="Calibri" w:eastAsia="Calibri" w:hAnsi="Calibri"/>
                <w:sz w:val="16"/>
                <w:szCs w:val="16"/>
                <w:b w:val="1"/>
                <w:bCs w:val="1"/>
                <w:color w:val="auto"/>
              </w:rPr>
              <w:t>Gary Yu</w:t>
            </w:r>
          </w:p>
        </w:tc>
        <w:tc>
          <w:tcPr>
            <w:tcW w:w="1360" w:type="dxa"/>
            <w:vAlign w:val="bottom"/>
            <w:shd w:val="clear" w:color="auto" w:fill="CFF0FC"/>
          </w:tcPr>
          <w:p>
            <w:pPr>
              <w:ind w:left="660"/>
              <w:spacing w:after="0"/>
              <w:rPr>
                <w:sz w:val="20"/>
                <w:szCs w:val="20"/>
                <w:color w:val="auto"/>
              </w:rPr>
            </w:pPr>
            <w:r>
              <w:rPr>
                <w:rFonts w:ascii="Calibri" w:cs="Calibri" w:eastAsia="Calibri" w:hAnsi="Calibri"/>
                <w:sz w:val="16"/>
                <w:szCs w:val="16"/>
                <w:b w:val="1"/>
                <w:bCs w:val="1"/>
                <w:color w:val="auto"/>
              </w:rPr>
              <w:t>2024</w:t>
            </w:r>
          </w:p>
        </w:tc>
        <w:tc>
          <w:tcPr>
            <w:tcW w:w="1480" w:type="dxa"/>
            <w:vAlign w:val="bottom"/>
            <w:shd w:val="clear" w:color="auto" w:fill="CFF0FC"/>
          </w:tcPr>
          <w:p>
            <w:pPr>
              <w:jc w:val="right"/>
              <w:ind w:right="159"/>
              <w:spacing w:after="0"/>
              <w:rPr>
                <w:sz w:val="20"/>
                <w:szCs w:val="20"/>
                <w:color w:val="auto"/>
              </w:rPr>
            </w:pPr>
            <w:r>
              <w:rPr>
                <w:rFonts w:ascii="Calibri" w:cs="Calibri" w:eastAsia="Calibri" w:hAnsi="Calibri"/>
                <w:sz w:val="16"/>
                <w:szCs w:val="16"/>
                <w:b w:val="1"/>
                <w:bCs w:val="1"/>
                <w:color w:val="auto"/>
              </w:rPr>
              <w:t>—</w:t>
            </w:r>
          </w:p>
        </w:tc>
        <w:tc>
          <w:tcPr>
            <w:tcW w:w="1300" w:type="dxa"/>
            <w:vAlign w:val="bottom"/>
            <w:shd w:val="clear" w:color="auto" w:fill="CFF0FC"/>
          </w:tcPr>
          <w:p>
            <w:pPr>
              <w:jc w:val="right"/>
              <w:ind w:right="123"/>
              <w:spacing w:after="0"/>
              <w:rPr>
                <w:sz w:val="20"/>
                <w:szCs w:val="20"/>
                <w:color w:val="auto"/>
              </w:rPr>
            </w:pPr>
            <w:r>
              <w:rPr>
                <w:rFonts w:ascii="Calibri" w:cs="Calibri" w:eastAsia="Calibri" w:hAnsi="Calibri"/>
                <w:sz w:val="16"/>
                <w:szCs w:val="16"/>
                <w:b w:val="1"/>
                <w:bCs w:val="1"/>
                <w:color w:val="auto"/>
              </w:rPr>
              <w:t>8,403</w:t>
            </w:r>
          </w:p>
        </w:tc>
        <w:tc>
          <w:tcPr>
            <w:tcW w:w="1360" w:type="dxa"/>
            <w:vAlign w:val="bottom"/>
            <w:shd w:val="clear" w:color="auto" w:fill="CFF0FC"/>
          </w:tcPr>
          <w:p>
            <w:pPr>
              <w:jc w:val="right"/>
              <w:ind w:right="179"/>
              <w:spacing w:after="0"/>
              <w:rPr>
                <w:sz w:val="20"/>
                <w:szCs w:val="20"/>
                <w:color w:val="auto"/>
              </w:rPr>
            </w:pPr>
            <w:r>
              <w:rPr>
                <w:rFonts w:ascii="Calibri" w:cs="Calibri" w:eastAsia="Calibri" w:hAnsi="Calibri"/>
                <w:sz w:val="16"/>
                <w:szCs w:val="16"/>
                <w:b w:val="1"/>
                <w:bCs w:val="1"/>
                <w:color w:val="auto"/>
              </w:rPr>
              <w:t>10,350</w:t>
            </w:r>
          </w:p>
        </w:tc>
        <w:tc>
          <w:tcPr>
            <w:tcW w:w="1400" w:type="dxa"/>
            <w:vAlign w:val="bottom"/>
            <w:shd w:val="clear" w:color="auto" w:fill="CFF0FC"/>
          </w:tcPr>
          <w:p>
            <w:pPr>
              <w:jc w:val="right"/>
              <w:ind w:right="162"/>
              <w:spacing w:after="0"/>
              <w:rPr>
                <w:sz w:val="20"/>
                <w:szCs w:val="20"/>
                <w:color w:val="auto"/>
              </w:rPr>
            </w:pPr>
            <w:r>
              <w:rPr>
                <w:rFonts w:ascii="Calibri" w:cs="Calibri" w:eastAsia="Calibri" w:hAnsi="Calibri"/>
                <w:sz w:val="16"/>
                <w:szCs w:val="16"/>
                <w:b w:val="1"/>
                <w:bCs w:val="1"/>
                <w:color w:val="auto"/>
              </w:rPr>
              <w:t>3,141</w:t>
            </w:r>
          </w:p>
        </w:tc>
        <w:tc>
          <w:tcPr>
            <w:tcW w:w="1360" w:type="dxa"/>
            <w:vAlign w:val="bottom"/>
            <w:shd w:val="clear" w:color="auto" w:fill="CFF0FC"/>
          </w:tcPr>
          <w:p>
            <w:pPr>
              <w:jc w:val="right"/>
              <w:ind w:right="243"/>
              <w:spacing w:after="0"/>
              <w:rPr>
                <w:sz w:val="20"/>
                <w:szCs w:val="20"/>
                <w:color w:val="auto"/>
              </w:rPr>
            </w:pPr>
            <w:r>
              <w:rPr>
                <w:rFonts w:ascii="Calibri" w:cs="Calibri" w:eastAsia="Calibri" w:hAnsi="Calibri"/>
                <w:sz w:val="16"/>
                <w:szCs w:val="16"/>
                <w:b w:val="1"/>
                <w:bCs w:val="1"/>
                <w:color w:val="auto"/>
              </w:rPr>
              <w:t>—</w:t>
            </w:r>
          </w:p>
        </w:tc>
        <w:tc>
          <w:tcPr>
            <w:tcW w:w="1120" w:type="dxa"/>
            <w:vAlign w:val="bottom"/>
            <w:shd w:val="clear" w:color="auto" w:fill="CFF0FC"/>
          </w:tcPr>
          <w:p>
            <w:pPr>
              <w:jc w:val="right"/>
              <w:ind w:right="39"/>
              <w:spacing w:after="0"/>
              <w:rPr>
                <w:sz w:val="20"/>
                <w:szCs w:val="20"/>
                <w:color w:val="auto"/>
              </w:rPr>
            </w:pPr>
            <w:r>
              <w:rPr>
                <w:rFonts w:ascii="Calibri" w:cs="Calibri" w:eastAsia="Calibri" w:hAnsi="Calibri"/>
                <w:sz w:val="16"/>
                <w:szCs w:val="16"/>
                <w:b w:val="1"/>
                <w:bCs w:val="1"/>
                <w:color w:val="auto"/>
              </w:rPr>
              <w:t>21,894</w:t>
            </w:r>
          </w:p>
        </w:tc>
      </w:tr>
      <w:tr>
        <w:trPr>
          <w:trHeight w:val="198"/>
        </w:trPr>
        <w:tc>
          <w:tcPr>
            <w:tcW w:w="186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Francis Tang</w:t>
            </w:r>
          </w:p>
        </w:tc>
        <w:tc>
          <w:tcPr>
            <w:tcW w:w="1360" w:type="dxa"/>
            <w:vAlign w:val="bottom"/>
          </w:tcPr>
          <w:p>
            <w:pPr>
              <w:ind w:left="660"/>
              <w:spacing w:after="0" w:line="193" w:lineRule="exact"/>
              <w:rPr>
                <w:sz w:val="20"/>
                <w:szCs w:val="20"/>
                <w:color w:val="auto"/>
              </w:rPr>
            </w:pPr>
            <w:r>
              <w:rPr>
                <w:rFonts w:ascii="Calibri" w:cs="Calibri" w:eastAsia="Calibri" w:hAnsi="Calibri"/>
                <w:sz w:val="16"/>
                <w:szCs w:val="16"/>
                <w:b w:val="1"/>
                <w:bCs w:val="1"/>
                <w:color w:val="auto"/>
              </w:rPr>
              <w:t>2024</w:t>
            </w:r>
          </w:p>
        </w:tc>
        <w:tc>
          <w:tcPr>
            <w:tcW w:w="1480" w:type="dxa"/>
            <w:vAlign w:val="bottom"/>
          </w:tcPr>
          <w:p>
            <w:pPr>
              <w:jc w:val="right"/>
              <w:ind w:right="159"/>
              <w:spacing w:after="0" w:line="193" w:lineRule="exact"/>
              <w:rPr>
                <w:sz w:val="20"/>
                <w:szCs w:val="20"/>
                <w:color w:val="auto"/>
              </w:rPr>
            </w:pPr>
            <w:r>
              <w:rPr>
                <w:rFonts w:ascii="Calibri" w:cs="Calibri" w:eastAsia="Calibri" w:hAnsi="Calibri"/>
                <w:sz w:val="16"/>
                <w:szCs w:val="16"/>
                <w:b w:val="1"/>
                <w:bCs w:val="1"/>
                <w:color w:val="auto"/>
              </w:rPr>
              <w:t>—</w:t>
            </w:r>
          </w:p>
        </w:tc>
        <w:tc>
          <w:tcPr>
            <w:tcW w:w="1300" w:type="dxa"/>
            <w:vAlign w:val="bottom"/>
          </w:tcPr>
          <w:p>
            <w:pPr>
              <w:jc w:val="right"/>
              <w:ind w:right="123"/>
              <w:spacing w:after="0" w:line="193" w:lineRule="exact"/>
              <w:rPr>
                <w:sz w:val="20"/>
                <w:szCs w:val="20"/>
                <w:color w:val="auto"/>
              </w:rPr>
            </w:pPr>
            <w:r>
              <w:rPr>
                <w:rFonts w:ascii="Calibri" w:cs="Calibri" w:eastAsia="Calibri" w:hAnsi="Calibri"/>
                <w:sz w:val="16"/>
                <w:szCs w:val="16"/>
                <w:b w:val="1"/>
                <w:bCs w:val="1"/>
                <w:color w:val="auto"/>
              </w:rPr>
              <w:t>22,954</w:t>
            </w:r>
          </w:p>
        </w:tc>
        <w:tc>
          <w:tcPr>
            <w:tcW w:w="1360" w:type="dxa"/>
            <w:vAlign w:val="bottom"/>
          </w:tcPr>
          <w:p>
            <w:pPr>
              <w:jc w:val="right"/>
              <w:ind w:right="179"/>
              <w:spacing w:after="0" w:line="193" w:lineRule="exact"/>
              <w:rPr>
                <w:sz w:val="20"/>
                <w:szCs w:val="20"/>
                <w:color w:val="auto"/>
              </w:rPr>
            </w:pPr>
            <w:r>
              <w:rPr>
                <w:rFonts w:ascii="Calibri" w:cs="Calibri" w:eastAsia="Calibri" w:hAnsi="Calibri"/>
                <w:sz w:val="16"/>
                <w:szCs w:val="16"/>
                <w:b w:val="1"/>
                <w:bCs w:val="1"/>
                <w:color w:val="auto"/>
              </w:rPr>
              <w:t>10,350</w:t>
            </w:r>
          </w:p>
        </w:tc>
        <w:tc>
          <w:tcPr>
            <w:tcW w:w="1400" w:type="dxa"/>
            <w:vAlign w:val="bottom"/>
          </w:tcPr>
          <w:p>
            <w:pPr>
              <w:jc w:val="right"/>
              <w:ind w:right="162"/>
              <w:spacing w:after="0" w:line="193" w:lineRule="exact"/>
              <w:rPr>
                <w:sz w:val="20"/>
                <w:szCs w:val="20"/>
                <w:color w:val="auto"/>
              </w:rPr>
            </w:pPr>
            <w:r>
              <w:rPr>
                <w:rFonts w:ascii="Calibri" w:cs="Calibri" w:eastAsia="Calibri" w:hAnsi="Calibri"/>
                <w:sz w:val="16"/>
                <w:szCs w:val="16"/>
                <w:b w:val="1"/>
                <w:bCs w:val="1"/>
                <w:color w:val="auto"/>
              </w:rPr>
              <w:t>3,141</w:t>
            </w:r>
          </w:p>
        </w:tc>
        <w:tc>
          <w:tcPr>
            <w:tcW w:w="1360" w:type="dxa"/>
            <w:vAlign w:val="bottom"/>
          </w:tcPr>
          <w:p>
            <w:pPr>
              <w:jc w:val="right"/>
              <w:ind w:right="243"/>
              <w:spacing w:after="0" w:line="193" w:lineRule="exact"/>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ind w:right="39"/>
              <w:spacing w:after="0" w:line="193" w:lineRule="exact"/>
              <w:rPr>
                <w:sz w:val="20"/>
                <w:szCs w:val="20"/>
                <w:color w:val="auto"/>
              </w:rPr>
            </w:pPr>
            <w:r>
              <w:rPr>
                <w:rFonts w:ascii="Calibri" w:cs="Calibri" w:eastAsia="Calibri" w:hAnsi="Calibri"/>
                <w:sz w:val="16"/>
                <w:szCs w:val="16"/>
                <w:b w:val="1"/>
                <w:bCs w:val="1"/>
                <w:color w:val="auto"/>
              </w:rPr>
              <w:t>36,445</w:t>
            </w:r>
          </w:p>
        </w:tc>
      </w:tr>
      <w:tr>
        <w:trPr>
          <w:trHeight w:val="207"/>
        </w:trPr>
        <w:tc>
          <w:tcPr>
            <w:tcW w:w="1860" w:type="dxa"/>
            <w:vAlign w:val="bottom"/>
            <w:shd w:val="clear" w:color="auto" w:fill="CFF0FC"/>
          </w:tcPr>
          <w:p>
            <w:pPr>
              <w:ind w:left="20"/>
              <w:spacing w:after="0"/>
              <w:rPr>
                <w:sz w:val="20"/>
                <w:szCs w:val="20"/>
                <w:color w:val="auto"/>
              </w:rPr>
            </w:pPr>
            <w:r>
              <w:rPr>
                <w:rFonts w:ascii="Calibri" w:cs="Calibri" w:eastAsia="Calibri" w:hAnsi="Calibri"/>
                <w:sz w:val="16"/>
                <w:szCs w:val="16"/>
                <w:b w:val="1"/>
                <w:bCs w:val="1"/>
                <w:color w:val="auto"/>
              </w:rPr>
              <w:t>Emily Yang</w:t>
            </w:r>
          </w:p>
        </w:tc>
        <w:tc>
          <w:tcPr>
            <w:tcW w:w="1360" w:type="dxa"/>
            <w:vAlign w:val="bottom"/>
            <w:shd w:val="clear" w:color="auto" w:fill="CFF0FC"/>
          </w:tcPr>
          <w:p>
            <w:pPr>
              <w:ind w:left="660"/>
              <w:spacing w:after="0"/>
              <w:rPr>
                <w:sz w:val="20"/>
                <w:szCs w:val="20"/>
                <w:color w:val="auto"/>
              </w:rPr>
            </w:pPr>
            <w:r>
              <w:rPr>
                <w:rFonts w:ascii="Calibri" w:cs="Calibri" w:eastAsia="Calibri" w:hAnsi="Calibri"/>
                <w:sz w:val="16"/>
                <w:szCs w:val="16"/>
                <w:b w:val="1"/>
                <w:bCs w:val="1"/>
                <w:color w:val="auto"/>
              </w:rPr>
              <w:t>2024</w:t>
            </w:r>
          </w:p>
        </w:tc>
        <w:tc>
          <w:tcPr>
            <w:tcW w:w="1480" w:type="dxa"/>
            <w:vAlign w:val="bottom"/>
            <w:shd w:val="clear" w:color="auto" w:fill="CFF0FC"/>
          </w:tcPr>
          <w:p>
            <w:pPr>
              <w:jc w:val="right"/>
              <w:ind w:right="159"/>
              <w:spacing w:after="0"/>
              <w:rPr>
                <w:sz w:val="20"/>
                <w:szCs w:val="20"/>
                <w:color w:val="auto"/>
              </w:rPr>
            </w:pPr>
            <w:r>
              <w:rPr>
                <w:rFonts w:ascii="Calibri" w:cs="Calibri" w:eastAsia="Calibri" w:hAnsi="Calibri"/>
                <w:sz w:val="16"/>
                <w:szCs w:val="16"/>
                <w:b w:val="1"/>
                <w:bCs w:val="1"/>
                <w:color w:val="auto"/>
              </w:rPr>
              <w:t>—</w:t>
            </w:r>
          </w:p>
        </w:tc>
        <w:tc>
          <w:tcPr>
            <w:tcW w:w="1300" w:type="dxa"/>
            <w:vAlign w:val="bottom"/>
            <w:shd w:val="clear" w:color="auto" w:fill="CFF0FC"/>
          </w:tcPr>
          <w:p>
            <w:pPr>
              <w:jc w:val="right"/>
              <w:ind w:right="123"/>
              <w:spacing w:after="0"/>
              <w:rPr>
                <w:sz w:val="20"/>
                <w:szCs w:val="20"/>
                <w:color w:val="auto"/>
              </w:rPr>
            </w:pPr>
            <w:r>
              <w:rPr>
                <w:rFonts w:ascii="Calibri" w:cs="Calibri" w:eastAsia="Calibri" w:hAnsi="Calibri"/>
                <w:sz w:val="16"/>
                <w:szCs w:val="16"/>
                <w:b w:val="1"/>
                <w:bCs w:val="1"/>
                <w:color w:val="auto"/>
              </w:rPr>
              <w:t>22,954</w:t>
            </w:r>
          </w:p>
        </w:tc>
        <w:tc>
          <w:tcPr>
            <w:tcW w:w="1360" w:type="dxa"/>
            <w:vAlign w:val="bottom"/>
            <w:shd w:val="clear" w:color="auto" w:fill="CFF0FC"/>
          </w:tcPr>
          <w:p>
            <w:pPr>
              <w:jc w:val="right"/>
              <w:ind w:right="179"/>
              <w:spacing w:after="0"/>
              <w:rPr>
                <w:sz w:val="20"/>
                <w:szCs w:val="20"/>
                <w:color w:val="auto"/>
              </w:rPr>
            </w:pPr>
            <w:r>
              <w:rPr>
                <w:rFonts w:ascii="Calibri" w:cs="Calibri" w:eastAsia="Calibri" w:hAnsi="Calibri"/>
                <w:sz w:val="16"/>
                <w:szCs w:val="16"/>
                <w:b w:val="1"/>
                <w:bCs w:val="1"/>
                <w:color w:val="auto"/>
              </w:rPr>
              <w:t>10,350</w:t>
            </w:r>
          </w:p>
        </w:tc>
        <w:tc>
          <w:tcPr>
            <w:tcW w:w="1400" w:type="dxa"/>
            <w:vAlign w:val="bottom"/>
            <w:shd w:val="clear" w:color="auto" w:fill="CFF0FC"/>
          </w:tcPr>
          <w:p>
            <w:pPr>
              <w:jc w:val="right"/>
              <w:ind w:right="162"/>
              <w:spacing w:after="0"/>
              <w:rPr>
                <w:sz w:val="20"/>
                <w:szCs w:val="20"/>
                <w:color w:val="auto"/>
              </w:rPr>
            </w:pPr>
            <w:r>
              <w:rPr>
                <w:rFonts w:ascii="Calibri" w:cs="Calibri" w:eastAsia="Calibri" w:hAnsi="Calibri"/>
                <w:sz w:val="16"/>
                <w:szCs w:val="16"/>
                <w:b w:val="1"/>
                <w:bCs w:val="1"/>
                <w:color w:val="auto"/>
              </w:rPr>
              <w:t>3,141</w:t>
            </w:r>
          </w:p>
        </w:tc>
        <w:tc>
          <w:tcPr>
            <w:tcW w:w="1360" w:type="dxa"/>
            <w:vAlign w:val="bottom"/>
            <w:shd w:val="clear" w:color="auto" w:fill="CFF0FC"/>
          </w:tcPr>
          <w:p>
            <w:pPr>
              <w:jc w:val="right"/>
              <w:ind w:right="243"/>
              <w:spacing w:after="0"/>
              <w:rPr>
                <w:sz w:val="20"/>
                <w:szCs w:val="20"/>
                <w:color w:val="auto"/>
              </w:rPr>
            </w:pPr>
            <w:r>
              <w:rPr>
                <w:rFonts w:ascii="Calibri" w:cs="Calibri" w:eastAsia="Calibri" w:hAnsi="Calibri"/>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Calibri" w:cs="Calibri" w:eastAsia="Calibri" w:hAnsi="Calibri"/>
                <w:sz w:val="16"/>
                <w:szCs w:val="16"/>
                <w:b w:val="1"/>
                <w:bCs w:val="1"/>
                <w:color w:val="auto"/>
              </w:rPr>
              <w:t>36,445</w:t>
            </w:r>
          </w:p>
        </w:tc>
      </w:tr>
    </w:tbl>
    <w:p>
      <w:pPr>
        <w:ind w:left="480" w:hanging="188"/>
        <w:spacing w:after="0" w:line="218" w:lineRule="auto"/>
        <w:tabs>
          <w:tab w:leader="none" w:pos="480" w:val="left"/>
        </w:tabs>
        <w:numPr>
          <w:ilvl w:val="0"/>
          <w:numId w:val="33"/>
        </w:numPr>
        <w:rPr>
          <w:rFonts w:ascii="Calibri" w:cs="Calibri" w:eastAsia="Calibri" w:hAnsi="Calibri"/>
          <w:sz w:val="14"/>
          <w:szCs w:val="14"/>
          <w:color w:val="auto"/>
        </w:rPr>
      </w:pPr>
      <w:r>
        <w:rPr>
          <w:rFonts w:ascii="Calibri" w:cs="Calibri" w:eastAsia="Calibri" w:hAnsi="Calibri"/>
          <w:sz w:val="14"/>
          <w:szCs w:val="14"/>
          <w:color w:val="auto"/>
        </w:rPr>
        <w:t>Consists of medical, dental, and vision insurance, as well as employee assistance program.</w:t>
      </w:r>
    </w:p>
    <w:p>
      <w:pPr>
        <w:spacing w:after="0" w:line="4" w:lineRule="exact"/>
        <w:rPr>
          <w:rFonts w:ascii="Calibri" w:cs="Calibri" w:eastAsia="Calibri" w:hAnsi="Calibri"/>
          <w:sz w:val="14"/>
          <w:szCs w:val="14"/>
          <w:color w:val="auto"/>
        </w:rPr>
      </w:pPr>
    </w:p>
    <w:p>
      <w:pPr>
        <w:ind w:left="500" w:hanging="202"/>
        <w:spacing w:after="0"/>
        <w:tabs>
          <w:tab w:leader="none" w:pos="500" w:val="left"/>
        </w:tabs>
        <w:numPr>
          <w:ilvl w:val="0"/>
          <w:numId w:val="33"/>
        </w:numPr>
        <w:rPr>
          <w:rFonts w:ascii="Calibri" w:cs="Calibri" w:eastAsia="Calibri" w:hAnsi="Calibri"/>
          <w:sz w:val="14"/>
          <w:szCs w:val="14"/>
          <w:color w:val="auto"/>
        </w:rPr>
      </w:pPr>
      <w:r>
        <w:rPr>
          <w:rFonts w:ascii="Calibri" w:cs="Calibri" w:eastAsia="Calibri" w:hAnsi="Calibri"/>
          <w:sz w:val="14"/>
          <w:szCs w:val="14"/>
          <w:color w:val="auto"/>
        </w:rPr>
        <w:t>Consists of life, AD&amp;D, business travel accident, and short-term and long-term disability insurance.</w:t>
      </w:r>
    </w:p>
    <w:p>
      <w:pPr>
        <w:spacing w:after="0" w:line="4" w:lineRule="exact"/>
        <w:rPr>
          <w:rFonts w:ascii="Calibri" w:cs="Calibri" w:eastAsia="Calibri" w:hAnsi="Calibri"/>
          <w:sz w:val="14"/>
          <w:szCs w:val="14"/>
          <w:color w:val="auto"/>
        </w:rPr>
      </w:pPr>
    </w:p>
    <w:p>
      <w:pPr>
        <w:ind w:left="500" w:hanging="202"/>
        <w:spacing w:after="0"/>
        <w:tabs>
          <w:tab w:leader="none" w:pos="500" w:val="left"/>
        </w:tabs>
        <w:numPr>
          <w:ilvl w:val="0"/>
          <w:numId w:val="33"/>
        </w:numPr>
        <w:rPr>
          <w:rFonts w:ascii="Calibri" w:cs="Calibri" w:eastAsia="Calibri" w:hAnsi="Calibri"/>
          <w:sz w:val="14"/>
          <w:szCs w:val="14"/>
          <w:color w:val="auto"/>
        </w:rPr>
      </w:pPr>
      <w:r>
        <w:rPr>
          <w:rFonts w:ascii="Calibri" w:cs="Calibri" w:eastAsia="Calibri" w:hAnsi="Calibri"/>
          <w:sz w:val="14"/>
          <w:szCs w:val="14"/>
          <w:color w:val="auto"/>
        </w:rPr>
        <w:t>Taxable per diem amounts consist of amounts paid to Dr. Lu for reimbursements while staying at his personal residence while traveling on Company business.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49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2" w:name="page53"/>
    <w:bookmarkEnd w:id="52"/>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t>GRANTS OF PLAN-BASED AWARDS — 2024</w:t>
      </w:r>
    </w:p>
    <w:p>
      <w:pPr>
        <w:spacing w:after="0" w:line="35"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The following table sets forth certain informaton with respect to grants of awards to the NEOs under the Company’s non-equity incentve plan and the 2022 Plan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620" w:type="dxa"/>
            <w:vAlign w:val="bottom"/>
            <w:tcBorders>
              <w:top w:val="single" w:sz="8" w:color="005CA9"/>
            </w:tcBorders>
          </w:tcPr>
          <w:p>
            <w:pPr>
              <w:spacing w:after="0"/>
              <w:rPr>
                <w:sz w:val="13"/>
                <w:szCs w:val="13"/>
                <w:color w:val="auto"/>
              </w:rPr>
            </w:pPr>
          </w:p>
        </w:tc>
        <w:tc>
          <w:tcPr>
            <w:tcW w:w="1520" w:type="dxa"/>
            <w:vAlign w:val="bottom"/>
            <w:tcBorders>
              <w:top w:val="single" w:sz="8" w:color="005CA9"/>
            </w:tcBorders>
          </w:tcPr>
          <w:p>
            <w:pPr>
              <w:spacing w:after="0"/>
              <w:rPr>
                <w:sz w:val="13"/>
                <w:szCs w:val="13"/>
                <w:color w:val="auto"/>
              </w:rPr>
            </w:pPr>
          </w:p>
        </w:tc>
        <w:tc>
          <w:tcPr>
            <w:tcW w:w="2880" w:type="dxa"/>
            <w:vAlign w:val="bottom"/>
            <w:tcBorders>
              <w:top w:val="single" w:sz="8" w:color="005CA9"/>
            </w:tcBorders>
            <w:gridSpan w:val="3"/>
          </w:tcPr>
          <w:p>
            <w:pPr>
              <w:jc w:val="right"/>
              <w:ind w:right="577"/>
              <w:spacing w:after="0" w:line="152" w:lineRule="exact"/>
              <w:rPr>
                <w:sz w:val="20"/>
                <w:szCs w:val="20"/>
                <w:color w:val="auto"/>
              </w:rPr>
            </w:pPr>
            <w:r>
              <w:rPr>
                <w:rFonts w:ascii="Calibri" w:cs="Calibri" w:eastAsia="Calibri" w:hAnsi="Calibri"/>
                <w:sz w:val="13"/>
                <w:szCs w:val="13"/>
                <w:b w:val="1"/>
                <w:bCs w:val="1"/>
                <w:color w:val="auto"/>
              </w:rPr>
              <w:t>Estmated Future Payouts Under</w:t>
            </w:r>
          </w:p>
        </w:tc>
        <w:tc>
          <w:tcPr>
            <w:tcW w:w="100" w:type="dxa"/>
            <w:vAlign w:val="bottom"/>
            <w:tcBorders>
              <w:top w:val="single" w:sz="8" w:color="005CA9"/>
            </w:tcBorders>
          </w:tcPr>
          <w:p>
            <w:pPr>
              <w:spacing w:after="0"/>
              <w:rPr>
                <w:sz w:val="13"/>
                <w:szCs w:val="13"/>
                <w:color w:val="auto"/>
              </w:rPr>
            </w:pPr>
          </w:p>
        </w:tc>
        <w:tc>
          <w:tcPr>
            <w:tcW w:w="2680" w:type="dxa"/>
            <w:vAlign w:val="bottom"/>
            <w:tcBorders>
              <w:top w:val="single" w:sz="8" w:color="005CA9"/>
            </w:tcBorders>
            <w:gridSpan w:val="3"/>
          </w:tcPr>
          <w:p>
            <w:pPr>
              <w:jc w:val="center"/>
              <w:ind w:right="37"/>
              <w:spacing w:after="0" w:line="152" w:lineRule="exact"/>
              <w:rPr>
                <w:sz w:val="20"/>
                <w:szCs w:val="20"/>
                <w:color w:val="auto"/>
              </w:rPr>
            </w:pPr>
            <w:r>
              <w:rPr>
                <w:rFonts w:ascii="Calibri" w:cs="Calibri" w:eastAsia="Calibri" w:hAnsi="Calibri"/>
                <w:sz w:val="13"/>
                <w:szCs w:val="13"/>
                <w:b w:val="1"/>
                <w:bCs w:val="1"/>
                <w:color w:val="auto"/>
                <w:w w:val="98"/>
              </w:rPr>
              <w:t>Estmated Future Payouts</w:t>
            </w:r>
          </w:p>
        </w:tc>
        <w:tc>
          <w:tcPr>
            <w:tcW w:w="1120" w:type="dxa"/>
            <w:vAlign w:val="bottom"/>
            <w:tcBorders>
              <w:top w:val="single" w:sz="8" w:color="005CA9"/>
            </w:tcBorders>
          </w:tcPr>
          <w:p>
            <w:pPr>
              <w:spacing w:after="0"/>
              <w:rPr>
                <w:sz w:val="13"/>
                <w:szCs w:val="13"/>
                <w:color w:val="auto"/>
              </w:rPr>
            </w:pPr>
          </w:p>
        </w:tc>
        <w:tc>
          <w:tcPr>
            <w:tcW w:w="1320" w:type="dxa"/>
            <w:vAlign w:val="bottom"/>
            <w:tcBorders>
              <w:top w:val="single" w:sz="8" w:color="005CA9"/>
            </w:tcBorders>
          </w:tcPr>
          <w:p>
            <w:pPr>
              <w:spacing w:after="0"/>
              <w:rPr>
                <w:sz w:val="13"/>
                <w:szCs w:val="13"/>
                <w:color w:val="auto"/>
              </w:rPr>
            </w:pPr>
          </w:p>
        </w:tc>
      </w:tr>
      <w:tr>
        <w:trPr>
          <w:trHeight w:val="179"/>
        </w:trPr>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80" w:type="dxa"/>
            <w:vAlign w:val="bottom"/>
            <w:tcBorders>
              <w:bottom w:val="single" w:sz="8" w:color="005CA9"/>
            </w:tcBorders>
            <w:gridSpan w:val="3"/>
          </w:tcPr>
          <w:p>
            <w:pPr>
              <w:jc w:val="right"/>
              <w:ind w:right="537"/>
              <w:spacing w:after="0" w:line="149" w:lineRule="exact"/>
              <w:rPr>
                <w:sz w:val="20"/>
                <w:szCs w:val="20"/>
                <w:color w:val="auto"/>
              </w:rPr>
            </w:pPr>
            <w:r>
              <w:rPr>
                <w:rFonts w:ascii="Calibri" w:cs="Calibri" w:eastAsia="Calibri" w:hAnsi="Calibri"/>
                <w:sz w:val="13"/>
                <w:szCs w:val="13"/>
                <w:b w:val="1"/>
                <w:bCs w:val="1"/>
                <w:color w:val="auto"/>
              </w:rPr>
              <w:t>Non-Equity Incentve Plan Awards</w:t>
            </w:r>
          </w:p>
        </w:tc>
        <w:tc>
          <w:tcPr>
            <w:tcW w:w="100" w:type="dxa"/>
            <w:vAlign w:val="bottom"/>
          </w:tcPr>
          <w:p>
            <w:pPr>
              <w:spacing w:after="0"/>
              <w:rPr>
                <w:sz w:val="15"/>
                <w:szCs w:val="15"/>
                <w:color w:val="auto"/>
              </w:rPr>
            </w:pPr>
          </w:p>
        </w:tc>
        <w:tc>
          <w:tcPr>
            <w:tcW w:w="2680" w:type="dxa"/>
            <w:vAlign w:val="bottom"/>
            <w:tcBorders>
              <w:bottom w:val="single" w:sz="8" w:color="005CA9"/>
            </w:tcBorders>
            <w:gridSpan w:val="3"/>
          </w:tcPr>
          <w:p>
            <w:pPr>
              <w:jc w:val="center"/>
              <w:ind w:right="17"/>
              <w:spacing w:after="0" w:line="149" w:lineRule="exact"/>
              <w:rPr>
                <w:sz w:val="20"/>
                <w:szCs w:val="20"/>
                <w:color w:val="auto"/>
              </w:rPr>
            </w:pPr>
            <w:r>
              <w:rPr>
                <w:rFonts w:ascii="Calibri" w:cs="Calibri" w:eastAsia="Calibri" w:hAnsi="Calibri"/>
                <w:sz w:val="13"/>
                <w:szCs w:val="13"/>
                <w:b w:val="1"/>
                <w:bCs w:val="1"/>
                <w:color w:val="auto"/>
                <w:w w:val="98"/>
              </w:rPr>
              <w:t>Under Equity Incentve Plan Awards</w:t>
            </w: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38"/>
        </w:trPr>
        <w:tc>
          <w:tcPr>
            <w:tcW w:w="1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jc w:val="center"/>
              <w:spacing w:after="0" w:line="138" w:lineRule="exact"/>
              <w:rPr>
                <w:sz w:val="20"/>
                <w:szCs w:val="20"/>
                <w:color w:val="auto"/>
              </w:rPr>
            </w:pPr>
            <w:r>
              <w:rPr>
                <w:rFonts w:ascii="Calibri" w:cs="Calibri" w:eastAsia="Calibri" w:hAnsi="Calibri"/>
                <w:sz w:val="13"/>
                <w:szCs w:val="13"/>
                <w:b w:val="1"/>
                <w:bCs w:val="1"/>
                <w:color w:val="auto"/>
                <w:w w:val="96"/>
              </w:rPr>
              <w:t>All Other Stock</w:t>
            </w:r>
          </w:p>
        </w:tc>
        <w:tc>
          <w:tcPr>
            <w:tcW w:w="1320" w:type="dxa"/>
            <w:vAlign w:val="bottom"/>
          </w:tcPr>
          <w:p>
            <w:pPr>
              <w:jc w:val="center"/>
              <w:spacing w:after="0" w:line="138" w:lineRule="exact"/>
              <w:rPr>
                <w:sz w:val="20"/>
                <w:szCs w:val="20"/>
                <w:color w:val="auto"/>
              </w:rPr>
            </w:pPr>
            <w:r>
              <w:rPr>
                <w:rFonts w:ascii="Calibri" w:cs="Calibri" w:eastAsia="Calibri" w:hAnsi="Calibri"/>
                <w:sz w:val="13"/>
                <w:szCs w:val="13"/>
                <w:b w:val="1"/>
                <w:bCs w:val="1"/>
                <w:color w:val="auto"/>
                <w:w w:val="96"/>
              </w:rPr>
              <w:t>Grant Date Fair</w:t>
            </w:r>
          </w:p>
        </w:tc>
      </w:tr>
      <w:tr>
        <w:trPr>
          <w:trHeight w:val="148"/>
        </w:trPr>
        <w:tc>
          <w:tcPr>
            <w:tcW w:w="1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Awards:</w:t>
            </w:r>
          </w:p>
        </w:tc>
        <w:tc>
          <w:tcPr>
            <w:tcW w:w="13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Value</w:t>
            </w:r>
          </w:p>
        </w:tc>
      </w:tr>
      <w:tr>
        <w:trPr>
          <w:trHeight w:val="149"/>
        </w:trPr>
        <w:tc>
          <w:tcPr>
            <w:tcW w:w="1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Number of</w:t>
            </w:r>
          </w:p>
        </w:tc>
        <w:tc>
          <w:tcPr>
            <w:tcW w:w="13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of Stock and Opton</w:t>
            </w:r>
          </w:p>
        </w:tc>
      </w:tr>
      <w:tr>
        <w:trPr>
          <w:trHeight w:val="134"/>
        </w:trPr>
        <w:tc>
          <w:tcPr>
            <w:tcW w:w="16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60" w:type="dxa"/>
            <w:vAlign w:val="bottom"/>
          </w:tcPr>
          <w:p>
            <w:pPr>
              <w:jc w:val="right"/>
              <w:ind w:right="257"/>
              <w:spacing w:after="0" w:line="134" w:lineRule="exact"/>
              <w:rPr>
                <w:sz w:val="20"/>
                <w:szCs w:val="20"/>
                <w:color w:val="auto"/>
              </w:rPr>
            </w:pPr>
            <w:r>
              <w:rPr>
                <w:rFonts w:ascii="Calibri" w:cs="Calibri" w:eastAsia="Calibri" w:hAnsi="Calibri"/>
                <w:sz w:val="13"/>
                <w:szCs w:val="13"/>
                <w:b w:val="1"/>
                <w:bCs w:val="1"/>
                <w:color w:val="auto"/>
              </w:rPr>
              <w:t>Threshold</w:t>
            </w:r>
          </w:p>
        </w:tc>
        <w:tc>
          <w:tcPr>
            <w:tcW w:w="940" w:type="dxa"/>
            <w:vAlign w:val="bottom"/>
          </w:tcPr>
          <w:p>
            <w:pPr>
              <w:jc w:val="center"/>
              <w:ind w:right="57"/>
              <w:spacing w:after="0" w:line="134" w:lineRule="exact"/>
              <w:rPr>
                <w:sz w:val="20"/>
                <w:szCs w:val="20"/>
                <w:color w:val="auto"/>
              </w:rPr>
            </w:pPr>
            <w:r>
              <w:rPr>
                <w:rFonts w:ascii="Calibri" w:cs="Calibri" w:eastAsia="Calibri" w:hAnsi="Calibri"/>
                <w:sz w:val="13"/>
                <w:szCs w:val="13"/>
                <w:b w:val="1"/>
                <w:bCs w:val="1"/>
                <w:color w:val="auto"/>
                <w:w w:val="97"/>
              </w:rPr>
              <w:t>Target</w:t>
            </w:r>
          </w:p>
        </w:tc>
        <w:tc>
          <w:tcPr>
            <w:tcW w:w="980" w:type="dxa"/>
            <w:vAlign w:val="bottom"/>
          </w:tcPr>
          <w:p>
            <w:pPr>
              <w:jc w:val="right"/>
              <w:ind w:right="177"/>
              <w:spacing w:after="0" w:line="134" w:lineRule="exact"/>
              <w:rPr>
                <w:sz w:val="20"/>
                <w:szCs w:val="20"/>
                <w:color w:val="auto"/>
              </w:rPr>
            </w:pPr>
            <w:r>
              <w:rPr>
                <w:rFonts w:ascii="Calibri" w:cs="Calibri" w:eastAsia="Calibri" w:hAnsi="Calibri"/>
                <w:sz w:val="13"/>
                <w:szCs w:val="13"/>
                <w:b w:val="1"/>
                <w:bCs w:val="1"/>
                <w:color w:val="auto"/>
              </w:rPr>
              <w:t>Maximum</w:t>
            </w:r>
          </w:p>
        </w:tc>
        <w:tc>
          <w:tcPr>
            <w:tcW w:w="100" w:type="dxa"/>
            <w:vAlign w:val="bottom"/>
          </w:tcPr>
          <w:p>
            <w:pPr>
              <w:spacing w:after="0"/>
              <w:rPr>
                <w:sz w:val="11"/>
                <w:szCs w:val="11"/>
                <w:color w:val="auto"/>
              </w:rPr>
            </w:pPr>
          </w:p>
        </w:tc>
        <w:tc>
          <w:tcPr>
            <w:tcW w:w="940" w:type="dxa"/>
            <w:vAlign w:val="bottom"/>
          </w:tcPr>
          <w:p>
            <w:pPr>
              <w:jc w:val="right"/>
              <w:ind w:right="237"/>
              <w:spacing w:after="0" w:line="134" w:lineRule="exact"/>
              <w:rPr>
                <w:sz w:val="20"/>
                <w:szCs w:val="20"/>
                <w:color w:val="auto"/>
              </w:rPr>
            </w:pPr>
            <w:r>
              <w:rPr>
                <w:rFonts w:ascii="Calibri" w:cs="Calibri" w:eastAsia="Calibri" w:hAnsi="Calibri"/>
                <w:sz w:val="13"/>
                <w:szCs w:val="13"/>
                <w:b w:val="1"/>
                <w:bCs w:val="1"/>
                <w:color w:val="auto"/>
              </w:rPr>
              <w:t>Threshold</w:t>
            </w:r>
          </w:p>
        </w:tc>
        <w:tc>
          <w:tcPr>
            <w:tcW w:w="840" w:type="dxa"/>
            <w:vAlign w:val="bottom"/>
          </w:tcPr>
          <w:p>
            <w:pPr>
              <w:jc w:val="center"/>
              <w:ind w:right="37"/>
              <w:spacing w:after="0" w:line="134" w:lineRule="exact"/>
              <w:rPr>
                <w:sz w:val="20"/>
                <w:szCs w:val="20"/>
                <w:color w:val="auto"/>
              </w:rPr>
            </w:pPr>
            <w:r>
              <w:rPr>
                <w:rFonts w:ascii="Calibri" w:cs="Calibri" w:eastAsia="Calibri" w:hAnsi="Calibri"/>
                <w:sz w:val="13"/>
                <w:szCs w:val="13"/>
                <w:b w:val="1"/>
                <w:bCs w:val="1"/>
                <w:color w:val="auto"/>
                <w:w w:val="97"/>
              </w:rPr>
              <w:t>Target</w:t>
            </w:r>
          </w:p>
        </w:tc>
        <w:tc>
          <w:tcPr>
            <w:tcW w:w="900" w:type="dxa"/>
            <w:vAlign w:val="bottom"/>
          </w:tcPr>
          <w:p>
            <w:pPr>
              <w:jc w:val="right"/>
              <w:ind w:right="137"/>
              <w:spacing w:after="0" w:line="134" w:lineRule="exact"/>
              <w:rPr>
                <w:sz w:val="20"/>
                <w:szCs w:val="20"/>
                <w:color w:val="auto"/>
              </w:rPr>
            </w:pPr>
            <w:r>
              <w:rPr>
                <w:rFonts w:ascii="Calibri" w:cs="Calibri" w:eastAsia="Calibri" w:hAnsi="Calibri"/>
                <w:sz w:val="13"/>
                <w:szCs w:val="13"/>
                <w:b w:val="1"/>
                <w:bCs w:val="1"/>
                <w:color w:val="auto"/>
              </w:rPr>
              <w:t>Maximum</w:t>
            </w:r>
          </w:p>
        </w:tc>
        <w:tc>
          <w:tcPr>
            <w:tcW w:w="112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7"/>
              </w:rPr>
              <w:t>Shares of Stock</w:t>
            </w:r>
          </w:p>
        </w:tc>
        <w:tc>
          <w:tcPr>
            <w:tcW w:w="132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3"/>
              </w:rPr>
              <w:t>Awards</w:t>
            </w:r>
          </w:p>
        </w:tc>
      </w:tr>
      <w:tr>
        <w:trPr>
          <w:trHeight w:val="163"/>
        </w:trPr>
        <w:tc>
          <w:tcPr>
            <w:tcW w:w="1620" w:type="dxa"/>
            <w:vAlign w:val="bottom"/>
          </w:tcPr>
          <w:p>
            <w:pPr>
              <w:spacing w:after="0"/>
              <w:rPr>
                <w:sz w:val="14"/>
                <w:szCs w:val="14"/>
                <w:color w:val="auto"/>
              </w:rPr>
            </w:pPr>
          </w:p>
        </w:tc>
        <w:tc>
          <w:tcPr>
            <w:tcW w:w="1520" w:type="dxa"/>
            <w:vAlign w:val="bottom"/>
          </w:tcPr>
          <w:p>
            <w:pPr>
              <w:jc w:val="center"/>
              <w:ind w:left="317"/>
              <w:spacing w:after="0"/>
              <w:rPr>
                <w:sz w:val="20"/>
                <w:szCs w:val="20"/>
                <w:color w:val="auto"/>
              </w:rPr>
            </w:pPr>
            <w:r>
              <w:rPr>
                <w:rFonts w:ascii="Calibri" w:cs="Calibri" w:eastAsia="Calibri" w:hAnsi="Calibri"/>
                <w:sz w:val="13"/>
                <w:szCs w:val="13"/>
                <w:b w:val="1"/>
                <w:bCs w:val="1"/>
                <w:color w:val="auto"/>
                <w:w w:val="97"/>
              </w:rPr>
              <w:t>Grant Date</w:t>
            </w:r>
          </w:p>
        </w:tc>
        <w:tc>
          <w:tcPr>
            <w:tcW w:w="960" w:type="dxa"/>
            <w:vAlign w:val="bottom"/>
          </w:tcPr>
          <w:p>
            <w:pPr>
              <w:jc w:val="right"/>
              <w:ind w:right="457"/>
              <w:spacing w:after="0"/>
              <w:rPr>
                <w:sz w:val="20"/>
                <w:szCs w:val="20"/>
                <w:color w:val="auto"/>
              </w:rPr>
            </w:pPr>
            <w:r>
              <w:rPr>
                <w:rFonts w:ascii="Calibri" w:cs="Calibri" w:eastAsia="Calibri" w:hAnsi="Calibri"/>
                <w:sz w:val="13"/>
                <w:szCs w:val="13"/>
                <w:b w:val="1"/>
                <w:bCs w:val="1"/>
                <w:color w:val="auto"/>
              </w:rPr>
              <w:t>($)</w:t>
            </w:r>
          </w:p>
        </w:tc>
        <w:tc>
          <w:tcPr>
            <w:tcW w:w="940" w:type="dxa"/>
            <w:vAlign w:val="bottom"/>
          </w:tcPr>
          <w:p>
            <w:pPr>
              <w:jc w:val="center"/>
              <w:ind w:right="57"/>
              <w:spacing w:after="0" w:line="163" w:lineRule="exact"/>
              <w:rPr>
                <w:sz w:val="20"/>
                <w:szCs w:val="20"/>
                <w:color w:val="auto"/>
              </w:rPr>
            </w:pPr>
            <w:r>
              <w:rPr>
                <w:rFonts w:ascii="Calibri" w:cs="Calibri" w:eastAsia="Calibri" w:hAnsi="Calibri"/>
                <w:sz w:val="13"/>
                <w:szCs w:val="13"/>
                <w:b w:val="1"/>
                <w:bCs w:val="1"/>
                <w:color w:val="auto"/>
                <w:w w:val="87"/>
              </w:rPr>
              <w:t xml:space="preserve">($) </w:t>
            </w:r>
            <w:r>
              <w:rPr>
                <w:rFonts w:ascii="Calibri" w:cs="Calibri" w:eastAsia="Calibri" w:hAnsi="Calibri"/>
                <w:sz w:val="16"/>
                <w:szCs w:val="16"/>
                <w:b w:val="1"/>
                <w:bCs w:val="1"/>
                <w:color w:val="auto"/>
                <w:w w:val="87"/>
                <w:vertAlign w:val="superscript"/>
              </w:rPr>
              <w:t>(1)</w:t>
            </w:r>
          </w:p>
        </w:tc>
        <w:tc>
          <w:tcPr>
            <w:tcW w:w="980" w:type="dxa"/>
            <w:vAlign w:val="bottom"/>
          </w:tcPr>
          <w:p>
            <w:pPr>
              <w:jc w:val="center"/>
              <w:spacing w:after="0"/>
              <w:rPr>
                <w:sz w:val="20"/>
                <w:szCs w:val="20"/>
                <w:color w:val="auto"/>
              </w:rPr>
            </w:pPr>
            <w:r>
              <w:rPr>
                <w:rFonts w:ascii="Calibri" w:cs="Calibri" w:eastAsia="Calibri" w:hAnsi="Calibri"/>
                <w:sz w:val="13"/>
                <w:szCs w:val="13"/>
                <w:b w:val="1"/>
                <w:bCs w:val="1"/>
                <w:color w:val="auto"/>
                <w:w w:val="94"/>
              </w:rPr>
              <w:t>($)</w:t>
            </w:r>
          </w:p>
        </w:tc>
        <w:tc>
          <w:tcPr>
            <w:tcW w:w="1040" w:type="dxa"/>
            <w:vAlign w:val="bottom"/>
            <w:gridSpan w:val="2"/>
          </w:tcPr>
          <w:p>
            <w:pPr>
              <w:jc w:val="right"/>
              <w:ind w:right="437"/>
              <w:spacing w:after="0"/>
              <w:rPr>
                <w:sz w:val="20"/>
                <w:szCs w:val="20"/>
                <w:color w:val="auto"/>
              </w:rPr>
            </w:pPr>
            <w:r>
              <w:rPr>
                <w:rFonts w:ascii="Calibri" w:cs="Calibri" w:eastAsia="Calibri" w:hAnsi="Calibri"/>
                <w:sz w:val="13"/>
                <w:szCs w:val="13"/>
                <w:b w:val="1"/>
                <w:bCs w:val="1"/>
                <w:color w:val="auto"/>
              </w:rPr>
              <w:t>(#)</w:t>
            </w:r>
          </w:p>
        </w:tc>
        <w:tc>
          <w:tcPr>
            <w:tcW w:w="840" w:type="dxa"/>
            <w:vAlign w:val="bottom"/>
          </w:tcPr>
          <w:p>
            <w:pPr>
              <w:jc w:val="right"/>
              <w:ind w:right="357"/>
              <w:spacing w:after="0"/>
              <w:rPr>
                <w:sz w:val="20"/>
                <w:szCs w:val="20"/>
                <w:color w:val="auto"/>
              </w:rPr>
            </w:pPr>
            <w:r>
              <w:rPr>
                <w:rFonts w:ascii="Calibri" w:cs="Calibri" w:eastAsia="Calibri" w:hAnsi="Calibri"/>
                <w:sz w:val="13"/>
                <w:szCs w:val="13"/>
                <w:b w:val="1"/>
                <w:bCs w:val="1"/>
                <w:color w:val="auto"/>
              </w:rPr>
              <w:t>(#)</w:t>
            </w:r>
          </w:p>
        </w:tc>
        <w:tc>
          <w:tcPr>
            <w:tcW w:w="900" w:type="dxa"/>
            <w:vAlign w:val="bottom"/>
          </w:tcPr>
          <w:p>
            <w:pPr>
              <w:jc w:val="right"/>
              <w:ind w:right="337"/>
              <w:spacing w:after="0"/>
              <w:rPr>
                <w:sz w:val="20"/>
                <w:szCs w:val="20"/>
                <w:color w:val="auto"/>
              </w:rPr>
            </w:pPr>
            <w:r>
              <w:rPr>
                <w:rFonts w:ascii="Calibri" w:cs="Calibri" w:eastAsia="Calibri" w:hAnsi="Calibri"/>
                <w:sz w:val="13"/>
                <w:szCs w:val="13"/>
                <w:b w:val="1"/>
                <w:bCs w:val="1"/>
                <w:color w:val="auto"/>
              </w:rPr>
              <w:t>(#)</w:t>
            </w: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w w:val="95"/>
              </w:rPr>
              <w:t>or Units (#)</w:t>
            </w:r>
          </w:p>
        </w:tc>
        <w:tc>
          <w:tcPr>
            <w:tcW w:w="1320" w:type="dxa"/>
            <w:vAlign w:val="bottom"/>
          </w:tcPr>
          <w:p>
            <w:pPr>
              <w:jc w:val="center"/>
              <w:spacing w:after="0" w:line="163" w:lineRule="exact"/>
              <w:rPr>
                <w:sz w:val="20"/>
                <w:szCs w:val="20"/>
                <w:color w:val="auto"/>
              </w:rPr>
            </w:pPr>
            <w:r>
              <w:rPr>
                <w:rFonts w:ascii="Calibri" w:cs="Calibri" w:eastAsia="Calibri" w:hAnsi="Calibri"/>
                <w:sz w:val="13"/>
                <w:szCs w:val="13"/>
                <w:b w:val="1"/>
                <w:bCs w:val="1"/>
                <w:color w:val="auto"/>
                <w:w w:val="94"/>
              </w:rPr>
              <w:t xml:space="preserve">($) </w:t>
            </w:r>
            <w:r>
              <w:rPr>
                <w:rFonts w:ascii="Calibri" w:cs="Calibri" w:eastAsia="Calibri" w:hAnsi="Calibri"/>
                <w:sz w:val="16"/>
                <w:szCs w:val="16"/>
                <w:b w:val="1"/>
                <w:bCs w:val="1"/>
                <w:color w:val="auto"/>
                <w:w w:val="94"/>
                <w:vertAlign w:val="superscript"/>
              </w:rPr>
              <w:t>(2)</w:t>
            </w:r>
          </w:p>
        </w:tc>
      </w:tr>
      <w:tr>
        <w:trPr>
          <w:trHeight w:val="179"/>
        </w:trPr>
        <w:tc>
          <w:tcPr>
            <w:tcW w:w="1620" w:type="dxa"/>
            <w:vAlign w:val="bottom"/>
            <w:tcBorders>
              <w:bottom w:val="single" w:sz="8" w:color="005CA9"/>
            </w:tcBorders>
          </w:tcPr>
          <w:p>
            <w:pPr>
              <w:spacing w:after="0"/>
              <w:rPr>
                <w:sz w:val="15"/>
                <w:szCs w:val="15"/>
                <w:color w:val="auto"/>
              </w:rPr>
            </w:pPr>
          </w:p>
        </w:tc>
        <w:tc>
          <w:tcPr>
            <w:tcW w:w="1520" w:type="dxa"/>
            <w:vAlign w:val="bottom"/>
            <w:tcBorders>
              <w:bottom w:val="single" w:sz="8" w:color="005CA9"/>
            </w:tcBorders>
          </w:tcPr>
          <w:p>
            <w:pPr>
              <w:jc w:val="center"/>
              <w:ind w:left="337"/>
              <w:spacing w:after="0" w:line="149" w:lineRule="exact"/>
              <w:rPr>
                <w:sz w:val="20"/>
                <w:szCs w:val="20"/>
                <w:color w:val="auto"/>
              </w:rPr>
            </w:pPr>
            <w:r>
              <w:rPr>
                <w:rFonts w:ascii="Calibri" w:cs="Calibri" w:eastAsia="Calibri" w:hAnsi="Calibri"/>
                <w:sz w:val="13"/>
                <w:szCs w:val="13"/>
                <w:b w:val="1"/>
                <w:bCs w:val="1"/>
                <w:color w:val="auto"/>
              </w:rPr>
              <w:t>(b)</w:t>
            </w:r>
          </w:p>
        </w:tc>
        <w:tc>
          <w:tcPr>
            <w:tcW w:w="960" w:type="dxa"/>
            <w:vAlign w:val="bottom"/>
            <w:tcBorders>
              <w:bottom w:val="single" w:sz="8" w:color="005CA9"/>
            </w:tcBorders>
          </w:tcPr>
          <w:p>
            <w:pPr>
              <w:jc w:val="right"/>
              <w:ind w:right="457"/>
              <w:spacing w:after="0" w:line="149" w:lineRule="exact"/>
              <w:rPr>
                <w:sz w:val="20"/>
                <w:szCs w:val="20"/>
                <w:color w:val="auto"/>
              </w:rPr>
            </w:pPr>
            <w:r>
              <w:rPr>
                <w:rFonts w:ascii="Calibri" w:cs="Calibri" w:eastAsia="Calibri" w:hAnsi="Calibri"/>
                <w:sz w:val="13"/>
                <w:szCs w:val="13"/>
                <w:b w:val="1"/>
                <w:bCs w:val="1"/>
                <w:color w:val="auto"/>
              </w:rPr>
              <w:t>(c)</w:t>
            </w:r>
          </w:p>
        </w:tc>
        <w:tc>
          <w:tcPr>
            <w:tcW w:w="940" w:type="dxa"/>
            <w:vAlign w:val="bottom"/>
            <w:tcBorders>
              <w:bottom w:val="single" w:sz="8" w:color="005CA9"/>
            </w:tcBorders>
          </w:tcPr>
          <w:p>
            <w:pPr>
              <w:jc w:val="center"/>
              <w:ind w:right="57"/>
              <w:spacing w:after="0" w:line="149" w:lineRule="exact"/>
              <w:rPr>
                <w:sz w:val="20"/>
                <w:szCs w:val="20"/>
                <w:color w:val="auto"/>
              </w:rPr>
            </w:pPr>
            <w:r>
              <w:rPr>
                <w:rFonts w:ascii="Calibri" w:cs="Calibri" w:eastAsia="Calibri" w:hAnsi="Calibri"/>
                <w:sz w:val="13"/>
                <w:szCs w:val="13"/>
                <w:b w:val="1"/>
                <w:bCs w:val="1"/>
                <w:color w:val="auto"/>
                <w:w w:val="92"/>
              </w:rPr>
              <w:t>(d)</w:t>
            </w:r>
          </w:p>
        </w:tc>
        <w:tc>
          <w:tcPr>
            <w:tcW w:w="980" w:type="dxa"/>
            <w:vAlign w:val="bottom"/>
            <w:tcBorders>
              <w:bottom w:val="single" w:sz="8" w:color="005CA9"/>
            </w:tcBorders>
          </w:tcPr>
          <w:p>
            <w:pPr>
              <w:jc w:val="right"/>
              <w:ind w:right="377"/>
              <w:spacing w:after="0" w:line="149" w:lineRule="exact"/>
              <w:rPr>
                <w:sz w:val="20"/>
                <w:szCs w:val="20"/>
                <w:color w:val="auto"/>
              </w:rPr>
            </w:pPr>
            <w:r>
              <w:rPr>
                <w:rFonts w:ascii="Calibri" w:cs="Calibri" w:eastAsia="Calibri" w:hAnsi="Calibri"/>
                <w:sz w:val="13"/>
                <w:szCs w:val="13"/>
                <w:b w:val="1"/>
                <w:bCs w:val="1"/>
                <w:color w:val="auto"/>
              </w:rPr>
              <w:t>(e)</w:t>
            </w:r>
          </w:p>
        </w:tc>
        <w:tc>
          <w:tcPr>
            <w:tcW w:w="100" w:type="dxa"/>
            <w:vAlign w:val="bottom"/>
            <w:tcBorders>
              <w:bottom w:val="single" w:sz="8" w:color="005CA9"/>
            </w:tcBorders>
          </w:tcPr>
          <w:p>
            <w:pPr>
              <w:spacing w:after="0"/>
              <w:rPr>
                <w:sz w:val="15"/>
                <w:szCs w:val="15"/>
                <w:color w:val="auto"/>
              </w:rPr>
            </w:pPr>
          </w:p>
        </w:tc>
        <w:tc>
          <w:tcPr>
            <w:tcW w:w="940" w:type="dxa"/>
            <w:vAlign w:val="bottom"/>
            <w:tcBorders>
              <w:bottom w:val="single" w:sz="8" w:color="005CA9"/>
            </w:tcBorders>
          </w:tcPr>
          <w:p>
            <w:pPr>
              <w:jc w:val="right"/>
              <w:ind w:right="437"/>
              <w:spacing w:after="0" w:line="149" w:lineRule="exact"/>
              <w:rPr>
                <w:sz w:val="20"/>
                <w:szCs w:val="20"/>
                <w:color w:val="auto"/>
              </w:rPr>
            </w:pPr>
            <w:r>
              <w:rPr>
                <w:rFonts w:ascii="Calibri" w:cs="Calibri" w:eastAsia="Calibri" w:hAnsi="Calibri"/>
                <w:sz w:val="13"/>
                <w:szCs w:val="13"/>
                <w:b w:val="1"/>
                <w:bCs w:val="1"/>
                <w:color w:val="auto"/>
              </w:rPr>
              <w:t>(f)</w:t>
            </w:r>
          </w:p>
        </w:tc>
        <w:tc>
          <w:tcPr>
            <w:tcW w:w="840" w:type="dxa"/>
            <w:vAlign w:val="bottom"/>
            <w:tcBorders>
              <w:bottom w:val="single" w:sz="8" w:color="005CA9"/>
            </w:tcBorders>
          </w:tcPr>
          <w:p>
            <w:pPr>
              <w:jc w:val="center"/>
              <w:ind w:right="37"/>
              <w:spacing w:after="0" w:line="149" w:lineRule="exact"/>
              <w:rPr>
                <w:sz w:val="20"/>
                <w:szCs w:val="20"/>
                <w:color w:val="auto"/>
              </w:rPr>
            </w:pPr>
            <w:r>
              <w:rPr>
                <w:rFonts w:ascii="Calibri" w:cs="Calibri" w:eastAsia="Calibri" w:hAnsi="Calibri"/>
                <w:sz w:val="13"/>
                <w:szCs w:val="13"/>
                <w:b w:val="1"/>
                <w:bCs w:val="1"/>
                <w:color w:val="auto"/>
                <w:w w:val="97"/>
              </w:rPr>
              <w:t>(g)</w:t>
            </w:r>
          </w:p>
        </w:tc>
        <w:tc>
          <w:tcPr>
            <w:tcW w:w="900" w:type="dxa"/>
            <w:vAlign w:val="bottom"/>
            <w:tcBorders>
              <w:bottom w:val="single" w:sz="8" w:color="005CA9"/>
            </w:tcBorders>
          </w:tcPr>
          <w:p>
            <w:pPr>
              <w:jc w:val="right"/>
              <w:ind w:right="317"/>
              <w:spacing w:after="0" w:line="149" w:lineRule="exact"/>
              <w:rPr>
                <w:sz w:val="20"/>
                <w:szCs w:val="20"/>
                <w:color w:val="auto"/>
              </w:rPr>
            </w:pPr>
            <w:r>
              <w:rPr>
                <w:rFonts w:ascii="Calibri" w:cs="Calibri" w:eastAsia="Calibri" w:hAnsi="Calibri"/>
                <w:sz w:val="13"/>
                <w:szCs w:val="13"/>
                <w:b w:val="1"/>
                <w:bCs w:val="1"/>
                <w:color w:val="auto"/>
              </w:rPr>
              <w:t>(h)</w:t>
            </w:r>
          </w:p>
        </w:tc>
        <w:tc>
          <w:tcPr>
            <w:tcW w:w="1120" w:type="dxa"/>
            <w:vAlign w:val="bottom"/>
            <w:tcBorders>
              <w:bottom w:val="single" w:sz="8" w:color="005CA9"/>
            </w:tcBorders>
          </w:tcPr>
          <w:p>
            <w:pPr>
              <w:jc w:val="center"/>
              <w:spacing w:after="0" w:line="149" w:lineRule="exact"/>
              <w:rPr>
                <w:sz w:val="20"/>
                <w:szCs w:val="20"/>
                <w:color w:val="auto"/>
              </w:rPr>
            </w:pPr>
            <w:r>
              <w:rPr>
                <w:rFonts w:ascii="Calibri" w:cs="Calibri" w:eastAsia="Calibri" w:hAnsi="Calibri"/>
                <w:sz w:val="13"/>
                <w:szCs w:val="13"/>
                <w:b w:val="1"/>
                <w:bCs w:val="1"/>
                <w:color w:val="auto"/>
              </w:rPr>
              <w:t>(i)</w:t>
            </w:r>
          </w:p>
        </w:tc>
        <w:tc>
          <w:tcPr>
            <w:tcW w:w="1320" w:type="dxa"/>
            <w:vAlign w:val="bottom"/>
            <w:tcBorders>
              <w:bottom w:val="single" w:sz="8" w:color="005CA9"/>
            </w:tcBorders>
          </w:tcPr>
          <w:p>
            <w:pPr>
              <w:jc w:val="center"/>
              <w:spacing w:after="0" w:line="149" w:lineRule="exact"/>
              <w:rPr>
                <w:sz w:val="20"/>
                <w:szCs w:val="20"/>
                <w:color w:val="auto"/>
              </w:rPr>
            </w:pPr>
            <w:r>
              <w:rPr>
                <w:rFonts w:ascii="Calibri" w:cs="Calibri" w:eastAsia="Calibri" w:hAnsi="Calibri"/>
                <w:sz w:val="13"/>
                <w:szCs w:val="13"/>
                <w:b w:val="1"/>
                <w:bCs w:val="1"/>
                <w:color w:val="auto"/>
                <w:w w:val="87"/>
              </w:rPr>
              <w:t>(l)</w:t>
            </w:r>
          </w:p>
        </w:tc>
      </w:tr>
      <w:tr>
        <w:trPr>
          <w:trHeight w:val="148"/>
        </w:trPr>
        <w:tc>
          <w:tcPr>
            <w:tcW w:w="16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Dr. Keh-Shew Lu</w:t>
            </w:r>
          </w:p>
        </w:tc>
        <w:tc>
          <w:tcPr>
            <w:tcW w:w="1520" w:type="dxa"/>
            <w:vAlign w:val="bottom"/>
            <w:shd w:val="clear" w:color="auto" w:fill="CFF0FC"/>
          </w:tcPr>
          <w:p>
            <w:pPr>
              <w:jc w:val="center"/>
              <w:ind w:left="337"/>
              <w:spacing w:after="0" w:line="149" w:lineRule="exact"/>
              <w:rPr>
                <w:sz w:val="20"/>
                <w:szCs w:val="20"/>
                <w:color w:val="auto"/>
              </w:rPr>
            </w:pPr>
            <w:r>
              <w:rPr>
                <w:rFonts w:ascii="Calibri" w:cs="Calibri" w:eastAsia="Calibri" w:hAnsi="Calibri"/>
                <w:sz w:val="13"/>
                <w:szCs w:val="13"/>
                <w:color w:val="auto"/>
                <w:w w:val="96"/>
              </w:rPr>
              <w:t>2/1/2024</w:t>
            </w:r>
          </w:p>
        </w:tc>
        <w:tc>
          <w:tcPr>
            <w:tcW w:w="960" w:type="dxa"/>
            <w:vAlign w:val="bottom"/>
            <w:shd w:val="clear" w:color="auto" w:fill="CFF0FC"/>
          </w:tcPr>
          <w:p>
            <w:pPr>
              <w:jc w:val="right"/>
              <w:ind w:right="157"/>
              <w:spacing w:after="0" w:line="149" w:lineRule="exact"/>
              <w:rPr>
                <w:sz w:val="20"/>
                <w:szCs w:val="20"/>
                <w:color w:val="auto"/>
              </w:rPr>
            </w:pPr>
            <w:r>
              <w:rPr>
                <w:rFonts w:ascii="Calibri" w:cs="Calibri" w:eastAsia="Calibri" w:hAnsi="Calibri"/>
                <w:sz w:val="13"/>
                <w:szCs w:val="13"/>
                <w:color w:val="auto"/>
              </w:rPr>
              <w:t>370,000</w:t>
            </w:r>
          </w:p>
        </w:tc>
        <w:tc>
          <w:tcPr>
            <w:tcW w:w="940" w:type="dxa"/>
            <w:vAlign w:val="bottom"/>
            <w:shd w:val="clear" w:color="auto" w:fill="CFF0FC"/>
          </w:tcPr>
          <w:p>
            <w:pPr>
              <w:ind w:left="340"/>
              <w:spacing w:after="0" w:line="149" w:lineRule="exact"/>
              <w:rPr>
                <w:sz w:val="20"/>
                <w:szCs w:val="20"/>
                <w:color w:val="auto"/>
              </w:rPr>
            </w:pPr>
            <w:r>
              <w:rPr>
                <w:rFonts w:ascii="Calibri" w:cs="Calibri" w:eastAsia="Calibri" w:hAnsi="Calibri"/>
                <w:sz w:val="13"/>
                <w:szCs w:val="13"/>
                <w:color w:val="auto"/>
              </w:rPr>
              <w:t>740,000</w:t>
            </w:r>
          </w:p>
        </w:tc>
        <w:tc>
          <w:tcPr>
            <w:tcW w:w="980" w:type="dxa"/>
            <w:vAlign w:val="bottom"/>
            <w:shd w:val="clear" w:color="auto" w:fill="CFF0FC"/>
          </w:tcPr>
          <w:p>
            <w:pPr>
              <w:jc w:val="right"/>
              <w:ind w:right="57"/>
              <w:spacing w:after="0" w:line="149" w:lineRule="exact"/>
              <w:rPr>
                <w:sz w:val="20"/>
                <w:szCs w:val="20"/>
                <w:color w:val="auto"/>
              </w:rPr>
            </w:pPr>
            <w:r>
              <w:rPr>
                <w:rFonts w:ascii="Calibri" w:cs="Calibri" w:eastAsia="Calibri" w:hAnsi="Calibri"/>
                <w:sz w:val="13"/>
                <w:szCs w:val="13"/>
                <w:color w:val="auto"/>
              </w:rPr>
              <w:t>1,480,000</w:t>
            </w:r>
          </w:p>
        </w:tc>
        <w:tc>
          <w:tcPr>
            <w:tcW w:w="1040" w:type="dxa"/>
            <w:vAlign w:val="bottom"/>
            <w:gridSpan w:val="2"/>
            <w:shd w:val="clear" w:color="auto" w:fill="CFF0FC"/>
          </w:tcPr>
          <w:p>
            <w:pPr>
              <w:jc w:val="right"/>
              <w:ind w:right="137"/>
              <w:spacing w:after="0" w:line="149" w:lineRule="exact"/>
              <w:rPr>
                <w:sz w:val="20"/>
                <w:szCs w:val="20"/>
                <w:color w:val="auto"/>
              </w:rPr>
            </w:pPr>
            <w:r>
              <w:rPr>
                <w:rFonts w:ascii="Calibri" w:cs="Calibri" w:eastAsia="Calibri" w:hAnsi="Calibri"/>
                <w:sz w:val="13"/>
                <w:szCs w:val="13"/>
                <w:color w:val="auto"/>
              </w:rPr>
              <w:t>12,500</w:t>
            </w:r>
          </w:p>
        </w:tc>
        <w:tc>
          <w:tcPr>
            <w:tcW w:w="840" w:type="dxa"/>
            <w:vAlign w:val="bottom"/>
            <w:shd w:val="clear" w:color="auto" w:fill="CFF0FC"/>
          </w:tcPr>
          <w:p>
            <w:pPr>
              <w:jc w:val="right"/>
              <w:ind w:right="97"/>
              <w:spacing w:after="0" w:line="149" w:lineRule="exact"/>
              <w:rPr>
                <w:sz w:val="20"/>
                <w:szCs w:val="20"/>
                <w:color w:val="auto"/>
              </w:rPr>
            </w:pPr>
            <w:r>
              <w:rPr>
                <w:rFonts w:ascii="Calibri" w:cs="Calibri" w:eastAsia="Calibri" w:hAnsi="Calibri"/>
                <w:sz w:val="13"/>
                <w:szCs w:val="13"/>
                <w:color w:val="auto"/>
              </w:rPr>
              <w:t>25,000</w:t>
            </w:r>
          </w:p>
        </w:tc>
        <w:tc>
          <w:tcPr>
            <w:tcW w:w="900" w:type="dxa"/>
            <w:vAlign w:val="bottom"/>
            <w:shd w:val="clear" w:color="auto" w:fill="CFF0FC"/>
          </w:tcPr>
          <w:p>
            <w:pPr>
              <w:jc w:val="right"/>
              <w:ind w:right="57"/>
              <w:spacing w:after="0" w:line="149" w:lineRule="exact"/>
              <w:rPr>
                <w:sz w:val="20"/>
                <w:szCs w:val="20"/>
                <w:color w:val="auto"/>
              </w:rPr>
            </w:pPr>
            <w:r>
              <w:rPr>
                <w:rFonts w:ascii="Calibri" w:cs="Calibri" w:eastAsia="Calibri" w:hAnsi="Calibri"/>
                <w:sz w:val="13"/>
                <w:szCs w:val="13"/>
                <w:color w:val="auto"/>
              </w:rPr>
              <w:t>50,000</w:t>
            </w:r>
          </w:p>
        </w:tc>
        <w:tc>
          <w:tcPr>
            <w:tcW w:w="1120" w:type="dxa"/>
            <w:vAlign w:val="bottom"/>
            <w:shd w:val="clear" w:color="auto" w:fill="CFF0FC"/>
          </w:tcPr>
          <w:p>
            <w:pPr>
              <w:jc w:val="right"/>
              <w:ind w:right="77"/>
              <w:spacing w:after="0" w:line="149" w:lineRule="exact"/>
              <w:rPr>
                <w:sz w:val="20"/>
                <w:szCs w:val="20"/>
                <w:color w:val="auto"/>
              </w:rPr>
            </w:pPr>
            <w:r>
              <w:rPr>
                <w:rFonts w:ascii="Calibri" w:cs="Calibri" w:eastAsia="Calibri" w:hAnsi="Calibri"/>
                <w:sz w:val="13"/>
                <w:szCs w:val="13"/>
                <w:color w:val="auto"/>
              </w:rPr>
              <w:t>25,000</w:t>
            </w:r>
          </w:p>
        </w:tc>
        <w:tc>
          <w:tcPr>
            <w:tcW w:w="1320" w:type="dxa"/>
            <w:vAlign w:val="bottom"/>
            <w:shd w:val="clear" w:color="auto" w:fill="CFF0FC"/>
          </w:tcPr>
          <w:p>
            <w:pPr>
              <w:jc w:val="right"/>
              <w:ind w:right="57"/>
              <w:spacing w:after="0" w:line="149" w:lineRule="exact"/>
              <w:rPr>
                <w:sz w:val="20"/>
                <w:szCs w:val="20"/>
                <w:color w:val="auto"/>
              </w:rPr>
            </w:pPr>
            <w:r>
              <w:rPr>
                <w:rFonts w:ascii="Calibri" w:cs="Calibri" w:eastAsia="Calibri" w:hAnsi="Calibri"/>
                <w:sz w:val="13"/>
                <w:szCs w:val="13"/>
                <w:color w:val="auto"/>
              </w:rPr>
              <w:t>3,384,500</w:t>
            </w:r>
          </w:p>
        </w:tc>
      </w:tr>
      <w:tr>
        <w:trPr>
          <w:trHeight w:val="148"/>
        </w:trPr>
        <w:tc>
          <w:tcPr>
            <w:tcW w:w="1620" w:type="dxa"/>
            <w:vAlign w:val="bottom"/>
          </w:tcPr>
          <w:p>
            <w:pPr>
              <w:spacing w:after="0"/>
              <w:rPr>
                <w:sz w:val="12"/>
                <w:szCs w:val="12"/>
                <w:color w:val="auto"/>
              </w:rPr>
            </w:pPr>
          </w:p>
        </w:tc>
        <w:tc>
          <w:tcPr>
            <w:tcW w:w="1520" w:type="dxa"/>
            <w:vAlign w:val="bottom"/>
          </w:tcPr>
          <w:p>
            <w:pPr>
              <w:jc w:val="center"/>
              <w:ind w:left="337"/>
              <w:spacing w:after="0" w:line="149" w:lineRule="exact"/>
              <w:rPr>
                <w:sz w:val="20"/>
                <w:szCs w:val="20"/>
                <w:color w:val="auto"/>
              </w:rPr>
            </w:pPr>
            <w:r>
              <w:rPr>
                <w:rFonts w:ascii="Calibri" w:cs="Calibri" w:eastAsia="Calibri" w:hAnsi="Calibri"/>
                <w:sz w:val="13"/>
                <w:szCs w:val="13"/>
                <w:color w:val="auto"/>
                <w:w w:val="99"/>
              </w:rPr>
              <w:t>5/30/2024</w:t>
            </w:r>
          </w:p>
        </w:tc>
        <w:tc>
          <w:tcPr>
            <w:tcW w:w="960" w:type="dxa"/>
            <w:vAlign w:val="bottom"/>
          </w:tcPr>
          <w:p>
            <w:pPr>
              <w:jc w:val="right"/>
              <w:ind w:right="457"/>
              <w:spacing w:after="0" w:line="149" w:lineRule="exact"/>
              <w:rPr>
                <w:sz w:val="20"/>
                <w:szCs w:val="20"/>
                <w:color w:val="auto"/>
              </w:rPr>
            </w:pPr>
            <w:r>
              <w:rPr>
                <w:rFonts w:ascii="Calibri" w:cs="Calibri" w:eastAsia="Calibri" w:hAnsi="Calibri"/>
                <w:sz w:val="13"/>
                <w:szCs w:val="13"/>
                <w:color w:val="auto"/>
              </w:rPr>
              <w:t>—</w:t>
            </w:r>
          </w:p>
        </w:tc>
        <w:tc>
          <w:tcPr>
            <w:tcW w:w="940" w:type="dxa"/>
            <w:vAlign w:val="bottom"/>
          </w:tcPr>
          <w:p>
            <w:pPr>
              <w:ind w:left="340"/>
              <w:spacing w:after="0" w:line="149" w:lineRule="exact"/>
              <w:rPr>
                <w:sz w:val="20"/>
                <w:szCs w:val="20"/>
                <w:color w:val="auto"/>
              </w:rPr>
            </w:pPr>
            <w:r>
              <w:rPr>
                <w:rFonts w:ascii="Calibri" w:cs="Calibri" w:eastAsia="Calibri" w:hAnsi="Calibri"/>
                <w:sz w:val="13"/>
                <w:szCs w:val="13"/>
                <w:color w:val="auto"/>
              </w:rPr>
              <w:t>—</w:t>
            </w:r>
          </w:p>
        </w:tc>
        <w:tc>
          <w:tcPr>
            <w:tcW w:w="980" w:type="dxa"/>
            <w:vAlign w:val="bottom"/>
          </w:tcPr>
          <w:p>
            <w:pPr>
              <w:jc w:val="center"/>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tcPr>
          <w:p>
            <w:pPr>
              <w:spacing w:after="0"/>
              <w:rPr>
                <w:sz w:val="12"/>
                <w:szCs w:val="12"/>
                <w:color w:val="auto"/>
              </w:rPr>
            </w:pPr>
          </w:p>
        </w:tc>
        <w:tc>
          <w:tcPr>
            <w:tcW w:w="940" w:type="dxa"/>
            <w:vAlign w:val="bottom"/>
          </w:tcPr>
          <w:p>
            <w:pPr>
              <w:jc w:val="right"/>
              <w:ind w:right="437"/>
              <w:spacing w:after="0" w:line="149" w:lineRule="exact"/>
              <w:rPr>
                <w:sz w:val="20"/>
                <w:szCs w:val="20"/>
                <w:color w:val="auto"/>
              </w:rPr>
            </w:pPr>
            <w:r>
              <w:rPr>
                <w:rFonts w:ascii="Calibri" w:cs="Calibri" w:eastAsia="Calibri" w:hAnsi="Calibri"/>
                <w:sz w:val="13"/>
                <w:szCs w:val="13"/>
                <w:color w:val="auto"/>
              </w:rPr>
              <w:t>—</w:t>
            </w:r>
          </w:p>
        </w:tc>
        <w:tc>
          <w:tcPr>
            <w:tcW w:w="840" w:type="dxa"/>
            <w:vAlign w:val="bottom"/>
          </w:tcPr>
          <w:p>
            <w:pPr>
              <w:jc w:val="right"/>
              <w:ind w:right="357"/>
              <w:spacing w:after="0" w:line="149" w:lineRule="exact"/>
              <w:rPr>
                <w:sz w:val="20"/>
                <w:szCs w:val="20"/>
                <w:color w:val="auto"/>
              </w:rPr>
            </w:pPr>
            <w:r>
              <w:rPr>
                <w:rFonts w:ascii="Calibri" w:cs="Calibri" w:eastAsia="Calibri" w:hAnsi="Calibri"/>
                <w:sz w:val="13"/>
                <w:szCs w:val="13"/>
                <w:color w:val="auto"/>
              </w:rPr>
              <w:t>—</w:t>
            </w:r>
          </w:p>
        </w:tc>
        <w:tc>
          <w:tcPr>
            <w:tcW w:w="900" w:type="dxa"/>
            <w:vAlign w:val="bottom"/>
          </w:tcPr>
          <w:p>
            <w:pPr>
              <w:jc w:val="right"/>
              <w:ind w:right="337"/>
              <w:spacing w:after="0" w:line="149" w:lineRule="exact"/>
              <w:rPr>
                <w:sz w:val="20"/>
                <w:szCs w:val="20"/>
                <w:color w:val="auto"/>
              </w:rPr>
            </w:pPr>
            <w:r>
              <w:rPr>
                <w:rFonts w:ascii="Calibri" w:cs="Calibri" w:eastAsia="Calibri" w:hAnsi="Calibri"/>
                <w:sz w:val="13"/>
                <w:szCs w:val="13"/>
                <w:color w:val="auto"/>
              </w:rPr>
              <w:t>—</w:t>
            </w:r>
          </w:p>
        </w:tc>
        <w:tc>
          <w:tcPr>
            <w:tcW w:w="1120" w:type="dxa"/>
            <w:vAlign w:val="bottom"/>
          </w:tcPr>
          <w:p>
            <w:pPr>
              <w:jc w:val="right"/>
              <w:ind w:right="77"/>
              <w:spacing w:after="0" w:line="149" w:lineRule="exact"/>
              <w:rPr>
                <w:sz w:val="20"/>
                <w:szCs w:val="20"/>
                <w:color w:val="auto"/>
              </w:rPr>
            </w:pPr>
            <w:r>
              <w:rPr>
                <w:rFonts w:ascii="Calibri" w:cs="Calibri" w:eastAsia="Calibri" w:hAnsi="Calibri"/>
                <w:sz w:val="13"/>
                <w:szCs w:val="13"/>
                <w:color w:val="auto"/>
              </w:rPr>
              <w:t>6,000</w:t>
            </w:r>
          </w:p>
        </w:tc>
        <w:tc>
          <w:tcPr>
            <w:tcW w:w="132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437,100</w:t>
            </w:r>
          </w:p>
        </w:tc>
      </w:tr>
      <w:tr>
        <w:trPr>
          <w:trHeight w:val="149"/>
        </w:trPr>
        <w:tc>
          <w:tcPr>
            <w:tcW w:w="16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Bret R. Whitmire</w:t>
            </w:r>
          </w:p>
        </w:tc>
        <w:tc>
          <w:tcPr>
            <w:tcW w:w="1520" w:type="dxa"/>
            <w:vAlign w:val="bottom"/>
            <w:shd w:val="clear" w:color="auto" w:fill="CFF0FC"/>
          </w:tcPr>
          <w:p>
            <w:pPr>
              <w:jc w:val="center"/>
              <w:ind w:left="337"/>
              <w:spacing w:after="0" w:line="149" w:lineRule="exact"/>
              <w:rPr>
                <w:sz w:val="20"/>
                <w:szCs w:val="20"/>
                <w:color w:val="auto"/>
              </w:rPr>
            </w:pPr>
            <w:r>
              <w:rPr>
                <w:rFonts w:ascii="Calibri" w:cs="Calibri" w:eastAsia="Calibri" w:hAnsi="Calibri"/>
                <w:sz w:val="13"/>
                <w:szCs w:val="13"/>
                <w:color w:val="auto"/>
                <w:w w:val="96"/>
              </w:rPr>
              <w:t>2/1/2024</w:t>
            </w:r>
          </w:p>
        </w:tc>
        <w:tc>
          <w:tcPr>
            <w:tcW w:w="960" w:type="dxa"/>
            <w:vAlign w:val="bottom"/>
            <w:shd w:val="clear" w:color="auto" w:fill="CFF0FC"/>
          </w:tcPr>
          <w:p>
            <w:pPr>
              <w:jc w:val="right"/>
              <w:ind w:right="157"/>
              <w:spacing w:after="0" w:line="149" w:lineRule="exact"/>
              <w:rPr>
                <w:sz w:val="20"/>
                <w:szCs w:val="20"/>
                <w:color w:val="auto"/>
              </w:rPr>
            </w:pPr>
            <w:r>
              <w:rPr>
                <w:rFonts w:ascii="Calibri" w:cs="Calibri" w:eastAsia="Calibri" w:hAnsi="Calibri"/>
                <w:sz w:val="13"/>
                <w:szCs w:val="13"/>
                <w:color w:val="auto"/>
              </w:rPr>
              <w:t>107,250</w:t>
            </w:r>
          </w:p>
        </w:tc>
        <w:tc>
          <w:tcPr>
            <w:tcW w:w="940" w:type="dxa"/>
            <w:vAlign w:val="bottom"/>
            <w:shd w:val="clear" w:color="auto" w:fill="CFF0FC"/>
          </w:tcPr>
          <w:p>
            <w:pPr>
              <w:ind w:left="340"/>
              <w:spacing w:after="0" w:line="149" w:lineRule="exact"/>
              <w:rPr>
                <w:sz w:val="20"/>
                <w:szCs w:val="20"/>
                <w:color w:val="auto"/>
              </w:rPr>
            </w:pPr>
            <w:r>
              <w:rPr>
                <w:rFonts w:ascii="Calibri" w:cs="Calibri" w:eastAsia="Calibri" w:hAnsi="Calibri"/>
                <w:sz w:val="13"/>
                <w:szCs w:val="13"/>
                <w:color w:val="auto"/>
              </w:rPr>
              <w:t>214,500</w:t>
            </w:r>
          </w:p>
        </w:tc>
        <w:tc>
          <w:tcPr>
            <w:tcW w:w="980" w:type="dxa"/>
            <w:vAlign w:val="bottom"/>
            <w:shd w:val="clear" w:color="auto" w:fill="CFF0FC"/>
          </w:tcPr>
          <w:p>
            <w:pPr>
              <w:jc w:val="right"/>
              <w:ind w:right="57"/>
              <w:spacing w:after="0" w:line="149" w:lineRule="exact"/>
              <w:rPr>
                <w:sz w:val="20"/>
                <w:szCs w:val="20"/>
                <w:color w:val="auto"/>
              </w:rPr>
            </w:pPr>
            <w:r>
              <w:rPr>
                <w:rFonts w:ascii="Calibri" w:cs="Calibri" w:eastAsia="Calibri" w:hAnsi="Calibri"/>
                <w:sz w:val="13"/>
                <w:szCs w:val="13"/>
                <w:color w:val="auto"/>
              </w:rPr>
              <w:t>429,000</w:t>
            </w:r>
          </w:p>
        </w:tc>
        <w:tc>
          <w:tcPr>
            <w:tcW w:w="1040" w:type="dxa"/>
            <w:vAlign w:val="bottom"/>
            <w:gridSpan w:val="2"/>
            <w:shd w:val="clear" w:color="auto" w:fill="CFF0FC"/>
          </w:tcPr>
          <w:p>
            <w:pPr>
              <w:jc w:val="right"/>
              <w:ind w:right="137"/>
              <w:spacing w:after="0" w:line="149" w:lineRule="exact"/>
              <w:rPr>
                <w:sz w:val="20"/>
                <w:szCs w:val="20"/>
                <w:color w:val="auto"/>
              </w:rPr>
            </w:pPr>
            <w:r>
              <w:rPr>
                <w:rFonts w:ascii="Calibri" w:cs="Calibri" w:eastAsia="Calibri" w:hAnsi="Calibri"/>
                <w:sz w:val="13"/>
                <w:szCs w:val="13"/>
                <w:color w:val="auto"/>
              </w:rPr>
              <w:t>3,050</w:t>
            </w:r>
          </w:p>
        </w:tc>
        <w:tc>
          <w:tcPr>
            <w:tcW w:w="840" w:type="dxa"/>
            <w:vAlign w:val="bottom"/>
            <w:shd w:val="clear" w:color="auto" w:fill="CFF0FC"/>
          </w:tcPr>
          <w:p>
            <w:pPr>
              <w:jc w:val="right"/>
              <w:ind w:right="97"/>
              <w:spacing w:after="0" w:line="149" w:lineRule="exact"/>
              <w:rPr>
                <w:sz w:val="20"/>
                <w:szCs w:val="20"/>
                <w:color w:val="auto"/>
              </w:rPr>
            </w:pPr>
            <w:r>
              <w:rPr>
                <w:rFonts w:ascii="Calibri" w:cs="Calibri" w:eastAsia="Calibri" w:hAnsi="Calibri"/>
                <w:sz w:val="13"/>
                <w:szCs w:val="13"/>
                <w:color w:val="auto"/>
              </w:rPr>
              <w:t>6,100</w:t>
            </w:r>
          </w:p>
        </w:tc>
        <w:tc>
          <w:tcPr>
            <w:tcW w:w="900" w:type="dxa"/>
            <w:vAlign w:val="bottom"/>
            <w:shd w:val="clear" w:color="auto" w:fill="CFF0FC"/>
          </w:tcPr>
          <w:p>
            <w:pPr>
              <w:jc w:val="right"/>
              <w:ind w:right="57"/>
              <w:spacing w:after="0" w:line="149" w:lineRule="exact"/>
              <w:rPr>
                <w:sz w:val="20"/>
                <w:szCs w:val="20"/>
                <w:color w:val="auto"/>
              </w:rPr>
            </w:pPr>
            <w:r>
              <w:rPr>
                <w:rFonts w:ascii="Calibri" w:cs="Calibri" w:eastAsia="Calibri" w:hAnsi="Calibri"/>
                <w:sz w:val="13"/>
                <w:szCs w:val="13"/>
                <w:color w:val="auto"/>
              </w:rPr>
              <w:t>12,200</w:t>
            </w:r>
          </w:p>
        </w:tc>
        <w:tc>
          <w:tcPr>
            <w:tcW w:w="1120" w:type="dxa"/>
            <w:vAlign w:val="bottom"/>
            <w:shd w:val="clear" w:color="auto" w:fill="CFF0FC"/>
          </w:tcPr>
          <w:p>
            <w:pPr>
              <w:jc w:val="right"/>
              <w:ind w:right="77"/>
              <w:spacing w:after="0" w:line="149" w:lineRule="exact"/>
              <w:rPr>
                <w:sz w:val="20"/>
                <w:szCs w:val="20"/>
                <w:color w:val="auto"/>
              </w:rPr>
            </w:pPr>
            <w:r>
              <w:rPr>
                <w:rFonts w:ascii="Calibri" w:cs="Calibri" w:eastAsia="Calibri" w:hAnsi="Calibri"/>
                <w:sz w:val="13"/>
                <w:szCs w:val="13"/>
                <w:color w:val="auto"/>
              </w:rPr>
              <w:t>6,100</w:t>
            </w:r>
          </w:p>
        </w:tc>
        <w:tc>
          <w:tcPr>
            <w:tcW w:w="1320" w:type="dxa"/>
            <w:vAlign w:val="bottom"/>
            <w:shd w:val="clear" w:color="auto" w:fill="CFF0FC"/>
          </w:tcPr>
          <w:p>
            <w:pPr>
              <w:jc w:val="right"/>
              <w:ind w:right="57"/>
              <w:spacing w:after="0" w:line="149" w:lineRule="exact"/>
              <w:rPr>
                <w:sz w:val="20"/>
                <w:szCs w:val="20"/>
                <w:color w:val="auto"/>
              </w:rPr>
            </w:pPr>
            <w:r>
              <w:rPr>
                <w:rFonts w:ascii="Calibri" w:cs="Calibri" w:eastAsia="Calibri" w:hAnsi="Calibri"/>
                <w:sz w:val="13"/>
                <w:szCs w:val="13"/>
                <w:color w:val="auto"/>
              </w:rPr>
              <w:t>825,818</w:t>
            </w:r>
          </w:p>
        </w:tc>
      </w:tr>
      <w:tr>
        <w:trPr>
          <w:trHeight w:val="148"/>
        </w:trPr>
        <w:tc>
          <w:tcPr>
            <w:tcW w:w="162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Gary Yu</w:t>
            </w:r>
          </w:p>
        </w:tc>
        <w:tc>
          <w:tcPr>
            <w:tcW w:w="1520" w:type="dxa"/>
            <w:vAlign w:val="bottom"/>
          </w:tcPr>
          <w:p>
            <w:pPr>
              <w:jc w:val="center"/>
              <w:ind w:left="337"/>
              <w:spacing w:after="0" w:line="149" w:lineRule="exact"/>
              <w:rPr>
                <w:sz w:val="20"/>
                <w:szCs w:val="20"/>
                <w:color w:val="auto"/>
              </w:rPr>
            </w:pPr>
            <w:r>
              <w:rPr>
                <w:rFonts w:ascii="Calibri" w:cs="Calibri" w:eastAsia="Calibri" w:hAnsi="Calibri"/>
                <w:sz w:val="13"/>
                <w:szCs w:val="13"/>
                <w:color w:val="auto"/>
                <w:w w:val="96"/>
              </w:rPr>
              <w:t>2/1/2024</w:t>
            </w:r>
          </w:p>
        </w:tc>
        <w:tc>
          <w:tcPr>
            <w:tcW w:w="960" w:type="dxa"/>
            <w:vAlign w:val="bottom"/>
          </w:tcPr>
          <w:p>
            <w:pPr>
              <w:jc w:val="right"/>
              <w:ind w:right="157"/>
              <w:spacing w:after="0" w:line="149" w:lineRule="exact"/>
              <w:rPr>
                <w:sz w:val="20"/>
                <w:szCs w:val="20"/>
                <w:color w:val="auto"/>
              </w:rPr>
            </w:pPr>
            <w:r>
              <w:rPr>
                <w:rFonts w:ascii="Calibri" w:cs="Calibri" w:eastAsia="Calibri" w:hAnsi="Calibri"/>
                <w:sz w:val="13"/>
                <w:szCs w:val="13"/>
                <w:color w:val="auto"/>
              </w:rPr>
              <w:t>283,500</w:t>
            </w:r>
          </w:p>
        </w:tc>
        <w:tc>
          <w:tcPr>
            <w:tcW w:w="940" w:type="dxa"/>
            <w:vAlign w:val="bottom"/>
          </w:tcPr>
          <w:p>
            <w:pPr>
              <w:ind w:left="340"/>
              <w:spacing w:after="0" w:line="149" w:lineRule="exact"/>
              <w:rPr>
                <w:sz w:val="20"/>
                <w:szCs w:val="20"/>
                <w:color w:val="auto"/>
              </w:rPr>
            </w:pPr>
            <w:r>
              <w:rPr>
                <w:rFonts w:ascii="Calibri" w:cs="Calibri" w:eastAsia="Calibri" w:hAnsi="Calibri"/>
                <w:sz w:val="13"/>
                <w:szCs w:val="13"/>
                <w:color w:val="auto"/>
              </w:rPr>
              <w:t>567,000</w:t>
            </w:r>
          </w:p>
        </w:tc>
        <w:tc>
          <w:tcPr>
            <w:tcW w:w="98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1,134,000</w:t>
            </w:r>
          </w:p>
        </w:tc>
        <w:tc>
          <w:tcPr>
            <w:tcW w:w="1040" w:type="dxa"/>
            <w:vAlign w:val="bottom"/>
            <w:gridSpan w:val="2"/>
          </w:tcPr>
          <w:p>
            <w:pPr>
              <w:jc w:val="right"/>
              <w:ind w:right="137"/>
              <w:spacing w:after="0" w:line="149" w:lineRule="exact"/>
              <w:rPr>
                <w:sz w:val="20"/>
                <w:szCs w:val="20"/>
                <w:color w:val="auto"/>
              </w:rPr>
            </w:pPr>
            <w:r>
              <w:rPr>
                <w:rFonts w:ascii="Calibri" w:cs="Calibri" w:eastAsia="Calibri" w:hAnsi="Calibri"/>
                <w:sz w:val="13"/>
                <w:szCs w:val="13"/>
                <w:color w:val="auto"/>
              </w:rPr>
              <w:t>11,000</w:t>
            </w:r>
          </w:p>
        </w:tc>
        <w:tc>
          <w:tcPr>
            <w:tcW w:w="8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22,000</w:t>
            </w:r>
          </w:p>
        </w:tc>
        <w:tc>
          <w:tcPr>
            <w:tcW w:w="9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44,000</w:t>
            </w:r>
          </w:p>
        </w:tc>
        <w:tc>
          <w:tcPr>
            <w:tcW w:w="1120" w:type="dxa"/>
            <w:vAlign w:val="bottom"/>
          </w:tcPr>
          <w:p>
            <w:pPr>
              <w:jc w:val="right"/>
              <w:ind w:right="77"/>
              <w:spacing w:after="0" w:line="149" w:lineRule="exact"/>
              <w:rPr>
                <w:sz w:val="20"/>
                <w:szCs w:val="20"/>
                <w:color w:val="auto"/>
              </w:rPr>
            </w:pPr>
            <w:r>
              <w:rPr>
                <w:rFonts w:ascii="Calibri" w:cs="Calibri" w:eastAsia="Calibri" w:hAnsi="Calibri"/>
                <w:sz w:val="13"/>
                <w:szCs w:val="13"/>
                <w:color w:val="auto"/>
              </w:rPr>
              <w:t>22,000</w:t>
            </w:r>
          </w:p>
        </w:tc>
        <w:tc>
          <w:tcPr>
            <w:tcW w:w="132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2,978,360</w:t>
            </w:r>
          </w:p>
        </w:tc>
      </w:tr>
      <w:tr>
        <w:trPr>
          <w:trHeight w:val="149"/>
        </w:trPr>
        <w:tc>
          <w:tcPr>
            <w:tcW w:w="1620" w:type="dxa"/>
            <w:vAlign w:val="bottom"/>
            <w:shd w:val="clear" w:color="auto" w:fill="CFF0FC"/>
          </w:tcPr>
          <w:p>
            <w:pPr>
              <w:spacing w:after="0"/>
              <w:rPr>
                <w:sz w:val="12"/>
                <w:szCs w:val="12"/>
                <w:color w:val="auto"/>
              </w:rPr>
            </w:pPr>
          </w:p>
        </w:tc>
        <w:tc>
          <w:tcPr>
            <w:tcW w:w="1520" w:type="dxa"/>
            <w:vAlign w:val="bottom"/>
            <w:shd w:val="clear" w:color="auto" w:fill="CFF0FC"/>
          </w:tcPr>
          <w:p>
            <w:pPr>
              <w:jc w:val="center"/>
              <w:ind w:left="337"/>
              <w:spacing w:after="0" w:line="149" w:lineRule="exact"/>
              <w:rPr>
                <w:sz w:val="20"/>
                <w:szCs w:val="20"/>
                <w:color w:val="auto"/>
              </w:rPr>
            </w:pPr>
            <w:r>
              <w:rPr>
                <w:rFonts w:ascii="Calibri" w:cs="Calibri" w:eastAsia="Calibri" w:hAnsi="Calibri"/>
                <w:sz w:val="13"/>
                <w:szCs w:val="13"/>
                <w:color w:val="auto"/>
                <w:w w:val="99"/>
              </w:rPr>
              <w:t>5/30/2024</w:t>
            </w:r>
          </w:p>
        </w:tc>
        <w:tc>
          <w:tcPr>
            <w:tcW w:w="960" w:type="dxa"/>
            <w:vAlign w:val="bottom"/>
            <w:shd w:val="clear" w:color="auto" w:fill="CFF0FC"/>
          </w:tcPr>
          <w:p>
            <w:pPr>
              <w:jc w:val="right"/>
              <w:ind w:right="457"/>
              <w:spacing w:after="0" w:line="149" w:lineRule="exact"/>
              <w:rPr>
                <w:sz w:val="20"/>
                <w:szCs w:val="20"/>
                <w:color w:val="auto"/>
              </w:rPr>
            </w:pPr>
            <w:r>
              <w:rPr>
                <w:rFonts w:ascii="Calibri" w:cs="Calibri" w:eastAsia="Calibri" w:hAnsi="Calibri"/>
                <w:sz w:val="13"/>
                <w:szCs w:val="13"/>
                <w:color w:val="auto"/>
              </w:rPr>
              <w:t>—</w:t>
            </w:r>
          </w:p>
        </w:tc>
        <w:tc>
          <w:tcPr>
            <w:tcW w:w="940" w:type="dxa"/>
            <w:vAlign w:val="bottom"/>
            <w:shd w:val="clear" w:color="auto" w:fill="CFF0FC"/>
          </w:tcPr>
          <w:p>
            <w:pPr>
              <w:ind w:left="340"/>
              <w:spacing w:after="0" w:line="149" w:lineRule="exact"/>
              <w:rPr>
                <w:sz w:val="20"/>
                <w:szCs w:val="20"/>
                <w:color w:val="auto"/>
              </w:rPr>
            </w:pPr>
            <w:r>
              <w:rPr>
                <w:rFonts w:ascii="Calibri" w:cs="Calibri" w:eastAsia="Calibri" w:hAnsi="Calibri"/>
                <w:sz w:val="13"/>
                <w:szCs w:val="13"/>
                <w:color w:val="auto"/>
              </w:rPr>
              <w:t>—</w:t>
            </w:r>
          </w:p>
        </w:tc>
        <w:tc>
          <w:tcPr>
            <w:tcW w:w="980" w:type="dxa"/>
            <w:vAlign w:val="bottom"/>
            <w:shd w:val="clear" w:color="auto" w:fill="CFF0FC"/>
          </w:tcPr>
          <w:p>
            <w:pPr>
              <w:jc w:val="center"/>
              <w:spacing w:after="0" w:line="149" w:lineRule="exact"/>
              <w:rPr>
                <w:sz w:val="20"/>
                <w:szCs w:val="20"/>
                <w:color w:val="auto"/>
              </w:rPr>
            </w:pPr>
            <w:r>
              <w:rPr>
                <w:rFonts w:ascii="Calibri" w:cs="Calibri" w:eastAsia="Calibri" w:hAnsi="Calibri"/>
                <w:sz w:val="13"/>
                <w:szCs w:val="13"/>
                <w:color w:val="auto"/>
                <w:w w:val="84"/>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437"/>
              <w:spacing w:after="0" w:line="149" w:lineRule="exact"/>
              <w:rPr>
                <w:sz w:val="20"/>
                <w:szCs w:val="20"/>
                <w:color w:val="auto"/>
              </w:rPr>
            </w:pPr>
            <w:r>
              <w:rPr>
                <w:rFonts w:ascii="Calibri" w:cs="Calibri" w:eastAsia="Calibri" w:hAnsi="Calibri"/>
                <w:sz w:val="13"/>
                <w:szCs w:val="13"/>
                <w:color w:val="auto"/>
              </w:rPr>
              <w:t>—</w:t>
            </w:r>
          </w:p>
        </w:tc>
        <w:tc>
          <w:tcPr>
            <w:tcW w:w="840" w:type="dxa"/>
            <w:vAlign w:val="bottom"/>
            <w:shd w:val="clear" w:color="auto" w:fill="CFF0FC"/>
          </w:tcPr>
          <w:p>
            <w:pPr>
              <w:jc w:val="right"/>
              <w:ind w:right="357"/>
              <w:spacing w:after="0" w:line="149" w:lineRule="exact"/>
              <w:rPr>
                <w:sz w:val="20"/>
                <w:szCs w:val="20"/>
                <w:color w:val="auto"/>
              </w:rPr>
            </w:pPr>
            <w:r>
              <w:rPr>
                <w:rFonts w:ascii="Calibri" w:cs="Calibri" w:eastAsia="Calibri" w:hAnsi="Calibri"/>
                <w:sz w:val="13"/>
                <w:szCs w:val="13"/>
                <w:color w:val="auto"/>
              </w:rPr>
              <w:t>—</w:t>
            </w:r>
          </w:p>
        </w:tc>
        <w:tc>
          <w:tcPr>
            <w:tcW w:w="900" w:type="dxa"/>
            <w:vAlign w:val="bottom"/>
            <w:shd w:val="clear" w:color="auto" w:fill="CFF0FC"/>
          </w:tcPr>
          <w:p>
            <w:pPr>
              <w:jc w:val="right"/>
              <w:ind w:right="337"/>
              <w:spacing w:after="0" w:line="149"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FF0FC"/>
          </w:tcPr>
          <w:p>
            <w:pPr>
              <w:jc w:val="right"/>
              <w:ind w:right="77"/>
              <w:spacing w:after="0" w:line="149" w:lineRule="exact"/>
              <w:rPr>
                <w:sz w:val="20"/>
                <w:szCs w:val="20"/>
                <w:color w:val="auto"/>
              </w:rPr>
            </w:pPr>
            <w:r>
              <w:rPr>
                <w:rFonts w:ascii="Calibri" w:cs="Calibri" w:eastAsia="Calibri" w:hAnsi="Calibri"/>
                <w:sz w:val="13"/>
                <w:szCs w:val="13"/>
                <w:color w:val="auto"/>
              </w:rPr>
              <w:t>3,000</w:t>
            </w:r>
          </w:p>
        </w:tc>
        <w:tc>
          <w:tcPr>
            <w:tcW w:w="1320" w:type="dxa"/>
            <w:vAlign w:val="bottom"/>
            <w:shd w:val="clear" w:color="auto" w:fill="CFF0FC"/>
          </w:tcPr>
          <w:p>
            <w:pPr>
              <w:jc w:val="right"/>
              <w:ind w:right="57"/>
              <w:spacing w:after="0" w:line="149" w:lineRule="exact"/>
              <w:rPr>
                <w:sz w:val="20"/>
                <w:szCs w:val="20"/>
                <w:color w:val="auto"/>
              </w:rPr>
            </w:pPr>
            <w:r>
              <w:rPr>
                <w:rFonts w:ascii="Calibri" w:cs="Calibri" w:eastAsia="Calibri" w:hAnsi="Calibri"/>
                <w:sz w:val="13"/>
                <w:szCs w:val="13"/>
                <w:color w:val="auto"/>
              </w:rPr>
              <w:t>218,550</w:t>
            </w:r>
          </w:p>
        </w:tc>
      </w:tr>
      <w:tr>
        <w:trPr>
          <w:trHeight w:val="148"/>
        </w:trPr>
        <w:tc>
          <w:tcPr>
            <w:tcW w:w="162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Francis Tang</w:t>
            </w:r>
          </w:p>
        </w:tc>
        <w:tc>
          <w:tcPr>
            <w:tcW w:w="1520" w:type="dxa"/>
            <w:vAlign w:val="bottom"/>
          </w:tcPr>
          <w:p>
            <w:pPr>
              <w:jc w:val="center"/>
              <w:ind w:left="337"/>
              <w:spacing w:after="0" w:line="149" w:lineRule="exact"/>
              <w:rPr>
                <w:sz w:val="20"/>
                <w:szCs w:val="20"/>
                <w:color w:val="auto"/>
              </w:rPr>
            </w:pPr>
            <w:r>
              <w:rPr>
                <w:rFonts w:ascii="Calibri" w:cs="Calibri" w:eastAsia="Calibri" w:hAnsi="Calibri"/>
                <w:sz w:val="13"/>
                <w:szCs w:val="13"/>
                <w:color w:val="auto"/>
                <w:w w:val="96"/>
              </w:rPr>
              <w:t>2/1/2024</w:t>
            </w:r>
          </w:p>
        </w:tc>
        <w:tc>
          <w:tcPr>
            <w:tcW w:w="960" w:type="dxa"/>
            <w:vAlign w:val="bottom"/>
          </w:tcPr>
          <w:p>
            <w:pPr>
              <w:jc w:val="right"/>
              <w:ind w:right="157"/>
              <w:spacing w:after="0" w:line="149" w:lineRule="exact"/>
              <w:rPr>
                <w:sz w:val="20"/>
                <w:szCs w:val="20"/>
                <w:color w:val="auto"/>
              </w:rPr>
            </w:pPr>
            <w:r>
              <w:rPr>
                <w:rFonts w:ascii="Calibri" w:cs="Calibri" w:eastAsia="Calibri" w:hAnsi="Calibri"/>
                <w:sz w:val="13"/>
                <w:szCs w:val="13"/>
                <w:color w:val="auto"/>
              </w:rPr>
              <w:t>133,250</w:t>
            </w:r>
          </w:p>
        </w:tc>
        <w:tc>
          <w:tcPr>
            <w:tcW w:w="940" w:type="dxa"/>
            <w:vAlign w:val="bottom"/>
          </w:tcPr>
          <w:p>
            <w:pPr>
              <w:ind w:left="340"/>
              <w:spacing w:after="0" w:line="149" w:lineRule="exact"/>
              <w:rPr>
                <w:sz w:val="20"/>
                <w:szCs w:val="20"/>
                <w:color w:val="auto"/>
              </w:rPr>
            </w:pPr>
            <w:r>
              <w:rPr>
                <w:rFonts w:ascii="Calibri" w:cs="Calibri" w:eastAsia="Calibri" w:hAnsi="Calibri"/>
                <w:sz w:val="13"/>
                <w:szCs w:val="13"/>
                <w:color w:val="auto"/>
              </w:rPr>
              <w:t>266,500</w:t>
            </w:r>
          </w:p>
        </w:tc>
        <w:tc>
          <w:tcPr>
            <w:tcW w:w="98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533,000</w:t>
            </w:r>
          </w:p>
        </w:tc>
        <w:tc>
          <w:tcPr>
            <w:tcW w:w="1040" w:type="dxa"/>
            <w:vAlign w:val="bottom"/>
            <w:gridSpan w:val="2"/>
          </w:tcPr>
          <w:p>
            <w:pPr>
              <w:jc w:val="right"/>
              <w:ind w:right="137"/>
              <w:spacing w:after="0" w:line="149" w:lineRule="exact"/>
              <w:rPr>
                <w:sz w:val="20"/>
                <w:szCs w:val="20"/>
                <w:color w:val="auto"/>
              </w:rPr>
            </w:pPr>
            <w:r>
              <w:rPr>
                <w:rFonts w:ascii="Calibri" w:cs="Calibri" w:eastAsia="Calibri" w:hAnsi="Calibri"/>
                <w:sz w:val="13"/>
                <w:szCs w:val="13"/>
                <w:color w:val="auto"/>
              </w:rPr>
              <w:t>3,600</w:t>
            </w:r>
          </w:p>
        </w:tc>
        <w:tc>
          <w:tcPr>
            <w:tcW w:w="8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7,200</w:t>
            </w:r>
          </w:p>
        </w:tc>
        <w:tc>
          <w:tcPr>
            <w:tcW w:w="9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14,400</w:t>
            </w:r>
          </w:p>
        </w:tc>
        <w:tc>
          <w:tcPr>
            <w:tcW w:w="1120" w:type="dxa"/>
            <w:vAlign w:val="bottom"/>
          </w:tcPr>
          <w:p>
            <w:pPr>
              <w:jc w:val="right"/>
              <w:ind w:right="77"/>
              <w:spacing w:after="0" w:line="149" w:lineRule="exact"/>
              <w:rPr>
                <w:sz w:val="20"/>
                <w:szCs w:val="20"/>
                <w:color w:val="auto"/>
              </w:rPr>
            </w:pPr>
            <w:r>
              <w:rPr>
                <w:rFonts w:ascii="Calibri" w:cs="Calibri" w:eastAsia="Calibri" w:hAnsi="Calibri"/>
                <w:sz w:val="13"/>
                <w:szCs w:val="13"/>
                <w:color w:val="auto"/>
              </w:rPr>
              <w:t>7,200</w:t>
            </w:r>
          </w:p>
        </w:tc>
        <w:tc>
          <w:tcPr>
            <w:tcW w:w="132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974,736</w:t>
            </w:r>
          </w:p>
        </w:tc>
      </w:tr>
      <w:tr>
        <w:trPr>
          <w:trHeight w:val="148"/>
        </w:trPr>
        <w:tc>
          <w:tcPr>
            <w:tcW w:w="1620" w:type="dxa"/>
            <w:vAlign w:val="bottom"/>
            <w:tcBorders>
              <w:bottom w:val="single" w:sz="8" w:color="0070C0"/>
            </w:tcBorders>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Emily Yang</w:t>
            </w:r>
          </w:p>
        </w:tc>
        <w:tc>
          <w:tcPr>
            <w:tcW w:w="1520" w:type="dxa"/>
            <w:vAlign w:val="bottom"/>
            <w:tcBorders>
              <w:bottom w:val="single" w:sz="8" w:color="0070C0"/>
            </w:tcBorders>
            <w:shd w:val="clear" w:color="auto" w:fill="CFF0FC"/>
          </w:tcPr>
          <w:p>
            <w:pPr>
              <w:jc w:val="center"/>
              <w:ind w:left="337"/>
              <w:spacing w:after="0" w:line="149" w:lineRule="exact"/>
              <w:rPr>
                <w:sz w:val="20"/>
                <w:szCs w:val="20"/>
                <w:color w:val="auto"/>
              </w:rPr>
            </w:pPr>
            <w:r>
              <w:rPr>
                <w:rFonts w:ascii="Calibri" w:cs="Calibri" w:eastAsia="Calibri" w:hAnsi="Calibri"/>
                <w:sz w:val="13"/>
                <w:szCs w:val="13"/>
                <w:color w:val="auto"/>
                <w:w w:val="96"/>
              </w:rPr>
              <w:t>2/1/2024</w:t>
            </w:r>
          </w:p>
        </w:tc>
        <w:tc>
          <w:tcPr>
            <w:tcW w:w="960" w:type="dxa"/>
            <w:vAlign w:val="bottom"/>
            <w:tcBorders>
              <w:bottom w:val="single" w:sz="8" w:color="0070C0"/>
            </w:tcBorders>
            <w:shd w:val="clear" w:color="auto" w:fill="CFF0FC"/>
          </w:tcPr>
          <w:p>
            <w:pPr>
              <w:jc w:val="right"/>
              <w:ind w:right="157"/>
              <w:spacing w:after="0" w:line="149" w:lineRule="exact"/>
              <w:rPr>
                <w:sz w:val="20"/>
                <w:szCs w:val="20"/>
                <w:color w:val="auto"/>
              </w:rPr>
            </w:pPr>
            <w:r>
              <w:rPr>
                <w:rFonts w:ascii="Calibri" w:cs="Calibri" w:eastAsia="Calibri" w:hAnsi="Calibri"/>
                <w:sz w:val="13"/>
                <w:szCs w:val="13"/>
                <w:color w:val="auto"/>
              </w:rPr>
              <w:t>107,250</w:t>
            </w:r>
          </w:p>
        </w:tc>
        <w:tc>
          <w:tcPr>
            <w:tcW w:w="940" w:type="dxa"/>
            <w:vAlign w:val="bottom"/>
            <w:tcBorders>
              <w:bottom w:val="single" w:sz="8" w:color="0070C0"/>
            </w:tcBorders>
            <w:shd w:val="clear" w:color="auto" w:fill="CFF0FC"/>
          </w:tcPr>
          <w:p>
            <w:pPr>
              <w:ind w:left="340"/>
              <w:spacing w:after="0" w:line="149" w:lineRule="exact"/>
              <w:rPr>
                <w:sz w:val="20"/>
                <w:szCs w:val="20"/>
                <w:color w:val="auto"/>
              </w:rPr>
            </w:pPr>
            <w:r>
              <w:rPr>
                <w:rFonts w:ascii="Calibri" w:cs="Calibri" w:eastAsia="Calibri" w:hAnsi="Calibri"/>
                <w:sz w:val="13"/>
                <w:szCs w:val="13"/>
                <w:color w:val="auto"/>
              </w:rPr>
              <w:t>214,500</w:t>
            </w:r>
          </w:p>
        </w:tc>
        <w:tc>
          <w:tcPr>
            <w:tcW w:w="980" w:type="dxa"/>
            <w:vAlign w:val="bottom"/>
            <w:tcBorders>
              <w:bottom w:val="single" w:sz="8" w:color="0070C0"/>
            </w:tcBorders>
            <w:shd w:val="clear" w:color="auto" w:fill="CFF0FC"/>
          </w:tcPr>
          <w:p>
            <w:pPr>
              <w:jc w:val="right"/>
              <w:ind w:right="57"/>
              <w:spacing w:after="0" w:line="149" w:lineRule="exact"/>
              <w:rPr>
                <w:sz w:val="20"/>
                <w:szCs w:val="20"/>
                <w:color w:val="auto"/>
              </w:rPr>
            </w:pPr>
            <w:r>
              <w:rPr>
                <w:rFonts w:ascii="Calibri" w:cs="Calibri" w:eastAsia="Calibri" w:hAnsi="Calibri"/>
                <w:sz w:val="13"/>
                <w:szCs w:val="13"/>
                <w:color w:val="auto"/>
              </w:rPr>
              <w:t>429,000</w:t>
            </w:r>
          </w:p>
        </w:tc>
        <w:tc>
          <w:tcPr>
            <w:tcW w:w="1040" w:type="dxa"/>
            <w:vAlign w:val="bottom"/>
            <w:tcBorders>
              <w:bottom w:val="single" w:sz="8" w:color="0070C0"/>
            </w:tcBorders>
            <w:gridSpan w:val="2"/>
            <w:shd w:val="clear" w:color="auto" w:fill="CFF0FC"/>
          </w:tcPr>
          <w:p>
            <w:pPr>
              <w:jc w:val="right"/>
              <w:ind w:right="137"/>
              <w:spacing w:after="0" w:line="149" w:lineRule="exact"/>
              <w:rPr>
                <w:sz w:val="20"/>
                <w:szCs w:val="20"/>
                <w:color w:val="auto"/>
              </w:rPr>
            </w:pPr>
            <w:r>
              <w:rPr>
                <w:rFonts w:ascii="Calibri" w:cs="Calibri" w:eastAsia="Calibri" w:hAnsi="Calibri"/>
                <w:sz w:val="13"/>
                <w:szCs w:val="13"/>
                <w:color w:val="auto"/>
              </w:rPr>
              <w:t>3,050</w:t>
            </w:r>
          </w:p>
        </w:tc>
        <w:tc>
          <w:tcPr>
            <w:tcW w:w="840" w:type="dxa"/>
            <w:vAlign w:val="bottom"/>
            <w:tcBorders>
              <w:bottom w:val="single" w:sz="8" w:color="0070C0"/>
            </w:tcBorders>
            <w:shd w:val="clear" w:color="auto" w:fill="CFF0FC"/>
          </w:tcPr>
          <w:p>
            <w:pPr>
              <w:jc w:val="right"/>
              <w:ind w:right="97"/>
              <w:spacing w:after="0" w:line="149" w:lineRule="exact"/>
              <w:rPr>
                <w:sz w:val="20"/>
                <w:szCs w:val="20"/>
                <w:color w:val="auto"/>
              </w:rPr>
            </w:pPr>
            <w:r>
              <w:rPr>
                <w:rFonts w:ascii="Calibri" w:cs="Calibri" w:eastAsia="Calibri" w:hAnsi="Calibri"/>
                <w:sz w:val="13"/>
                <w:szCs w:val="13"/>
                <w:color w:val="auto"/>
              </w:rPr>
              <w:t>6,100</w:t>
            </w:r>
          </w:p>
        </w:tc>
        <w:tc>
          <w:tcPr>
            <w:tcW w:w="900" w:type="dxa"/>
            <w:vAlign w:val="bottom"/>
            <w:tcBorders>
              <w:bottom w:val="single" w:sz="8" w:color="0070C0"/>
            </w:tcBorders>
            <w:shd w:val="clear" w:color="auto" w:fill="CFF0FC"/>
          </w:tcPr>
          <w:p>
            <w:pPr>
              <w:jc w:val="right"/>
              <w:ind w:right="57"/>
              <w:spacing w:after="0" w:line="149" w:lineRule="exact"/>
              <w:rPr>
                <w:sz w:val="20"/>
                <w:szCs w:val="20"/>
                <w:color w:val="auto"/>
              </w:rPr>
            </w:pPr>
            <w:r>
              <w:rPr>
                <w:rFonts w:ascii="Calibri" w:cs="Calibri" w:eastAsia="Calibri" w:hAnsi="Calibri"/>
                <w:sz w:val="13"/>
                <w:szCs w:val="13"/>
                <w:color w:val="auto"/>
              </w:rPr>
              <w:t>12,200</w:t>
            </w:r>
          </w:p>
        </w:tc>
        <w:tc>
          <w:tcPr>
            <w:tcW w:w="1120" w:type="dxa"/>
            <w:vAlign w:val="bottom"/>
            <w:tcBorders>
              <w:bottom w:val="single" w:sz="8" w:color="0070C0"/>
            </w:tcBorders>
            <w:shd w:val="clear" w:color="auto" w:fill="CFF0FC"/>
          </w:tcPr>
          <w:p>
            <w:pPr>
              <w:jc w:val="right"/>
              <w:ind w:right="77"/>
              <w:spacing w:after="0" w:line="149" w:lineRule="exact"/>
              <w:rPr>
                <w:sz w:val="20"/>
                <w:szCs w:val="20"/>
                <w:color w:val="auto"/>
              </w:rPr>
            </w:pPr>
            <w:r>
              <w:rPr>
                <w:rFonts w:ascii="Calibri" w:cs="Calibri" w:eastAsia="Calibri" w:hAnsi="Calibri"/>
                <w:sz w:val="13"/>
                <w:szCs w:val="13"/>
                <w:color w:val="auto"/>
              </w:rPr>
              <w:t>6,100</w:t>
            </w:r>
          </w:p>
        </w:tc>
        <w:tc>
          <w:tcPr>
            <w:tcW w:w="1320" w:type="dxa"/>
            <w:vAlign w:val="bottom"/>
            <w:tcBorders>
              <w:bottom w:val="single" w:sz="8" w:color="0070C0"/>
            </w:tcBorders>
            <w:shd w:val="clear" w:color="auto" w:fill="CFF0FC"/>
          </w:tcPr>
          <w:p>
            <w:pPr>
              <w:jc w:val="right"/>
              <w:ind w:right="57"/>
              <w:spacing w:after="0" w:line="149" w:lineRule="exact"/>
              <w:rPr>
                <w:sz w:val="20"/>
                <w:szCs w:val="20"/>
                <w:color w:val="auto"/>
              </w:rPr>
            </w:pPr>
            <w:r>
              <w:rPr>
                <w:rFonts w:ascii="Calibri" w:cs="Calibri" w:eastAsia="Calibri" w:hAnsi="Calibri"/>
                <w:sz w:val="13"/>
                <w:szCs w:val="13"/>
                <w:color w:val="auto"/>
              </w:rPr>
              <w:t>825,818</w:t>
            </w:r>
          </w:p>
        </w:tc>
      </w:tr>
    </w:tbl>
    <w:p>
      <w:pPr>
        <w:jc w:val="both"/>
        <w:ind w:firstLine="8"/>
        <w:spacing w:after="0" w:line="237" w:lineRule="auto"/>
        <w:tabs>
          <w:tab w:leader="none" w:pos="201" w:val="left"/>
        </w:tabs>
        <w:numPr>
          <w:ilvl w:val="0"/>
          <w:numId w:val="34"/>
        </w:numPr>
        <w:rPr>
          <w:rFonts w:ascii="Calibri" w:cs="Calibri" w:eastAsia="Calibri" w:hAnsi="Calibri"/>
          <w:sz w:val="14"/>
          <w:szCs w:val="14"/>
          <w:color w:val="auto"/>
        </w:rPr>
      </w:pPr>
      <w:r>
        <w:rPr>
          <w:rFonts w:ascii="Calibri" w:cs="Calibri" w:eastAsia="Calibri" w:hAnsi="Calibri"/>
          <w:sz w:val="14"/>
          <w:szCs w:val="14"/>
          <w:color w:val="auto"/>
        </w:rPr>
        <w:t>The amount shown is the cash bonus threshold, target, and maximum for 2024. This amount consists of any performance-based bonus and any discretonary bonus. Under the executve bonus formula that established the target bonus for each executve ofcer (i) 80% of the bonus was ted to the fnancial metrics of the Company and (ii) 20% of the bonus was ted to individual goals for each NEO. See “Compensaton Discussion and Analysis – Principal Components of Compensaton – Annual (Bonus) Incentve Plan.”</w:t>
      </w:r>
    </w:p>
    <w:p>
      <w:pPr>
        <w:spacing w:after="0" w:line="5" w:lineRule="exact"/>
        <w:rPr>
          <w:rFonts w:ascii="Calibri" w:cs="Calibri" w:eastAsia="Calibri" w:hAnsi="Calibri"/>
          <w:sz w:val="14"/>
          <w:szCs w:val="14"/>
          <w:color w:val="auto"/>
        </w:rPr>
      </w:pPr>
    </w:p>
    <w:p>
      <w:pPr>
        <w:jc w:val="both"/>
        <w:ind w:firstLine="8"/>
        <w:spacing w:after="0" w:line="246" w:lineRule="auto"/>
        <w:tabs>
          <w:tab w:leader="none" w:pos="199" w:val="left"/>
        </w:tabs>
        <w:numPr>
          <w:ilvl w:val="0"/>
          <w:numId w:val="34"/>
        </w:numPr>
        <w:rPr>
          <w:rFonts w:ascii="Calibri" w:cs="Calibri" w:eastAsia="Calibri" w:hAnsi="Calibri"/>
          <w:sz w:val="14"/>
          <w:szCs w:val="14"/>
          <w:color w:val="auto"/>
        </w:rPr>
      </w:pPr>
      <w:r>
        <w:rPr>
          <w:rFonts w:ascii="Calibri" w:cs="Calibri" w:eastAsia="Calibri" w:hAnsi="Calibri"/>
          <w:sz w:val="14"/>
          <w:szCs w:val="14"/>
          <w:color w:val="auto"/>
        </w:rPr>
        <w:t>These amounts refect the value determined by the Company for accountng purposes for these awards and do not refect whether each NEO has actually realized a fnancial beneft from the awards. Pursuant to SEC rules, the amounts shown exclude the impact of estmated forfeitures related to service-based vestng conditons. Grant date fair value reported for stock awards in the form of RSUs and PSUs is calculated by multplying the number of shares subject to the award by the closing price of the Company’s Common Stock on the grant date. See Note 14, Share-Based Compensaton, to the Company’s audited fnancial statements for the fscal year ended December 31, 2024, included in the Company’s Annual Report on Form 10-K fled with the SEC on February 14, 2025, for a further discussion of the relevant valuaton assumptons used in calculatng grant date fair value. RSU awards vest in four equal annual installments. PSUs contain a performance-based vestng conditon under which the PSUs will vest upon the Company achieving a cumulatve 3-year performance-related conditon.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CEO Pay Rato — 2024</w:t>
      </w:r>
    </w:p>
    <w:p>
      <w:pPr>
        <w:spacing w:after="0" w:line="3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At the end of 2024 the Company had approximately 8,593 employees worldwide, located mainly in Asia. The annual total compensaton for our median employee for 2024 was $27,315 and $4,823,227 for our CEO. The resultng rato of our CEO’s pay to the pay of our median employee for 2024 was 177 to 1. The annual total compensaton for our median US employee for 2024 was $123,040 and the resultng rato of our CEO’s pay to the pay of our median US employee for 2024 was 39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We identfed the median employee by examining the 2024 compensaton data for all individuals, excluding our CEO, who were employed by us as of December 31, 2024. We included all employees, whether employed on a full-tme, part-tme or seasonal basis. We did not make any cost-of-living adjustments in identfying the median employee. We also did not make any assumptons or adjustments with respect to total cash compensaton. We calculated the median employee’s annual total compensaton using the same methodology we use for our NEOs as set forth in the 2024 Summary Compensaton Table in this Proxy Statement.</w:t>
      </w:r>
    </w:p>
    <w:p>
      <w:pPr>
        <w:spacing w:after="0" w:line="34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50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53" w:name="page54"/>
    <w:bookmarkEnd w:id="53"/>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612140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t>NARRATIVE TO SUMMARY COMPENSATION TABLE AND GRANTS OF PLAN-BASED AWARDS TABLE</w:t>
      </w:r>
    </w:p>
    <w:p>
      <w:pPr>
        <w:spacing w:after="0" w:line="3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CEO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2024 Amendment. </w:t>
      </w:r>
      <w:r>
        <w:rPr>
          <w:rFonts w:ascii="Calibri" w:cs="Calibri" w:eastAsia="Calibri" w:hAnsi="Calibri"/>
          <w:sz w:val="20"/>
          <w:szCs w:val="20"/>
          <w:color w:val="auto"/>
        </w:rPr>
        <w:t>On January 17, 2024, the Company and Dr. Lu entered into Amendment # 3 (the "Third Amendment")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Employment Agreement between the Company and Dr. Lu dated as of July 21, 2015, as amended February 22, 2017 and May 31, 2022, as described below. The Third Amendment removed the role of "President" from Dr. Lu's ttle and reduced his annual salary to $740,000. See Exhibit 99.1 to the Current Report on Form 8-K fled on January 22, 2024.</w:t>
      </w:r>
    </w:p>
    <w:p>
      <w:pPr>
        <w:spacing w:after="0" w:line="12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i w:val="1"/>
          <w:iCs w:val="1"/>
          <w:color w:val="auto"/>
        </w:rPr>
        <w:t xml:space="preserve">2022 Amendment. </w:t>
      </w:r>
      <w:r>
        <w:rPr>
          <w:rFonts w:ascii="Calibri" w:cs="Calibri" w:eastAsia="Calibri" w:hAnsi="Calibri"/>
          <w:sz w:val="20"/>
          <w:szCs w:val="20"/>
          <w:color w:val="auto"/>
        </w:rPr>
        <w:t>On May 31, 2022, the Company and Dr. Lu entered into Amendment No. 2 (the "Second Amendment") to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Employment Agreement between the Company and Dr. Lu dated as of July 21, 2015, as amended February 22, 2017, as described below. The Second Amendment (i) extended the term of employment to May 31, 2027, unless sooner terminated as provided in the agreement or due to death, (ii) specifed that Dr. Lu shall receive a minimum annual salary of $760,000 (subject to increase in the discreton of the Company's Board of Directors), and (iii) replaced references to the Company's 2013 Equity Incentve Plan with references to the Company's 2022 Equity Incentve Plan. See Exhibit 99.1 to the Current Report on Form 8-K fled on June 1, 2022.</w:t>
      </w:r>
    </w:p>
    <w:p>
      <w:pPr>
        <w:spacing w:after="0" w:line="120" w:lineRule="exact"/>
        <w:rPr>
          <w:sz w:val="20"/>
          <w:szCs w:val="20"/>
          <w:color w:val="auto"/>
        </w:rPr>
      </w:pPr>
    </w:p>
    <w:p>
      <w:pPr>
        <w:jc w:val="both"/>
        <w:spacing w:after="0"/>
        <w:rPr>
          <w:sz w:val="20"/>
          <w:szCs w:val="20"/>
          <w:color w:val="auto"/>
        </w:rPr>
      </w:pPr>
      <w:r>
        <w:rPr>
          <w:rFonts w:ascii="Calibri" w:cs="Calibri" w:eastAsia="Calibri" w:hAnsi="Calibri"/>
          <w:sz w:val="20"/>
          <w:szCs w:val="20"/>
          <w:b w:val="1"/>
          <w:bCs w:val="1"/>
          <w:i w:val="1"/>
          <w:iCs w:val="1"/>
          <w:color w:val="auto"/>
        </w:rPr>
        <w:t xml:space="preserve">2017 Amendment. </w:t>
      </w:r>
      <w:r>
        <w:rPr>
          <w:rFonts w:ascii="Calibri" w:cs="Calibri" w:eastAsia="Calibri" w:hAnsi="Calibri"/>
          <w:sz w:val="20"/>
          <w:szCs w:val="20"/>
          <w:color w:val="auto"/>
        </w:rPr>
        <w:t>On February 22, 2017, the Company and Dr. Lu entered into Amendment No. 1 (the “Amendment”) to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Employment Agreement between the Company and Dr. Lu dated as of July 21, 2015, as described below. The Amendment provided for the replacement of the 2015 Awards covering 700,000 shares of the Company’s Common Stock granted to Dr. Lu on July 21, 2015 with the Modifed Awards covering 62,905 shares, all pursuant to the Company’s 2013 Plan. The Modifed Awards had more stringent vestng and performance criteria than the 2015 Awards they replaced. The Modifed Awards replaced the 2015 Awards and, therefore, were to be Dr. Lu’s annual equity incentve award granted for 2015. See Exhibit 99.1 to the Current Report on Form 8-K fled on February 27, 2017.</w:t>
      </w:r>
    </w:p>
    <w:p>
      <w:pPr>
        <w:spacing w:after="0" w:line="34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terms of performance-based awards state that within ninety days afer the end of the performance period, the Compensaton Commitee shall determine the degree to which Target Performance has been achieved (such date of determinaton is the “Determinaton Date”) and that will also be the date of vestng for the target number of PSUs (the “Target Award”). These shares were released during February 2020.</w:t>
      </w:r>
    </w:p>
    <w:p>
      <w:pPr>
        <w:spacing w:after="0" w:line="12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terms of performance-based awards state that the Target Award will vest if the Target Performance is achieved. 50% of the Target Award will vest upon achievement of 80% of the Target Performance, and 200% of the Target Award will vest upon achievement of 120% of the Target Performance. Upon achievement of between 80% and 100%, and between 100% and 120%, of Target Performance, the percentage of the Target Award that vests will be decreased or increased on a pro rata basis, with no vestng or payout upon achievement of below 80% of Target Performance and with vestng and payout limited to 200% of the Target Award if the Target Performance exceeds 120%. If either a Qualifying Terminaton or a Change in Control, as defned, occurs before the end of the three-year performance period, then the Target Performance and Target Award shall each be pro-rated based on the number of days within the performance period that have elapsed as of the end of the calendar month before the Qualifying Terminaton or Change in Control.</w:t>
      </w:r>
    </w:p>
    <w:p>
      <w:pPr>
        <w:spacing w:after="0" w:line="123"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Upon terminaton at any tme before the earlier of a Qualifying Terminaton or Change in Control or the Determinaton Date, all then unvested PSUs shall be forfeited.</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 satsfed the performance criteria, at the 200% level, and the 125,810 shares were released in February 2020.</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i w:val="1"/>
          <w:iCs w:val="1"/>
          <w:color w:val="auto"/>
        </w:rPr>
        <w:t xml:space="preserve">2015 Employment Agreement. </w:t>
      </w:r>
      <w:r>
        <w:rPr>
          <w:rFonts w:ascii="Calibri" w:cs="Calibri" w:eastAsia="Calibri" w:hAnsi="Calibri"/>
          <w:sz w:val="20"/>
          <w:szCs w:val="20"/>
          <w:color w:val="auto"/>
        </w:rPr>
        <w:t>The following is a summary of Dr. Lu’s employment agreement entered into on July 21, 2015, that was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amended as described above. Prior to the 2017 Amendment, the employment agreement provided that Dr. Lu would be enttled to (i) receive an annual base salary of $623,000 (changed to $660,750 by the Amendment) (subject to increase in the discreton of the Company's Board of Directors), (ii) receive grants of the 2015 Awards, covering 700,000 shares of the Company’s Common Stock (replaced with the Modifed Awards covering 62,905 shares), (iii) partcipate in any executve bonus plan of the Company and maintain contnued eligibility for additonal equity compensaton grants, (iv) receive reimbursement for all reasonable and documented business expenses, (v) receive paid vacaton in accordance with the Company's vacaton policy for employees, (vi) partcipate in all plans and programs sponsored by the Company</w:t>
      </w:r>
    </w:p>
    <w:p>
      <w:pPr>
        <w:spacing w:after="0" w:line="34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51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4" w:name="page55"/>
    <w:bookmarkEnd w:id="54"/>
    <w:p>
      <w:pPr>
        <w:jc w:val="both"/>
        <w:spacing w:after="0" w:line="234" w:lineRule="auto"/>
        <w:rPr>
          <w:sz w:val="20"/>
          <w:szCs w:val="20"/>
          <w:color w:val="auto"/>
        </w:rPr>
      </w:pPr>
      <w:r>
        <w:rPr>
          <w:rFonts w:ascii="Calibri" w:cs="Calibri" w:eastAsia="Calibri" w:hAnsi="Calibri"/>
          <w:sz w:val="20"/>
          <w:szCs w:val="20"/>
          <w:color w:val="auto"/>
        </w:rPr>
        <w:t>for employees in general, (vii) receive a life insurance policy with a death beneft in the amount in efect on the date of the employment agreement ($700,000), and (viii) receive a disability insurance policy in the maximum insurable amount.</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term of Dr. Lu’s employment agreement commenced on July 21, 2015 and was scheduled to end on May 31, 2022, unless sooner terminated as provided in the agreement or due to death. Employment is “at will” and may be terminated by either the Company or Dr. Lu at any tme. See Exhibits 99.1 to the Current Reports on Form 8-K fled with the SEC on July 27, 2015, February 27, 2017, June 1, 2022, and January 22, 2024, for a complete copy of the employment agreement and the Amendments thereto between the Company and Dr. Lu.</w:t>
      </w:r>
    </w:p>
    <w:p>
      <w:pPr>
        <w:spacing w:after="0" w:line="1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005CA9"/>
        </w:rPr>
        <w:t>Executve Bonus Plan</w:t>
      </w:r>
    </w:p>
    <w:p>
      <w:pPr>
        <w:spacing w:after="0" w:line="10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 a descripton of the Company’s executve bonus plan, including the amount granted to NEOs in 2022, 2023, and 2024, and the method for determining the executve bonuses, see “Compensaton Discussion and Analysis – Principal Components of Compensaton – Annual (Bonus) Incentve Plan.”</w:t>
      </w:r>
    </w:p>
    <w:p>
      <w:pPr>
        <w:spacing w:after="0" w:line="1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2022 Equity Incentve Plan</w:t>
      </w:r>
    </w:p>
    <w:p>
      <w:pPr>
        <w:spacing w:after="0" w:line="84" w:lineRule="exact"/>
        <w:rPr>
          <w:sz w:val="20"/>
          <w:szCs w:val="20"/>
          <w:color w:val="auto"/>
        </w:rPr>
      </w:pPr>
    </w:p>
    <w:p>
      <w:pPr>
        <w:jc w:val="both"/>
        <w:spacing w:after="0" w:line="241" w:lineRule="auto"/>
        <w:rPr>
          <w:sz w:val="20"/>
          <w:szCs w:val="20"/>
          <w:color w:val="auto"/>
        </w:rPr>
      </w:pPr>
      <w:r>
        <w:rPr>
          <w:rFonts w:ascii="Calibri" w:cs="Calibri" w:eastAsia="Calibri" w:hAnsi="Calibri"/>
          <w:sz w:val="20"/>
          <w:szCs w:val="20"/>
          <w:color w:val="auto"/>
        </w:rPr>
        <w:t>At the 2022 annual meetng of stockholders, the Company stockholders approved the Diodes Incorporated 2022 Equity Incentve Plan (“2022 Plan”) pursuant to which stock-based incentve awards can be granted to our employees (including our named executve ofcers), consultants and directors (collectvely, “Selected Partcipants”). Up to a maximum aggregate of 7,000,000 shares of our common stock may be issued under the 2022 Plan. However, a share that is issued pursuant to an award other than a stock opton or stock appreciaton right shall count as two (2) shares against this limit. If not terminated earlier by the Board, the 2022 Plan will terminate on March 10, 2032. As a result of the approval of the 2022 Plan, no further awards can be issued under the 2013 Plan. Awards are subject to recoupment of compensaton policies adopted by the Company.</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The purpose of the 2022 Plan is to promote our long-term success and the creaton of stockholder value by:</w:t>
      </w:r>
    </w:p>
    <w:p>
      <w:pPr>
        <w:spacing w:after="0" w:line="120"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20"/>
          <w:szCs w:val="20"/>
          <w:color w:val="auto"/>
        </w:rPr>
      </w:pPr>
      <w:r>
        <w:rPr>
          <w:rFonts w:ascii="Calibri" w:cs="Calibri" w:eastAsia="Calibri" w:hAnsi="Calibri"/>
          <w:sz w:val="20"/>
          <w:szCs w:val="20"/>
          <w:color w:val="auto"/>
        </w:rPr>
        <w:t>Atractng and retaining the services of key employees who would be eligible to receive grants as Selected Partcipants;</w:t>
      </w:r>
    </w:p>
    <w:p>
      <w:pPr>
        <w:spacing w:after="0" w:line="130"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35"/>
        </w:numPr>
        <w:rPr>
          <w:rFonts w:ascii="Times New Roman" w:cs="Times New Roman" w:eastAsia="Times New Roman" w:hAnsi="Times New Roman"/>
          <w:sz w:val="20"/>
          <w:szCs w:val="20"/>
          <w:color w:val="auto"/>
        </w:rPr>
      </w:pPr>
      <w:r>
        <w:rPr>
          <w:rFonts w:ascii="Calibri" w:cs="Calibri" w:eastAsia="Calibri" w:hAnsi="Calibri"/>
          <w:sz w:val="20"/>
          <w:szCs w:val="20"/>
          <w:color w:val="auto"/>
        </w:rPr>
        <w:t>Motvatng Selected Partcipants through equity-based compensaton that is based upon the performance of our Common Stock; and</w:t>
      </w:r>
    </w:p>
    <w:p>
      <w:pPr>
        <w:spacing w:after="0" w:line="131"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35"/>
        </w:numPr>
        <w:rPr>
          <w:rFonts w:ascii="Times New Roman" w:cs="Times New Roman" w:eastAsia="Times New Roman" w:hAnsi="Times New Roman"/>
          <w:sz w:val="20"/>
          <w:szCs w:val="20"/>
          <w:color w:val="auto"/>
        </w:rPr>
      </w:pPr>
      <w:r>
        <w:rPr>
          <w:rFonts w:ascii="Calibri" w:cs="Calibri" w:eastAsia="Calibri" w:hAnsi="Calibri"/>
          <w:sz w:val="20"/>
          <w:szCs w:val="20"/>
          <w:color w:val="auto"/>
        </w:rPr>
        <w:t>Further aligning Selected Partcipants’ interests with stockholders, through the award of equity compensaton grants which increases their proprietary interest in the Company, to achieve long-term growth over short-term performance.</w:t>
      </w:r>
    </w:p>
    <w:p>
      <w:pPr>
        <w:spacing w:after="0" w:line="108"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The 2022 Plan permits the grant of the following types of equity-based incentve awards:</w:t>
      </w:r>
    </w:p>
    <w:p>
      <w:pPr>
        <w:spacing w:after="0" w:line="120"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20"/>
          <w:szCs w:val="20"/>
          <w:color w:val="auto"/>
        </w:rPr>
      </w:pPr>
      <w:r>
        <w:rPr>
          <w:rFonts w:ascii="Calibri" w:cs="Calibri" w:eastAsia="Calibri" w:hAnsi="Calibri"/>
          <w:sz w:val="20"/>
          <w:szCs w:val="20"/>
          <w:color w:val="auto"/>
        </w:rPr>
        <w:t>stock optons (which can be either incentve or nonstatutory);</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20"/>
          <w:szCs w:val="20"/>
          <w:color w:val="auto"/>
        </w:rPr>
      </w:pPr>
      <w:r>
        <w:rPr>
          <w:rFonts w:ascii="Calibri" w:cs="Calibri" w:eastAsia="Calibri" w:hAnsi="Calibri"/>
          <w:sz w:val="20"/>
          <w:szCs w:val="20"/>
          <w:color w:val="auto"/>
        </w:rPr>
        <w:t>stock appreciaton rights;</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restricted stock;</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restricted stock units; and</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20"/>
          <w:szCs w:val="20"/>
          <w:color w:val="auto"/>
        </w:rPr>
      </w:pPr>
      <w:r>
        <w:rPr>
          <w:rFonts w:ascii="Calibri" w:cs="Calibri" w:eastAsia="Calibri" w:hAnsi="Calibri"/>
          <w:sz w:val="20"/>
          <w:szCs w:val="20"/>
          <w:color w:val="auto"/>
        </w:rPr>
        <w:t>other equity awards.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Stock optons and stock appreciaton rights may not be granted at a per share exercise price below the fair market value of a share of our common stock on the date of grant. The maximum exercisable term of stock optons and stock appreciaton rights may not exceed eight years. Stock optons and stock appreciaton rights may not be repriced or exchanged without stockholder approval. Shares (afer applicable tax withholding) acquired from the exercise of stock optons must be held for at least one year afer exercise or untl an earlier terminaton of service.</w:t>
      </w:r>
    </w:p>
    <w:p>
      <w:pPr>
        <w:spacing w:after="0" w:line="34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52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55" w:name="page56"/>
    <w:bookmarkEnd w:id="55"/>
    <w:p>
      <w:pPr>
        <w:jc w:val="both"/>
        <w:spacing w:after="0" w:line="237" w:lineRule="auto"/>
        <w:rPr>
          <w:sz w:val="20"/>
          <w:szCs w:val="20"/>
          <w:color w:val="auto"/>
        </w:rPr>
      </w:pPr>
      <w:r>
        <w:rPr>
          <w:rFonts w:ascii="Calibri" w:cs="Calibri" w:eastAsia="Calibri" w:hAnsi="Calibri"/>
          <w:sz w:val="20"/>
          <w:szCs w:val="20"/>
          <w:color w:val="auto"/>
        </w:rPr>
        <w:t>The vestng of awards can be based on contnuous service and/or performance goals. Discretonary acceleraton of vestng of awards is not permited except in the case of a partcipant’s death or disability. If a Change in Control or similar transacton occurs then (i) if there is no assumpton, substtuton or contnuaton of outstanding awards, then all awards shall vest (with performance-based awards vestng and being paid out at their target levels) and (ii) if a partcipant’s service is terminated without Cause by the Company (or its acquirer) within two years afer a Change in Control or similar transacton, then all of such partcipant’s awards shall vest (with performance-based awards vestng and being paid out at their target levels).</w:t>
      </w:r>
    </w:p>
    <w:p>
      <w:pPr>
        <w:spacing w:after="0" w:line="12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2022 Plan is generally administered by a commitee comprised solely of independent members of the Board. This commitee will be the Compensaton Commitee unless otherwise designated by the Board (the “2022 Plan Commitee”). The Board or the 2022 Plan Commitee may designate a separate commitee to make awards to employees who are not ofcers subject to the reportng requirements of Secton 16 of the Securites Exchange Act of 1934. The 2022 Plan Commitee has the discreton, among other things, to determine (i) which service providers shall receive any awards, and (ii) the terms and conditons of such awards.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2022 Plan provides that any non-employee director cannot receive awards in any fscal year that in the aggregate exceeds 100,000 shares for the Chairperson, 80,000 shares for the Vice Chairperson, and 10,000 shares for other non-employee directors. Provided that the Board afrmatvely acts to implement such a process, the 2022 Plan also provides that non-employee directors may elect to receive stock grants or stock units (which would be issued under the 2022 Plan) in lieu of fees that would otherwise be paid in cash.</w:t>
      </w:r>
    </w:p>
    <w:p>
      <w:pPr>
        <w:spacing w:after="0" w:line="11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401(k) Plan and Other Retrement Plans</w:t>
      </w:r>
    </w:p>
    <w:p>
      <w:pPr>
        <w:spacing w:after="0" w:line="1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maintains a 401(k) Plan for the beneft of qualifed employees at our U.S. locatons. Employees who partcipate in the 401(k) Plan may elect to make salary deferral contributons to the 401(k) Plan up to 100% of the employees’ eligible payroll subject to annual Internal Revenue Code maximum. We currently make a discretonary matching contributon of $1 for every $2 contributed by the partcipant up to 6% (3% maximum matching) of the partcipant’s eligible payroll, which vests over an inital four years. In additon, we may make a discretonary contributon to the entre qualifed employee pool, in accordance with the 401(k) Plan. As stpulated by the regulatons of the People’s Republic of China, we maintain a retrement plan pursuant to the local municipal government for the employees in China. We are required to make contributons to the retrement plan at a rate between 10% and 22% of the employee’s eligible payroll. Pursuant to the Taiwan Labor Standard Law and Factory Law, we maintain a retrement plan for the employees in Taiwan, whereby we make contributons at a rate of 6% of the employee’s eligible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53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56" w:name="page57"/>
    <w:bookmarkEnd w:id="56"/>
    <w:p>
      <w:pPr>
        <w:ind w:left="40"/>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t>OUTSTANDING EQUITY AWARDS AT FISCAL YEAR-END — 2024</w:t>
      </w:r>
    </w:p>
    <w:p>
      <w:pPr>
        <w:spacing w:after="0" w:line="39"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sets forth certain informaton regarding equity-based awards held by NEOs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00"/>
        <w:spacing w:after="0"/>
        <w:rPr>
          <w:sz w:val="20"/>
          <w:szCs w:val="20"/>
          <w:color w:val="auto"/>
        </w:rPr>
      </w:pPr>
      <w:r>
        <w:rPr>
          <w:rFonts w:ascii="Calibri" w:cs="Calibri" w:eastAsia="Calibri" w:hAnsi="Calibri"/>
          <w:sz w:val="14"/>
          <w:szCs w:val="14"/>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7"/>
        </w:trPr>
        <w:tc>
          <w:tcPr>
            <w:tcW w:w="1840" w:type="dxa"/>
            <w:vAlign w:val="bottom"/>
            <w:tcBorders>
              <w:top w:val="single" w:sz="8" w:color="005CA9"/>
            </w:tcBorders>
          </w:tcPr>
          <w:p>
            <w:pPr>
              <w:spacing w:after="0"/>
              <w:rPr>
                <w:sz w:val="20"/>
                <w:szCs w:val="20"/>
                <w:color w:val="auto"/>
              </w:rPr>
            </w:pPr>
          </w:p>
        </w:tc>
        <w:tc>
          <w:tcPr>
            <w:tcW w:w="320" w:type="dxa"/>
            <w:vAlign w:val="bottom"/>
            <w:tcBorders>
              <w:top w:val="single" w:sz="8" w:color="005CA9"/>
            </w:tcBorders>
          </w:tcPr>
          <w:p>
            <w:pPr>
              <w:spacing w:after="0"/>
              <w:rPr>
                <w:sz w:val="20"/>
                <w:szCs w:val="20"/>
                <w:color w:val="auto"/>
              </w:rPr>
            </w:pPr>
          </w:p>
        </w:tc>
        <w:tc>
          <w:tcPr>
            <w:tcW w:w="1380" w:type="dxa"/>
            <w:vAlign w:val="bottom"/>
            <w:tcBorders>
              <w:top w:val="single" w:sz="8" w:color="005CA9"/>
              <w:bottom w:val="single" w:sz="8" w:color="005CA9"/>
            </w:tcBorders>
          </w:tcPr>
          <w:p>
            <w:pPr>
              <w:spacing w:after="0"/>
              <w:rPr>
                <w:sz w:val="20"/>
                <w:szCs w:val="20"/>
                <w:color w:val="auto"/>
              </w:rPr>
            </w:pPr>
          </w:p>
        </w:tc>
        <w:tc>
          <w:tcPr>
            <w:tcW w:w="1160" w:type="dxa"/>
            <w:vAlign w:val="bottom"/>
            <w:tcBorders>
              <w:top w:val="single" w:sz="8" w:color="005CA9"/>
              <w:bottom w:val="single" w:sz="8" w:color="005CA9"/>
            </w:tcBorders>
          </w:tcPr>
          <w:p>
            <w:pPr>
              <w:jc w:val="right"/>
              <w:ind w:right="268"/>
              <w:spacing w:after="0"/>
              <w:rPr>
                <w:sz w:val="20"/>
                <w:szCs w:val="20"/>
                <w:color w:val="auto"/>
              </w:rPr>
            </w:pPr>
            <w:r>
              <w:rPr>
                <w:rFonts w:ascii="Calibri" w:cs="Calibri" w:eastAsia="Calibri" w:hAnsi="Calibri"/>
                <w:sz w:val="14"/>
                <w:szCs w:val="14"/>
                <w:color w:val="auto"/>
              </w:rPr>
              <w:t>RSUs</w:t>
            </w:r>
          </w:p>
        </w:tc>
        <w:tc>
          <w:tcPr>
            <w:tcW w:w="1660" w:type="dxa"/>
            <w:vAlign w:val="bottom"/>
            <w:tcBorders>
              <w:top w:val="single" w:sz="8" w:color="005CA9"/>
              <w:bottom w:val="single" w:sz="8" w:color="005CA9"/>
            </w:tcBorders>
          </w:tcPr>
          <w:p>
            <w:pPr>
              <w:spacing w:after="0"/>
              <w:rPr>
                <w:sz w:val="20"/>
                <w:szCs w:val="20"/>
                <w:color w:val="auto"/>
              </w:rPr>
            </w:pPr>
          </w:p>
        </w:tc>
        <w:tc>
          <w:tcPr>
            <w:tcW w:w="380" w:type="dxa"/>
            <w:vAlign w:val="bottom"/>
            <w:tcBorders>
              <w:top w:val="single" w:sz="8" w:color="005CA9"/>
            </w:tcBorders>
          </w:tcPr>
          <w:p>
            <w:pPr>
              <w:spacing w:after="0"/>
              <w:rPr>
                <w:sz w:val="20"/>
                <w:szCs w:val="20"/>
                <w:color w:val="auto"/>
              </w:rPr>
            </w:pPr>
          </w:p>
        </w:tc>
        <w:tc>
          <w:tcPr>
            <w:tcW w:w="1360" w:type="dxa"/>
            <w:vAlign w:val="bottom"/>
            <w:tcBorders>
              <w:top w:val="single" w:sz="8" w:color="005CA9"/>
              <w:bottom w:val="single" w:sz="8" w:color="005CA9"/>
            </w:tcBorders>
          </w:tcPr>
          <w:p>
            <w:pPr>
              <w:spacing w:after="0"/>
              <w:rPr>
                <w:sz w:val="20"/>
                <w:szCs w:val="20"/>
                <w:color w:val="auto"/>
              </w:rPr>
            </w:pPr>
          </w:p>
        </w:tc>
        <w:tc>
          <w:tcPr>
            <w:tcW w:w="120" w:type="dxa"/>
            <w:vAlign w:val="bottom"/>
            <w:tcBorders>
              <w:top w:val="single" w:sz="8" w:color="005CA9"/>
              <w:bottom w:val="single" w:sz="8" w:color="005CA9"/>
            </w:tcBorders>
          </w:tcPr>
          <w:p>
            <w:pPr>
              <w:spacing w:after="0"/>
              <w:rPr>
                <w:sz w:val="20"/>
                <w:szCs w:val="20"/>
                <w:color w:val="auto"/>
              </w:rPr>
            </w:pPr>
          </w:p>
        </w:tc>
        <w:tc>
          <w:tcPr>
            <w:tcW w:w="1580" w:type="dxa"/>
            <w:vAlign w:val="bottom"/>
            <w:tcBorders>
              <w:top w:val="single" w:sz="8" w:color="005CA9"/>
              <w:bottom w:val="single" w:sz="8" w:color="005CA9"/>
            </w:tcBorders>
          </w:tcPr>
          <w:p>
            <w:pPr>
              <w:jc w:val="right"/>
              <w:ind w:right="648"/>
              <w:spacing w:after="0"/>
              <w:rPr>
                <w:sz w:val="20"/>
                <w:szCs w:val="20"/>
                <w:color w:val="auto"/>
              </w:rPr>
            </w:pPr>
            <w:r>
              <w:rPr>
                <w:rFonts w:ascii="Calibri" w:cs="Calibri" w:eastAsia="Calibri" w:hAnsi="Calibri"/>
                <w:sz w:val="14"/>
                <w:szCs w:val="14"/>
                <w:color w:val="auto"/>
              </w:rPr>
              <w:t>PSUs</w:t>
            </w:r>
          </w:p>
        </w:tc>
        <w:tc>
          <w:tcPr>
            <w:tcW w:w="1440" w:type="dxa"/>
            <w:vAlign w:val="bottom"/>
            <w:tcBorders>
              <w:top w:val="single" w:sz="8" w:color="005CA9"/>
              <w:bottom w:val="single" w:sz="8" w:color="005CA9"/>
            </w:tcBorders>
          </w:tcPr>
          <w:p>
            <w:pPr>
              <w:spacing w:after="0"/>
              <w:rPr>
                <w:sz w:val="20"/>
                <w:szCs w:val="20"/>
                <w:color w:val="auto"/>
              </w:rPr>
            </w:pPr>
          </w:p>
        </w:tc>
      </w:tr>
      <w:tr>
        <w:trPr>
          <w:trHeight w:val="161"/>
        </w:trPr>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center"/>
              <w:ind w:right="68"/>
              <w:spacing w:after="0" w:line="161" w:lineRule="exact"/>
              <w:rPr>
                <w:sz w:val="20"/>
                <w:szCs w:val="20"/>
                <w:color w:val="auto"/>
              </w:rPr>
            </w:pPr>
            <w:r>
              <w:rPr>
                <w:rFonts w:ascii="Calibri" w:cs="Calibri" w:eastAsia="Calibri" w:hAnsi="Calibri"/>
                <w:sz w:val="14"/>
                <w:szCs w:val="14"/>
                <w:b w:val="1"/>
                <w:bCs w:val="1"/>
                <w:color w:val="auto"/>
              </w:rPr>
              <w:t>Equity Incentve Plan</w:t>
            </w:r>
          </w:p>
        </w:tc>
      </w:tr>
      <w:tr>
        <w:trPr>
          <w:trHeight w:val="170"/>
        </w:trPr>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248"/>
              <w:spacing w:after="0"/>
              <w:rPr>
                <w:sz w:val="20"/>
                <w:szCs w:val="20"/>
                <w:color w:val="auto"/>
              </w:rPr>
            </w:pPr>
            <w:r>
              <w:rPr>
                <w:rFonts w:ascii="Calibri" w:cs="Calibri" w:eastAsia="Calibri" w:hAnsi="Calibri"/>
                <w:sz w:val="14"/>
                <w:szCs w:val="14"/>
                <w:b w:val="1"/>
                <w:bCs w:val="1"/>
                <w:color w:val="auto"/>
              </w:rPr>
              <w:t>Equity Incentve Plan</w:t>
            </w:r>
          </w:p>
        </w:tc>
        <w:tc>
          <w:tcPr>
            <w:tcW w:w="1440" w:type="dxa"/>
            <w:vAlign w:val="bottom"/>
          </w:tcPr>
          <w:p>
            <w:pPr>
              <w:jc w:val="center"/>
              <w:ind w:right="48"/>
              <w:spacing w:after="0"/>
              <w:rPr>
                <w:sz w:val="20"/>
                <w:szCs w:val="20"/>
                <w:color w:val="auto"/>
              </w:rPr>
            </w:pPr>
            <w:r>
              <w:rPr>
                <w:rFonts w:ascii="Calibri" w:cs="Calibri" w:eastAsia="Calibri" w:hAnsi="Calibri"/>
                <w:sz w:val="14"/>
                <w:szCs w:val="14"/>
                <w:b w:val="1"/>
                <w:bCs w:val="1"/>
                <w:color w:val="auto"/>
              </w:rPr>
              <w:t>Awards:</w:t>
            </w:r>
          </w:p>
        </w:tc>
      </w:tr>
      <w:tr>
        <w:trPr>
          <w:trHeight w:val="175"/>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ind w:right="208"/>
              <w:spacing w:after="0"/>
              <w:rPr>
                <w:sz w:val="20"/>
                <w:szCs w:val="20"/>
                <w:color w:val="auto"/>
              </w:rPr>
            </w:pPr>
            <w:r>
              <w:rPr>
                <w:rFonts w:ascii="Calibri" w:cs="Calibri" w:eastAsia="Calibri" w:hAnsi="Calibri"/>
                <w:sz w:val="14"/>
                <w:szCs w:val="14"/>
                <w:b w:val="1"/>
                <w:bCs w:val="1"/>
                <w:color w:val="auto"/>
              </w:rPr>
              <w:t>Awards:</w:t>
            </w:r>
          </w:p>
        </w:tc>
        <w:tc>
          <w:tcPr>
            <w:tcW w:w="144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Market or Payout</w:t>
            </w:r>
          </w:p>
        </w:tc>
      </w:tr>
      <w:tr>
        <w:trPr>
          <w:trHeight w:val="176"/>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jc w:val="center"/>
              <w:ind w:left="8"/>
              <w:spacing w:after="0"/>
              <w:rPr>
                <w:sz w:val="20"/>
                <w:szCs w:val="20"/>
                <w:color w:val="auto"/>
              </w:rPr>
            </w:pPr>
            <w:r>
              <w:rPr>
                <w:rFonts w:ascii="Calibri" w:cs="Calibri" w:eastAsia="Calibri" w:hAnsi="Calibri"/>
                <w:sz w:val="14"/>
                <w:szCs w:val="14"/>
                <w:b w:val="1"/>
                <w:bCs w:val="1"/>
                <w:color w:val="auto"/>
              </w:rPr>
              <w:t>Number of</w:t>
            </w:r>
          </w:p>
        </w:tc>
        <w:tc>
          <w:tcPr>
            <w:tcW w:w="1660" w:type="dxa"/>
            <w:vAlign w:val="bottom"/>
          </w:tcPr>
          <w:p>
            <w:pPr>
              <w:jc w:val="center"/>
              <w:ind w:left="8"/>
              <w:spacing w:after="0"/>
              <w:rPr>
                <w:sz w:val="20"/>
                <w:szCs w:val="20"/>
                <w:color w:val="auto"/>
              </w:rPr>
            </w:pPr>
            <w:r>
              <w:rPr>
                <w:rFonts w:ascii="Calibri" w:cs="Calibri" w:eastAsia="Calibri" w:hAnsi="Calibri"/>
                <w:sz w:val="14"/>
                <w:szCs w:val="14"/>
                <w:b w:val="1"/>
                <w:bCs w:val="1"/>
                <w:color w:val="auto"/>
              </w:rPr>
              <w:t>Market Value of</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ind w:right="228"/>
              <w:spacing w:after="0"/>
              <w:rPr>
                <w:sz w:val="20"/>
                <w:szCs w:val="20"/>
                <w:color w:val="auto"/>
              </w:rPr>
            </w:pPr>
            <w:r>
              <w:rPr>
                <w:rFonts w:ascii="Calibri" w:cs="Calibri" w:eastAsia="Calibri" w:hAnsi="Calibri"/>
                <w:sz w:val="14"/>
                <w:szCs w:val="14"/>
                <w:b w:val="1"/>
                <w:bCs w:val="1"/>
                <w:color w:val="auto"/>
              </w:rPr>
              <w:t>Number of Unearned</w:t>
            </w:r>
          </w:p>
        </w:tc>
        <w:tc>
          <w:tcPr>
            <w:tcW w:w="1440" w:type="dxa"/>
            <w:vAlign w:val="bottom"/>
          </w:tcPr>
          <w:p>
            <w:pPr>
              <w:jc w:val="center"/>
              <w:ind w:right="88"/>
              <w:spacing w:after="0"/>
              <w:rPr>
                <w:sz w:val="20"/>
                <w:szCs w:val="20"/>
                <w:color w:val="auto"/>
              </w:rPr>
            </w:pPr>
            <w:r>
              <w:rPr>
                <w:rFonts w:ascii="Calibri" w:cs="Calibri" w:eastAsia="Calibri" w:hAnsi="Calibri"/>
                <w:sz w:val="14"/>
                <w:szCs w:val="14"/>
                <w:b w:val="1"/>
                <w:bCs w:val="1"/>
                <w:color w:val="auto"/>
              </w:rPr>
              <w:t>Value of Unearned</w:t>
            </w:r>
          </w:p>
        </w:tc>
      </w:tr>
      <w:tr>
        <w:trPr>
          <w:trHeight w:val="176"/>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alibri" w:cs="Calibri" w:eastAsia="Calibri" w:hAnsi="Calibri"/>
                <w:sz w:val="14"/>
                <w:szCs w:val="14"/>
                <w:b w:val="1"/>
                <w:bCs w:val="1"/>
                <w:color w:val="auto"/>
              </w:rPr>
              <w:t>Shares or Units</w:t>
            </w:r>
          </w:p>
        </w:tc>
        <w:tc>
          <w:tcPr>
            <w:tcW w:w="1660" w:type="dxa"/>
            <w:vAlign w:val="bottom"/>
          </w:tcPr>
          <w:p>
            <w:pPr>
              <w:jc w:val="center"/>
              <w:ind w:left="8"/>
              <w:spacing w:after="0"/>
              <w:rPr>
                <w:sz w:val="20"/>
                <w:szCs w:val="20"/>
                <w:color w:val="auto"/>
              </w:rPr>
            </w:pPr>
            <w:r>
              <w:rPr>
                <w:rFonts w:ascii="Calibri" w:cs="Calibri" w:eastAsia="Calibri" w:hAnsi="Calibri"/>
                <w:sz w:val="14"/>
                <w:szCs w:val="14"/>
                <w:b w:val="1"/>
                <w:bCs w:val="1"/>
                <w:color w:val="auto"/>
              </w:rPr>
              <w:t>Shares or Units of</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ind w:right="248"/>
              <w:spacing w:after="0"/>
              <w:rPr>
                <w:sz w:val="20"/>
                <w:szCs w:val="20"/>
                <w:color w:val="auto"/>
              </w:rPr>
            </w:pPr>
            <w:r>
              <w:rPr>
                <w:rFonts w:ascii="Calibri" w:cs="Calibri" w:eastAsia="Calibri" w:hAnsi="Calibri"/>
                <w:sz w:val="14"/>
                <w:szCs w:val="14"/>
                <w:b w:val="1"/>
                <w:bCs w:val="1"/>
                <w:color w:val="auto"/>
              </w:rPr>
              <w:t>Shares, Units or</w:t>
            </w:r>
          </w:p>
        </w:tc>
        <w:tc>
          <w:tcPr>
            <w:tcW w:w="144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Shares, Units, or</w:t>
            </w:r>
          </w:p>
        </w:tc>
      </w:tr>
      <w:tr>
        <w:trPr>
          <w:trHeight w:val="175"/>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alibri" w:cs="Calibri" w:eastAsia="Calibri" w:hAnsi="Calibri"/>
                <w:sz w:val="14"/>
                <w:szCs w:val="14"/>
                <w:b w:val="1"/>
                <w:bCs w:val="1"/>
                <w:color w:val="auto"/>
              </w:rPr>
              <w:t>of Stock That</w:t>
            </w:r>
          </w:p>
        </w:tc>
        <w:tc>
          <w:tcPr>
            <w:tcW w:w="1660" w:type="dxa"/>
            <w:vAlign w:val="bottom"/>
          </w:tcPr>
          <w:p>
            <w:pPr>
              <w:jc w:val="center"/>
              <w:ind w:left="8"/>
              <w:spacing w:after="0"/>
              <w:rPr>
                <w:sz w:val="20"/>
                <w:szCs w:val="20"/>
                <w:color w:val="auto"/>
              </w:rPr>
            </w:pPr>
            <w:r>
              <w:rPr>
                <w:rFonts w:ascii="Calibri" w:cs="Calibri" w:eastAsia="Calibri" w:hAnsi="Calibri"/>
                <w:sz w:val="14"/>
                <w:szCs w:val="14"/>
                <w:b w:val="1"/>
                <w:bCs w:val="1"/>
                <w:color w:val="auto"/>
              </w:rPr>
              <w:t>Stock That Have Not</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ind w:right="248"/>
              <w:spacing w:after="0"/>
              <w:rPr>
                <w:sz w:val="20"/>
                <w:szCs w:val="20"/>
                <w:color w:val="auto"/>
              </w:rPr>
            </w:pPr>
            <w:r>
              <w:rPr>
                <w:rFonts w:ascii="Calibri" w:cs="Calibri" w:eastAsia="Calibri" w:hAnsi="Calibri"/>
                <w:sz w:val="14"/>
                <w:szCs w:val="14"/>
                <w:b w:val="1"/>
                <w:bCs w:val="1"/>
                <w:color w:val="auto"/>
              </w:rPr>
              <w:t>Other Rights That</w:t>
            </w:r>
          </w:p>
        </w:tc>
        <w:tc>
          <w:tcPr>
            <w:tcW w:w="144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Other Rights That</w:t>
            </w:r>
          </w:p>
        </w:tc>
      </w:tr>
      <w:tr>
        <w:trPr>
          <w:trHeight w:val="159"/>
        </w:trPr>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60" w:type="dxa"/>
            <w:vAlign w:val="bottom"/>
          </w:tcPr>
          <w:p>
            <w:pPr>
              <w:jc w:val="center"/>
              <w:ind w:left="48"/>
              <w:spacing w:after="0" w:line="159" w:lineRule="exact"/>
              <w:rPr>
                <w:sz w:val="20"/>
                <w:szCs w:val="20"/>
                <w:color w:val="auto"/>
              </w:rPr>
            </w:pPr>
            <w:r>
              <w:rPr>
                <w:rFonts w:ascii="Calibri" w:cs="Calibri" w:eastAsia="Calibri" w:hAnsi="Calibri"/>
                <w:sz w:val="14"/>
                <w:szCs w:val="14"/>
                <w:b w:val="1"/>
                <w:bCs w:val="1"/>
                <w:color w:val="auto"/>
              </w:rPr>
              <w:t>Have Not Vested</w:t>
            </w:r>
          </w:p>
        </w:tc>
        <w:tc>
          <w:tcPr>
            <w:tcW w:w="1660" w:type="dxa"/>
            <w:vAlign w:val="bottom"/>
          </w:tcPr>
          <w:p>
            <w:pPr>
              <w:jc w:val="center"/>
              <w:ind w:left="48"/>
              <w:spacing w:after="0" w:line="159" w:lineRule="exact"/>
              <w:rPr>
                <w:sz w:val="20"/>
                <w:szCs w:val="20"/>
                <w:color w:val="auto"/>
              </w:rPr>
            </w:pPr>
            <w:r>
              <w:rPr>
                <w:rFonts w:ascii="Calibri" w:cs="Calibri" w:eastAsia="Calibri" w:hAnsi="Calibri"/>
                <w:sz w:val="14"/>
                <w:szCs w:val="14"/>
                <w:b w:val="1"/>
                <w:bCs w:val="1"/>
                <w:color w:val="auto"/>
              </w:rPr>
              <w:t>Vested</w:t>
            </w: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208"/>
              <w:spacing w:after="0" w:line="159" w:lineRule="exact"/>
              <w:rPr>
                <w:sz w:val="20"/>
                <w:szCs w:val="20"/>
                <w:color w:val="auto"/>
              </w:rPr>
            </w:pPr>
            <w:r>
              <w:rPr>
                <w:rFonts w:ascii="Calibri" w:cs="Calibri" w:eastAsia="Calibri" w:hAnsi="Calibri"/>
                <w:sz w:val="14"/>
                <w:szCs w:val="14"/>
                <w:b w:val="1"/>
                <w:bCs w:val="1"/>
                <w:color w:val="auto"/>
              </w:rPr>
              <w:t>Have Not Vested</w:t>
            </w:r>
          </w:p>
        </w:tc>
        <w:tc>
          <w:tcPr>
            <w:tcW w:w="1440" w:type="dxa"/>
            <w:vAlign w:val="bottom"/>
          </w:tcPr>
          <w:p>
            <w:pPr>
              <w:jc w:val="center"/>
              <w:ind w:right="48"/>
              <w:spacing w:after="0" w:line="159" w:lineRule="exact"/>
              <w:rPr>
                <w:sz w:val="20"/>
                <w:szCs w:val="20"/>
                <w:color w:val="auto"/>
              </w:rPr>
            </w:pPr>
            <w:r>
              <w:rPr>
                <w:rFonts w:ascii="Calibri" w:cs="Calibri" w:eastAsia="Calibri" w:hAnsi="Calibri"/>
                <w:sz w:val="14"/>
                <w:szCs w:val="14"/>
                <w:b w:val="1"/>
                <w:bCs w:val="1"/>
                <w:color w:val="auto"/>
              </w:rPr>
              <w:t>Have Not Vested</w:t>
            </w:r>
          </w:p>
        </w:tc>
      </w:tr>
      <w:tr>
        <w:trPr>
          <w:trHeight w:val="197"/>
        </w:trPr>
        <w:tc>
          <w:tcPr>
            <w:tcW w:w="1840" w:type="dxa"/>
            <w:vAlign w:val="bottom"/>
          </w:tcPr>
          <w:p>
            <w:pPr>
              <w:ind w:left="20"/>
              <w:spacing w:after="0"/>
              <w:rPr>
                <w:sz w:val="20"/>
                <w:szCs w:val="20"/>
                <w:color w:val="auto"/>
              </w:rPr>
            </w:pPr>
            <w:r>
              <w:rPr>
                <w:rFonts w:ascii="Calibri" w:cs="Calibri" w:eastAsia="Calibri" w:hAnsi="Calibri"/>
                <w:sz w:val="14"/>
                <w:szCs w:val="14"/>
                <w:b w:val="1"/>
                <w:bCs w:val="1"/>
                <w:color w:val="auto"/>
              </w:rPr>
              <w:t>Name</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jc w:val="center"/>
              <w:ind w:left="28"/>
              <w:spacing w:after="0" w:line="198" w:lineRule="exact"/>
              <w:rPr>
                <w:sz w:val="20"/>
                <w:szCs w:val="20"/>
                <w:color w:val="auto"/>
              </w:rPr>
            </w:pPr>
            <w:r>
              <w:rPr>
                <w:rFonts w:ascii="Calibri" w:cs="Calibri" w:eastAsia="Calibri" w:hAnsi="Calibri"/>
                <w:sz w:val="14"/>
                <w:szCs w:val="14"/>
                <w:b w:val="1"/>
                <w:bCs w:val="1"/>
                <w:color w:val="auto"/>
                <w:w w:val="90"/>
              </w:rPr>
              <w:t xml:space="preserve">(#) </w:t>
            </w:r>
            <w:r>
              <w:rPr>
                <w:rFonts w:ascii="Calibri" w:cs="Calibri" w:eastAsia="Calibri" w:hAnsi="Calibri"/>
                <w:sz w:val="19"/>
                <w:szCs w:val="19"/>
                <w:b w:val="1"/>
                <w:bCs w:val="1"/>
                <w:color w:val="auto"/>
                <w:w w:val="90"/>
                <w:vertAlign w:val="superscript"/>
              </w:rPr>
              <w:t>(1)</w:t>
            </w:r>
          </w:p>
        </w:tc>
        <w:tc>
          <w:tcPr>
            <w:tcW w:w="166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gridSpan w:val="2"/>
          </w:tcPr>
          <w:p>
            <w:pPr>
              <w:jc w:val="center"/>
              <w:ind w:right="128"/>
              <w:spacing w:after="0" w:line="198" w:lineRule="exact"/>
              <w:rPr>
                <w:sz w:val="20"/>
                <w:szCs w:val="20"/>
                <w:color w:val="auto"/>
              </w:rPr>
            </w:pPr>
            <w:r>
              <w:rPr>
                <w:rFonts w:ascii="Calibri" w:cs="Calibri" w:eastAsia="Calibri" w:hAnsi="Calibri"/>
                <w:sz w:val="14"/>
                <w:szCs w:val="14"/>
                <w:b w:val="1"/>
                <w:bCs w:val="1"/>
                <w:color w:val="auto"/>
                <w:w w:val="90"/>
              </w:rPr>
              <w:t xml:space="preserve">(#) </w:t>
            </w:r>
            <w:r>
              <w:rPr>
                <w:rFonts w:ascii="Calibri" w:cs="Calibri" w:eastAsia="Calibri" w:hAnsi="Calibri"/>
                <w:sz w:val="19"/>
                <w:szCs w:val="19"/>
                <w:b w:val="1"/>
                <w:bCs w:val="1"/>
                <w:color w:val="auto"/>
                <w:w w:val="90"/>
                <w:vertAlign w:val="superscript"/>
              </w:rPr>
              <w:t>(1)</w:t>
            </w:r>
          </w:p>
        </w:tc>
        <w:tc>
          <w:tcPr>
            <w:tcW w:w="1440" w:type="dxa"/>
            <w:vAlign w:val="bottom"/>
          </w:tcPr>
          <w:p>
            <w:pPr>
              <w:jc w:val="center"/>
              <w:ind w:right="88"/>
              <w:spacing w:after="0"/>
              <w:rPr>
                <w:sz w:val="20"/>
                <w:szCs w:val="20"/>
                <w:color w:val="auto"/>
              </w:rPr>
            </w:pPr>
            <w:r>
              <w:rPr>
                <w:rFonts w:ascii="Calibri" w:cs="Calibri" w:eastAsia="Calibri" w:hAnsi="Calibri"/>
                <w:sz w:val="14"/>
                <w:szCs w:val="14"/>
                <w:b w:val="1"/>
                <w:bCs w:val="1"/>
                <w:color w:val="auto"/>
              </w:rPr>
              <w:t>($)</w:t>
            </w:r>
          </w:p>
        </w:tc>
      </w:tr>
      <w:tr>
        <w:trPr>
          <w:trHeight w:val="170"/>
        </w:trPr>
        <w:tc>
          <w:tcPr>
            <w:tcW w:w="1840" w:type="dxa"/>
            <w:vAlign w:val="bottom"/>
          </w:tcPr>
          <w:p>
            <w:pPr>
              <w:ind w:left="20"/>
              <w:spacing w:after="0"/>
              <w:rPr>
                <w:sz w:val="20"/>
                <w:szCs w:val="20"/>
                <w:color w:val="auto"/>
              </w:rPr>
            </w:pPr>
            <w:r>
              <w:rPr>
                <w:rFonts w:ascii="Calibri" w:cs="Calibri" w:eastAsia="Calibri" w:hAnsi="Calibri"/>
                <w:sz w:val="14"/>
                <w:szCs w:val="14"/>
                <w:b w:val="1"/>
                <w:bCs w:val="1"/>
                <w:color w:val="auto"/>
              </w:rPr>
              <w:t>(a)</w:t>
            </w:r>
          </w:p>
        </w:tc>
        <w:tc>
          <w:tcPr>
            <w:tcW w:w="320" w:type="dxa"/>
            <w:vAlign w:val="bottom"/>
          </w:tcPr>
          <w:p>
            <w:pPr>
              <w:spacing w:after="0"/>
              <w:rPr>
                <w:sz w:val="14"/>
                <w:szCs w:val="14"/>
                <w:color w:val="auto"/>
              </w:rPr>
            </w:pPr>
          </w:p>
        </w:tc>
        <w:tc>
          <w:tcPr>
            <w:tcW w:w="1380" w:type="dxa"/>
            <w:vAlign w:val="bottom"/>
          </w:tcPr>
          <w:p>
            <w:pPr>
              <w:ind w:left="360"/>
              <w:spacing w:after="0"/>
              <w:rPr>
                <w:sz w:val="20"/>
                <w:szCs w:val="20"/>
                <w:color w:val="auto"/>
              </w:rPr>
            </w:pPr>
            <w:r>
              <w:rPr>
                <w:rFonts w:ascii="Calibri" w:cs="Calibri" w:eastAsia="Calibri" w:hAnsi="Calibri"/>
                <w:sz w:val="14"/>
                <w:szCs w:val="14"/>
                <w:b w:val="1"/>
                <w:bCs w:val="1"/>
                <w:color w:val="auto"/>
              </w:rPr>
              <w:t>Grant Date</w:t>
            </w:r>
          </w:p>
        </w:tc>
        <w:tc>
          <w:tcPr>
            <w:tcW w:w="1160" w:type="dxa"/>
            <w:vAlign w:val="bottom"/>
          </w:tcPr>
          <w:p>
            <w:pPr>
              <w:jc w:val="center"/>
              <w:ind w:left="48"/>
              <w:spacing w:after="0"/>
              <w:rPr>
                <w:sz w:val="20"/>
                <w:szCs w:val="20"/>
                <w:color w:val="auto"/>
              </w:rPr>
            </w:pPr>
            <w:r>
              <w:rPr>
                <w:rFonts w:ascii="Calibri" w:cs="Calibri" w:eastAsia="Calibri" w:hAnsi="Calibri"/>
                <w:sz w:val="14"/>
                <w:szCs w:val="14"/>
                <w:b w:val="1"/>
                <w:bCs w:val="1"/>
                <w:color w:val="auto"/>
              </w:rPr>
              <w:t>(g)</w:t>
            </w:r>
          </w:p>
        </w:tc>
        <w:tc>
          <w:tcPr>
            <w:tcW w:w="1660" w:type="dxa"/>
            <w:vAlign w:val="bottom"/>
          </w:tcPr>
          <w:p>
            <w:pPr>
              <w:jc w:val="center"/>
              <w:ind w:left="28"/>
              <w:spacing w:after="0"/>
              <w:rPr>
                <w:sz w:val="20"/>
                <w:szCs w:val="20"/>
                <w:color w:val="auto"/>
              </w:rPr>
            </w:pPr>
            <w:r>
              <w:rPr>
                <w:rFonts w:ascii="Calibri" w:cs="Calibri" w:eastAsia="Calibri" w:hAnsi="Calibri"/>
                <w:sz w:val="14"/>
                <w:szCs w:val="14"/>
                <w:b w:val="1"/>
                <w:bCs w:val="1"/>
                <w:color w:val="auto"/>
                <w:w w:val="98"/>
              </w:rPr>
              <w:t>(h)</w:t>
            </w:r>
          </w:p>
        </w:tc>
        <w:tc>
          <w:tcPr>
            <w:tcW w:w="380" w:type="dxa"/>
            <w:vAlign w:val="bottom"/>
          </w:tcPr>
          <w:p>
            <w:pPr>
              <w:spacing w:after="0"/>
              <w:rPr>
                <w:sz w:val="14"/>
                <w:szCs w:val="14"/>
                <w:color w:val="auto"/>
              </w:rPr>
            </w:pPr>
          </w:p>
        </w:tc>
        <w:tc>
          <w:tcPr>
            <w:tcW w:w="1360" w:type="dxa"/>
            <w:vAlign w:val="bottom"/>
          </w:tcPr>
          <w:p>
            <w:pPr>
              <w:ind w:left="360"/>
              <w:spacing w:after="0"/>
              <w:rPr>
                <w:sz w:val="20"/>
                <w:szCs w:val="20"/>
                <w:color w:val="auto"/>
              </w:rPr>
            </w:pPr>
            <w:r>
              <w:rPr>
                <w:rFonts w:ascii="Calibri" w:cs="Calibri" w:eastAsia="Calibri" w:hAnsi="Calibri"/>
                <w:sz w:val="14"/>
                <w:szCs w:val="14"/>
                <w:b w:val="1"/>
                <w:bCs w:val="1"/>
                <w:color w:val="auto"/>
              </w:rPr>
              <w:t>Grant Date</w:t>
            </w:r>
          </w:p>
        </w:tc>
        <w:tc>
          <w:tcPr>
            <w:tcW w:w="120" w:type="dxa"/>
            <w:vAlign w:val="bottom"/>
          </w:tcPr>
          <w:p>
            <w:pPr>
              <w:spacing w:after="0"/>
              <w:rPr>
                <w:sz w:val="14"/>
                <w:szCs w:val="14"/>
                <w:color w:val="auto"/>
              </w:rPr>
            </w:pPr>
          </w:p>
        </w:tc>
        <w:tc>
          <w:tcPr>
            <w:tcW w:w="1580" w:type="dxa"/>
            <w:vAlign w:val="bottom"/>
          </w:tcPr>
          <w:p>
            <w:pPr>
              <w:jc w:val="center"/>
              <w:ind w:right="208"/>
              <w:spacing w:after="0"/>
              <w:rPr>
                <w:sz w:val="20"/>
                <w:szCs w:val="20"/>
                <w:color w:val="auto"/>
              </w:rPr>
            </w:pPr>
            <w:r>
              <w:rPr>
                <w:rFonts w:ascii="Calibri" w:cs="Calibri" w:eastAsia="Calibri" w:hAnsi="Calibri"/>
                <w:sz w:val="14"/>
                <w:szCs w:val="14"/>
                <w:b w:val="1"/>
                <w:bCs w:val="1"/>
                <w:color w:val="auto"/>
              </w:rPr>
              <w:t>(i)</w:t>
            </w:r>
          </w:p>
        </w:tc>
        <w:tc>
          <w:tcPr>
            <w:tcW w:w="1440" w:type="dxa"/>
            <w:vAlign w:val="bottom"/>
          </w:tcPr>
          <w:p>
            <w:pPr>
              <w:jc w:val="center"/>
              <w:ind w:right="48"/>
              <w:spacing w:after="0"/>
              <w:rPr>
                <w:sz w:val="20"/>
                <w:szCs w:val="20"/>
                <w:color w:val="auto"/>
              </w:rPr>
            </w:pPr>
            <w:r>
              <w:rPr>
                <w:rFonts w:ascii="Calibri" w:cs="Calibri" w:eastAsia="Calibri" w:hAnsi="Calibri"/>
                <w:sz w:val="14"/>
                <w:szCs w:val="14"/>
                <w:b w:val="1"/>
                <w:bCs w:val="1"/>
                <w:color w:val="auto"/>
                <w:w w:val="97"/>
              </w:rPr>
              <w:t>(j)</w:t>
            </w:r>
          </w:p>
        </w:tc>
      </w:tr>
      <w:tr>
        <w:trPr>
          <w:trHeight w:val="40"/>
        </w:trPr>
        <w:tc>
          <w:tcPr>
            <w:tcW w:w="1840" w:type="dxa"/>
            <w:vAlign w:val="bottom"/>
            <w:tcBorders>
              <w:bottom w:val="single" w:sz="8" w:color="005CA9"/>
            </w:tcBorders>
          </w:tcPr>
          <w:p>
            <w:pPr>
              <w:spacing w:after="0"/>
              <w:rPr>
                <w:sz w:val="3"/>
                <w:szCs w:val="3"/>
                <w:color w:val="auto"/>
              </w:rPr>
            </w:pPr>
          </w:p>
        </w:tc>
        <w:tc>
          <w:tcPr>
            <w:tcW w:w="320" w:type="dxa"/>
            <w:vAlign w:val="bottom"/>
            <w:tcBorders>
              <w:bottom w:val="single" w:sz="8" w:color="005CA9"/>
            </w:tcBorders>
          </w:tcPr>
          <w:p>
            <w:pPr>
              <w:spacing w:after="0"/>
              <w:rPr>
                <w:sz w:val="3"/>
                <w:szCs w:val="3"/>
                <w:color w:val="auto"/>
              </w:rPr>
            </w:pPr>
          </w:p>
        </w:tc>
        <w:tc>
          <w:tcPr>
            <w:tcW w:w="1380" w:type="dxa"/>
            <w:vAlign w:val="bottom"/>
            <w:tcBorders>
              <w:bottom w:val="single" w:sz="8" w:color="005CA9"/>
            </w:tcBorders>
          </w:tcPr>
          <w:p>
            <w:pPr>
              <w:spacing w:after="0"/>
              <w:rPr>
                <w:sz w:val="3"/>
                <w:szCs w:val="3"/>
                <w:color w:val="auto"/>
              </w:rPr>
            </w:pPr>
          </w:p>
        </w:tc>
        <w:tc>
          <w:tcPr>
            <w:tcW w:w="1160" w:type="dxa"/>
            <w:vAlign w:val="bottom"/>
            <w:tcBorders>
              <w:bottom w:val="single" w:sz="8" w:color="005CA9"/>
            </w:tcBorders>
          </w:tcPr>
          <w:p>
            <w:pPr>
              <w:spacing w:after="0"/>
              <w:rPr>
                <w:sz w:val="3"/>
                <w:szCs w:val="3"/>
                <w:color w:val="auto"/>
              </w:rPr>
            </w:pPr>
          </w:p>
        </w:tc>
        <w:tc>
          <w:tcPr>
            <w:tcW w:w="1660" w:type="dxa"/>
            <w:vAlign w:val="bottom"/>
            <w:tcBorders>
              <w:bottom w:val="single" w:sz="8" w:color="005CA9"/>
            </w:tcBorders>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tcBorders>
              <w:bottom w:val="single" w:sz="8" w:color="005CA9"/>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Borders>
              <w:bottom w:val="single" w:sz="8" w:color="005CA9"/>
            </w:tcBorders>
          </w:tcPr>
          <w:p>
            <w:pPr>
              <w:spacing w:after="0"/>
              <w:rPr>
                <w:sz w:val="3"/>
                <w:szCs w:val="3"/>
                <w:color w:val="auto"/>
              </w:rPr>
            </w:pPr>
          </w:p>
        </w:tc>
        <w:tc>
          <w:tcPr>
            <w:tcW w:w="1440" w:type="dxa"/>
            <w:vAlign w:val="bottom"/>
            <w:tcBorders>
              <w:bottom w:val="single" w:sz="8" w:color="005CA9"/>
            </w:tcBorders>
          </w:tcPr>
          <w:p>
            <w:pPr>
              <w:spacing w:after="0"/>
              <w:rPr>
                <w:sz w:val="3"/>
                <w:szCs w:val="3"/>
                <w:color w:val="auto"/>
              </w:rPr>
            </w:pPr>
          </w:p>
        </w:tc>
      </w:tr>
      <w:tr>
        <w:trPr>
          <w:trHeight w:val="170"/>
        </w:trPr>
        <w:tc>
          <w:tcPr>
            <w:tcW w:w="18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Dr. Keh-Shew Lu</w:t>
            </w:r>
          </w:p>
        </w:tc>
        <w:tc>
          <w:tcPr>
            <w:tcW w:w="1700" w:type="dxa"/>
            <w:vAlign w:val="bottom"/>
            <w:gridSpan w:val="2"/>
            <w:shd w:val="clear" w:color="auto" w:fill="CFF0FC"/>
          </w:tcPr>
          <w:p>
            <w:pPr>
              <w:jc w:val="center"/>
              <w:ind w:left="248"/>
              <w:spacing w:after="0"/>
              <w:rPr>
                <w:sz w:val="20"/>
                <w:szCs w:val="20"/>
                <w:color w:val="auto"/>
              </w:rPr>
            </w:pPr>
            <w:r>
              <w:rPr>
                <w:rFonts w:ascii="Calibri" w:cs="Calibri" w:eastAsia="Calibri" w:hAnsi="Calibri"/>
                <w:sz w:val="14"/>
                <w:szCs w:val="14"/>
                <w:color w:val="auto"/>
              </w:rPr>
              <w:t>2/8/2021</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8,000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493,360</w:t>
            </w:r>
          </w:p>
        </w:tc>
        <w:tc>
          <w:tcPr>
            <w:tcW w:w="1740" w:type="dxa"/>
            <w:vAlign w:val="bottom"/>
            <w:gridSpan w:val="2"/>
            <w:shd w:val="clear" w:color="auto" w:fill="CFF0FC"/>
          </w:tcPr>
          <w:p>
            <w:pPr>
              <w:jc w:val="center"/>
              <w:ind w:left="308"/>
              <w:spacing w:after="0"/>
              <w:rPr>
                <w:sz w:val="20"/>
                <w:szCs w:val="20"/>
                <w:color w:val="auto"/>
              </w:rPr>
            </w:pPr>
            <w:r>
              <w:rPr>
                <w:rFonts w:ascii="Calibri" w:cs="Calibri" w:eastAsia="Calibri" w:hAnsi="Calibri"/>
                <w:sz w:val="14"/>
                <w:szCs w:val="14"/>
                <w:color w:val="auto"/>
              </w:rPr>
              <w:t>2/1/2022</w:t>
            </w:r>
          </w:p>
        </w:tc>
        <w:tc>
          <w:tcPr>
            <w:tcW w:w="170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64,000</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3,946,880</w:t>
            </w:r>
          </w:p>
        </w:tc>
      </w:tr>
      <w:tr>
        <w:trPr>
          <w:trHeight w:val="170"/>
        </w:trPr>
        <w:tc>
          <w:tcPr>
            <w:tcW w:w="184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center"/>
              <w:ind w:left="248"/>
              <w:spacing w:after="0"/>
              <w:rPr>
                <w:sz w:val="20"/>
                <w:szCs w:val="20"/>
                <w:color w:val="auto"/>
              </w:rPr>
            </w:pPr>
            <w:r>
              <w:rPr>
                <w:rFonts w:ascii="Calibri" w:cs="Calibri" w:eastAsia="Calibri" w:hAnsi="Calibri"/>
                <w:sz w:val="14"/>
                <w:szCs w:val="14"/>
                <w:color w:val="auto"/>
              </w:rPr>
              <w:t>5/24/2021</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1,250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77,088</w:t>
            </w:r>
          </w:p>
        </w:tc>
        <w:tc>
          <w:tcPr>
            <w:tcW w:w="1740" w:type="dxa"/>
            <w:vAlign w:val="bottom"/>
            <w:gridSpan w:val="2"/>
            <w:shd w:val="clear" w:color="auto" w:fill="CFF0FC"/>
          </w:tcPr>
          <w:p>
            <w:pPr>
              <w:jc w:val="center"/>
              <w:ind w:left="308"/>
              <w:spacing w:after="0"/>
              <w:rPr>
                <w:sz w:val="20"/>
                <w:szCs w:val="20"/>
                <w:color w:val="auto"/>
              </w:rPr>
            </w:pPr>
            <w:r>
              <w:rPr>
                <w:rFonts w:ascii="Calibri" w:cs="Calibri" w:eastAsia="Calibri" w:hAnsi="Calibri"/>
                <w:sz w:val="14"/>
                <w:szCs w:val="14"/>
                <w:color w:val="auto"/>
              </w:rPr>
              <w:t>2/1/2023</w:t>
            </w:r>
          </w:p>
        </w:tc>
        <w:tc>
          <w:tcPr>
            <w:tcW w:w="170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84,000</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5,180,280</w:t>
            </w:r>
          </w:p>
        </w:tc>
      </w:tr>
      <w:tr>
        <w:trPr>
          <w:trHeight w:val="170"/>
        </w:trPr>
        <w:tc>
          <w:tcPr>
            <w:tcW w:w="18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2/1/2022</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16,000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986,720</w:t>
            </w:r>
          </w:p>
        </w:tc>
        <w:tc>
          <w:tcPr>
            <w:tcW w:w="1740" w:type="dxa"/>
            <w:vAlign w:val="bottom"/>
            <w:gridSpan w:val="2"/>
            <w:shd w:val="clear" w:color="auto" w:fill="CFF0FC"/>
          </w:tcPr>
          <w:p>
            <w:pPr>
              <w:jc w:val="center"/>
              <w:ind w:left="308"/>
              <w:spacing w:after="0"/>
              <w:rPr>
                <w:sz w:val="20"/>
                <w:szCs w:val="20"/>
                <w:color w:val="auto"/>
              </w:rPr>
            </w:pPr>
            <w:r>
              <w:rPr>
                <w:rFonts w:ascii="Calibri" w:cs="Calibri" w:eastAsia="Calibri" w:hAnsi="Calibri"/>
                <w:sz w:val="14"/>
                <w:szCs w:val="14"/>
                <w:color w:val="auto"/>
              </w:rPr>
              <w:t>2/1/2024</w:t>
            </w:r>
          </w:p>
        </w:tc>
        <w:tc>
          <w:tcPr>
            <w:tcW w:w="170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50,000</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3,083,500</w:t>
            </w:r>
          </w:p>
        </w:tc>
      </w:tr>
      <w:tr>
        <w:trPr>
          <w:trHeight w:val="172"/>
        </w:trPr>
        <w:tc>
          <w:tcPr>
            <w:tcW w:w="18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5/26/2022</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2,500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154,175</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4"/>
              </w:rPr>
              <w:t>—</w:t>
            </w: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176"/>
        </w:trPr>
        <w:tc>
          <w:tcPr>
            <w:tcW w:w="18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8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2/1/2023</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31,500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1,942,605</w:t>
            </w: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4"/>
              </w:rPr>
              <w:t>—</w:t>
            </w: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175"/>
        </w:trPr>
        <w:tc>
          <w:tcPr>
            <w:tcW w:w="18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8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5/24/2023</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4,500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277,515</w:t>
            </w: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4"/>
              </w:rPr>
              <w:t>—</w:t>
            </w: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176"/>
        </w:trPr>
        <w:tc>
          <w:tcPr>
            <w:tcW w:w="18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8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2/1/2024</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25,000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1,541,750</w:t>
            </w: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4"/>
              </w:rPr>
              <w:t>—</w:t>
            </w: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175"/>
        </w:trPr>
        <w:tc>
          <w:tcPr>
            <w:tcW w:w="18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shd w:val="clear" w:color="auto" w:fill="CFF0FC"/>
          </w:tcPr>
          <w:p>
            <w:pPr>
              <w:jc w:val="center"/>
              <w:spacing w:after="0"/>
              <w:rPr>
                <w:sz w:val="20"/>
                <w:szCs w:val="20"/>
                <w:color w:val="auto"/>
              </w:rPr>
            </w:pPr>
            <w:r>
              <w:rPr>
                <w:rFonts w:ascii="Calibri" w:cs="Calibri" w:eastAsia="Calibri" w:hAnsi="Calibri"/>
                <w:sz w:val="14"/>
                <w:szCs w:val="14"/>
                <w:color w:val="auto"/>
              </w:rPr>
              <w:t>5/30/2024</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6,000</w:t>
            </w:r>
          </w:p>
        </w:tc>
        <w:tc>
          <w:tcPr>
            <w:tcW w:w="166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370,020</w:t>
            </w:r>
          </w:p>
        </w:tc>
        <w:tc>
          <w:tcPr>
            <w:tcW w:w="38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jc w:val="center"/>
              <w:spacing w:after="0"/>
              <w:rPr>
                <w:sz w:val="20"/>
                <w:szCs w:val="20"/>
                <w:color w:val="auto"/>
              </w:rPr>
            </w:pPr>
            <w:r>
              <w:rPr>
                <w:rFonts w:ascii="Calibri" w:cs="Calibri" w:eastAsia="Calibri" w:hAnsi="Calibri"/>
                <w:sz w:val="14"/>
                <w:szCs w:val="14"/>
                <w:color w:val="auto"/>
                <w:w w:val="94"/>
              </w:rPr>
              <w:t>—</w:t>
            </w:r>
          </w:p>
        </w:tc>
        <w:tc>
          <w:tcPr>
            <w:tcW w:w="12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bottom w:val="single" w:sz="8" w:color="CFF0FC"/>
            </w:tcBorders>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44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161"/>
        </w:trPr>
        <w:tc>
          <w:tcPr>
            <w:tcW w:w="1840" w:type="dxa"/>
            <w:vAlign w:val="bottom"/>
          </w:tcPr>
          <w:p>
            <w:pPr>
              <w:ind w:left="20"/>
              <w:spacing w:after="0" w:line="161" w:lineRule="exact"/>
              <w:rPr>
                <w:sz w:val="20"/>
                <w:szCs w:val="20"/>
                <w:color w:val="auto"/>
              </w:rPr>
            </w:pPr>
            <w:r>
              <w:rPr>
                <w:rFonts w:ascii="Calibri" w:cs="Calibri" w:eastAsia="Calibri" w:hAnsi="Calibri"/>
                <w:sz w:val="14"/>
                <w:szCs w:val="14"/>
                <w:b w:val="1"/>
                <w:bCs w:val="1"/>
                <w:color w:val="auto"/>
              </w:rPr>
              <w:t>Bret R. Whitmire</w:t>
            </w:r>
          </w:p>
        </w:tc>
        <w:tc>
          <w:tcPr>
            <w:tcW w:w="320" w:type="dxa"/>
            <w:vAlign w:val="bottom"/>
          </w:tcPr>
          <w:p>
            <w:pPr>
              <w:spacing w:after="0"/>
              <w:rPr>
                <w:sz w:val="14"/>
                <w:szCs w:val="14"/>
                <w:color w:val="auto"/>
              </w:rPr>
            </w:pPr>
          </w:p>
        </w:tc>
        <w:tc>
          <w:tcPr>
            <w:tcW w:w="1380" w:type="dxa"/>
            <w:vAlign w:val="bottom"/>
          </w:tcPr>
          <w:p>
            <w:pPr>
              <w:jc w:val="center"/>
              <w:spacing w:after="0" w:line="161" w:lineRule="exact"/>
              <w:rPr>
                <w:sz w:val="20"/>
                <w:szCs w:val="20"/>
                <w:color w:val="auto"/>
              </w:rPr>
            </w:pPr>
            <w:r>
              <w:rPr>
                <w:rFonts w:ascii="Calibri" w:cs="Calibri" w:eastAsia="Calibri" w:hAnsi="Calibri"/>
                <w:sz w:val="14"/>
                <w:szCs w:val="14"/>
                <w:color w:val="auto"/>
              </w:rPr>
              <w:t>2/8/2021</w:t>
            </w:r>
          </w:p>
        </w:tc>
        <w:tc>
          <w:tcPr>
            <w:tcW w:w="1160" w:type="dxa"/>
            <w:vAlign w:val="bottom"/>
          </w:tcPr>
          <w:p>
            <w:pPr>
              <w:jc w:val="right"/>
              <w:spacing w:after="0" w:line="161" w:lineRule="exact"/>
              <w:rPr>
                <w:sz w:val="20"/>
                <w:szCs w:val="20"/>
                <w:color w:val="auto"/>
              </w:rPr>
            </w:pPr>
            <w:r>
              <w:rPr>
                <w:rFonts w:ascii="Calibri" w:cs="Calibri" w:eastAsia="Calibri" w:hAnsi="Calibri"/>
                <w:sz w:val="14"/>
                <w:szCs w:val="14"/>
                <w:color w:val="auto"/>
              </w:rPr>
              <w:t>1,900</w:t>
            </w:r>
          </w:p>
        </w:tc>
        <w:tc>
          <w:tcPr>
            <w:tcW w:w="1660" w:type="dxa"/>
            <w:vAlign w:val="bottom"/>
          </w:tcPr>
          <w:p>
            <w:pPr>
              <w:jc w:val="right"/>
              <w:ind w:right="48"/>
              <w:spacing w:after="0" w:line="161" w:lineRule="exact"/>
              <w:rPr>
                <w:sz w:val="20"/>
                <w:szCs w:val="20"/>
                <w:color w:val="auto"/>
              </w:rPr>
            </w:pPr>
            <w:r>
              <w:rPr>
                <w:rFonts w:ascii="Calibri" w:cs="Calibri" w:eastAsia="Calibri" w:hAnsi="Calibri"/>
                <w:sz w:val="14"/>
                <w:szCs w:val="14"/>
                <w:color w:val="auto"/>
              </w:rPr>
              <w:t>117,173</w:t>
            </w:r>
          </w:p>
        </w:tc>
        <w:tc>
          <w:tcPr>
            <w:tcW w:w="1740" w:type="dxa"/>
            <w:vAlign w:val="bottom"/>
            <w:gridSpan w:val="2"/>
          </w:tcPr>
          <w:p>
            <w:pPr>
              <w:jc w:val="center"/>
              <w:ind w:left="308"/>
              <w:spacing w:after="0" w:line="161" w:lineRule="exact"/>
              <w:rPr>
                <w:sz w:val="20"/>
                <w:szCs w:val="20"/>
                <w:color w:val="auto"/>
              </w:rPr>
            </w:pPr>
            <w:r>
              <w:rPr>
                <w:rFonts w:ascii="Calibri" w:cs="Calibri" w:eastAsia="Calibri" w:hAnsi="Calibri"/>
                <w:sz w:val="14"/>
                <w:szCs w:val="14"/>
                <w:color w:val="auto"/>
              </w:rPr>
              <w:t>2/1/2022</w:t>
            </w:r>
          </w:p>
        </w:tc>
        <w:tc>
          <w:tcPr>
            <w:tcW w:w="1700" w:type="dxa"/>
            <w:vAlign w:val="bottom"/>
            <w:gridSpan w:val="2"/>
          </w:tcPr>
          <w:p>
            <w:pPr>
              <w:jc w:val="right"/>
              <w:ind w:right="208"/>
              <w:spacing w:after="0" w:line="161" w:lineRule="exact"/>
              <w:rPr>
                <w:sz w:val="20"/>
                <w:szCs w:val="20"/>
                <w:color w:val="auto"/>
              </w:rPr>
            </w:pPr>
            <w:r>
              <w:rPr>
                <w:rFonts w:ascii="Calibri" w:cs="Calibri" w:eastAsia="Calibri" w:hAnsi="Calibri"/>
                <w:sz w:val="14"/>
                <w:szCs w:val="14"/>
                <w:color w:val="auto"/>
              </w:rPr>
              <w:t>15,200</w:t>
            </w:r>
          </w:p>
        </w:tc>
        <w:tc>
          <w:tcPr>
            <w:tcW w:w="1440" w:type="dxa"/>
            <w:vAlign w:val="bottom"/>
          </w:tcPr>
          <w:p>
            <w:pPr>
              <w:jc w:val="right"/>
              <w:ind w:right="48"/>
              <w:spacing w:after="0" w:line="161" w:lineRule="exact"/>
              <w:rPr>
                <w:sz w:val="20"/>
                <w:szCs w:val="20"/>
                <w:color w:val="auto"/>
              </w:rPr>
            </w:pPr>
            <w:r>
              <w:rPr>
                <w:rFonts w:ascii="Calibri" w:cs="Calibri" w:eastAsia="Calibri" w:hAnsi="Calibri"/>
                <w:sz w:val="14"/>
                <w:szCs w:val="14"/>
                <w:color w:val="auto"/>
              </w:rPr>
              <w:t>937,384</w:t>
            </w:r>
          </w:p>
        </w:tc>
      </w:tr>
      <w:tr>
        <w:trPr>
          <w:trHeight w:val="170"/>
        </w:trPr>
        <w:tc>
          <w:tcPr>
            <w:tcW w:w="1840" w:type="dxa"/>
            <w:vAlign w:val="bottom"/>
          </w:tcPr>
          <w:p>
            <w:pPr>
              <w:spacing w:after="0"/>
              <w:rPr>
                <w:sz w:val="14"/>
                <w:szCs w:val="14"/>
                <w:color w:val="auto"/>
              </w:rPr>
            </w:pPr>
          </w:p>
        </w:tc>
        <w:tc>
          <w:tcPr>
            <w:tcW w:w="1700" w:type="dxa"/>
            <w:vAlign w:val="bottom"/>
            <w:gridSpan w:val="2"/>
          </w:tcPr>
          <w:p>
            <w:pPr>
              <w:jc w:val="center"/>
              <w:ind w:left="248"/>
              <w:spacing w:after="0"/>
              <w:rPr>
                <w:sz w:val="20"/>
                <w:szCs w:val="20"/>
                <w:color w:val="auto"/>
              </w:rPr>
            </w:pPr>
            <w:r>
              <w:rPr>
                <w:rFonts w:ascii="Calibri" w:cs="Calibri" w:eastAsia="Calibri" w:hAnsi="Calibri"/>
                <w:sz w:val="14"/>
                <w:szCs w:val="14"/>
                <w:color w:val="auto"/>
              </w:rPr>
              <w:t>2/1/2022</w:t>
            </w:r>
          </w:p>
        </w:tc>
        <w:tc>
          <w:tcPr>
            <w:tcW w:w="1160" w:type="dxa"/>
            <w:vAlign w:val="bottom"/>
          </w:tcPr>
          <w:p>
            <w:pPr>
              <w:jc w:val="right"/>
              <w:spacing w:after="0"/>
              <w:rPr>
                <w:sz w:val="20"/>
                <w:szCs w:val="20"/>
                <w:color w:val="auto"/>
              </w:rPr>
            </w:pPr>
            <w:r>
              <w:rPr>
                <w:rFonts w:ascii="Calibri" w:cs="Calibri" w:eastAsia="Calibri" w:hAnsi="Calibri"/>
                <w:sz w:val="14"/>
                <w:szCs w:val="14"/>
                <w:color w:val="auto"/>
              </w:rPr>
              <w:t>3,800</w:t>
            </w:r>
          </w:p>
        </w:tc>
        <w:tc>
          <w:tcPr>
            <w:tcW w:w="1660" w:type="dxa"/>
            <w:vAlign w:val="bottom"/>
          </w:tcPr>
          <w:p>
            <w:pPr>
              <w:jc w:val="right"/>
              <w:ind w:right="48"/>
              <w:spacing w:after="0"/>
              <w:rPr>
                <w:sz w:val="20"/>
                <w:szCs w:val="20"/>
                <w:color w:val="auto"/>
              </w:rPr>
            </w:pPr>
            <w:r>
              <w:rPr>
                <w:rFonts w:ascii="Calibri" w:cs="Calibri" w:eastAsia="Calibri" w:hAnsi="Calibri"/>
                <w:sz w:val="14"/>
                <w:szCs w:val="14"/>
                <w:color w:val="auto"/>
              </w:rPr>
              <w:t>234,346</w:t>
            </w:r>
          </w:p>
        </w:tc>
        <w:tc>
          <w:tcPr>
            <w:tcW w:w="1740" w:type="dxa"/>
            <w:vAlign w:val="bottom"/>
            <w:gridSpan w:val="2"/>
          </w:tcPr>
          <w:p>
            <w:pPr>
              <w:jc w:val="center"/>
              <w:ind w:left="308"/>
              <w:spacing w:after="0"/>
              <w:rPr>
                <w:sz w:val="20"/>
                <w:szCs w:val="20"/>
                <w:color w:val="auto"/>
              </w:rPr>
            </w:pPr>
            <w:r>
              <w:rPr>
                <w:rFonts w:ascii="Calibri" w:cs="Calibri" w:eastAsia="Calibri" w:hAnsi="Calibri"/>
                <w:sz w:val="14"/>
                <w:szCs w:val="14"/>
                <w:color w:val="auto"/>
              </w:rPr>
              <w:t>2/1/2023</w:t>
            </w:r>
          </w:p>
        </w:tc>
        <w:tc>
          <w:tcPr>
            <w:tcW w:w="1700" w:type="dxa"/>
            <w:vAlign w:val="bottom"/>
            <w:gridSpan w:val="2"/>
          </w:tcPr>
          <w:p>
            <w:pPr>
              <w:jc w:val="right"/>
              <w:ind w:right="208"/>
              <w:spacing w:after="0"/>
              <w:rPr>
                <w:sz w:val="20"/>
                <w:szCs w:val="20"/>
                <w:color w:val="auto"/>
              </w:rPr>
            </w:pPr>
            <w:r>
              <w:rPr>
                <w:rFonts w:ascii="Calibri" w:cs="Calibri" w:eastAsia="Calibri" w:hAnsi="Calibri"/>
                <w:sz w:val="14"/>
                <w:szCs w:val="14"/>
                <w:color w:val="auto"/>
              </w:rPr>
              <w:t>18,000</w:t>
            </w:r>
          </w:p>
        </w:tc>
        <w:tc>
          <w:tcPr>
            <w:tcW w:w="1440" w:type="dxa"/>
            <w:vAlign w:val="bottom"/>
          </w:tcPr>
          <w:p>
            <w:pPr>
              <w:jc w:val="right"/>
              <w:ind w:right="48"/>
              <w:spacing w:after="0"/>
              <w:rPr>
                <w:sz w:val="20"/>
                <w:szCs w:val="20"/>
                <w:color w:val="auto"/>
              </w:rPr>
            </w:pPr>
            <w:r>
              <w:rPr>
                <w:rFonts w:ascii="Calibri" w:cs="Calibri" w:eastAsia="Calibri" w:hAnsi="Calibri"/>
                <w:sz w:val="14"/>
                <w:szCs w:val="14"/>
                <w:color w:val="auto"/>
              </w:rPr>
              <w:t>1,110,060</w:t>
            </w:r>
          </w:p>
        </w:tc>
      </w:tr>
      <w:tr>
        <w:trPr>
          <w:trHeight w:val="176"/>
        </w:trPr>
        <w:tc>
          <w:tcPr>
            <w:tcW w:w="1840" w:type="dxa"/>
            <w:vAlign w:val="bottom"/>
          </w:tcPr>
          <w:p>
            <w:pPr>
              <w:spacing w:after="0"/>
              <w:rPr>
                <w:sz w:val="15"/>
                <w:szCs w:val="15"/>
                <w:color w:val="auto"/>
              </w:rPr>
            </w:pPr>
          </w:p>
        </w:tc>
        <w:tc>
          <w:tcPr>
            <w:tcW w:w="1700" w:type="dxa"/>
            <w:vAlign w:val="bottom"/>
            <w:gridSpan w:val="2"/>
          </w:tcPr>
          <w:p>
            <w:pPr>
              <w:jc w:val="center"/>
              <w:ind w:left="248"/>
              <w:spacing w:after="0"/>
              <w:rPr>
                <w:sz w:val="20"/>
                <w:szCs w:val="20"/>
                <w:color w:val="auto"/>
              </w:rPr>
            </w:pPr>
            <w:r>
              <w:rPr>
                <w:rFonts w:ascii="Calibri" w:cs="Calibri" w:eastAsia="Calibri" w:hAnsi="Calibri"/>
                <w:sz w:val="14"/>
                <w:szCs w:val="14"/>
                <w:color w:val="auto"/>
              </w:rPr>
              <w:t>2/1/2023</w:t>
            </w:r>
          </w:p>
        </w:tc>
        <w:tc>
          <w:tcPr>
            <w:tcW w:w="1160" w:type="dxa"/>
            <w:vAlign w:val="bottom"/>
          </w:tcPr>
          <w:p>
            <w:pPr>
              <w:jc w:val="right"/>
              <w:spacing w:after="0"/>
              <w:rPr>
                <w:sz w:val="20"/>
                <w:szCs w:val="20"/>
                <w:color w:val="auto"/>
              </w:rPr>
            </w:pPr>
            <w:r>
              <w:rPr>
                <w:rFonts w:ascii="Calibri" w:cs="Calibri" w:eastAsia="Calibri" w:hAnsi="Calibri"/>
                <w:sz w:val="14"/>
                <w:szCs w:val="14"/>
                <w:color w:val="auto"/>
              </w:rPr>
              <w:t>6,750</w:t>
            </w:r>
          </w:p>
        </w:tc>
        <w:tc>
          <w:tcPr>
            <w:tcW w:w="1660" w:type="dxa"/>
            <w:vAlign w:val="bottom"/>
          </w:tcPr>
          <w:p>
            <w:pPr>
              <w:jc w:val="right"/>
              <w:ind w:right="48"/>
              <w:spacing w:after="0"/>
              <w:rPr>
                <w:sz w:val="20"/>
                <w:szCs w:val="20"/>
                <w:color w:val="auto"/>
              </w:rPr>
            </w:pPr>
            <w:r>
              <w:rPr>
                <w:rFonts w:ascii="Calibri" w:cs="Calibri" w:eastAsia="Calibri" w:hAnsi="Calibri"/>
                <w:sz w:val="14"/>
                <w:szCs w:val="14"/>
                <w:color w:val="auto"/>
              </w:rPr>
              <w:t>416,273</w:t>
            </w:r>
          </w:p>
        </w:tc>
        <w:tc>
          <w:tcPr>
            <w:tcW w:w="1740" w:type="dxa"/>
            <w:vAlign w:val="bottom"/>
            <w:gridSpan w:val="2"/>
          </w:tcPr>
          <w:p>
            <w:pPr>
              <w:jc w:val="center"/>
              <w:ind w:left="308"/>
              <w:spacing w:after="0"/>
              <w:rPr>
                <w:sz w:val="20"/>
                <w:szCs w:val="20"/>
                <w:color w:val="auto"/>
              </w:rPr>
            </w:pPr>
            <w:r>
              <w:rPr>
                <w:rFonts w:ascii="Calibri" w:cs="Calibri" w:eastAsia="Calibri" w:hAnsi="Calibri"/>
                <w:sz w:val="14"/>
                <w:szCs w:val="14"/>
                <w:color w:val="auto"/>
              </w:rPr>
              <w:t>2/1/2024</w:t>
            </w:r>
          </w:p>
        </w:tc>
        <w:tc>
          <w:tcPr>
            <w:tcW w:w="1700" w:type="dxa"/>
            <w:vAlign w:val="bottom"/>
            <w:gridSpan w:val="2"/>
          </w:tcPr>
          <w:p>
            <w:pPr>
              <w:jc w:val="right"/>
              <w:ind w:right="208"/>
              <w:spacing w:after="0"/>
              <w:rPr>
                <w:sz w:val="20"/>
                <w:szCs w:val="20"/>
                <w:color w:val="auto"/>
              </w:rPr>
            </w:pPr>
            <w:r>
              <w:rPr>
                <w:rFonts w:ascii="Calibri" w:cs="Calibri" w:eastAsia="Calibri" w:hAnsi="Calibri"/>
                <w:sz w:val="14"/>
                <w:szCs w:val="14"/>
                <w:color w:val="auto"/>
              </w:rPr>
              <w:t>12,200</w:t>
            </w:r>
          </w:p>
        </w:tc>
        <w:tc>
          <w:tcPr>
            <w:tcW w:w="1440" w:type="dxa"/>
            <w:vAlign w:val="bottom"/>
          </w:tcPr>
          <w:p>
            <w:pPr>
              <w:jc w:val="right"/>
              <w:ind w:right="48"/>
              <w:spacing w:after="0"/>
              <w:rPr>
                <w:sz w:val="20"/>
                <w:szCs w:val="20"/>
                <w:color w:val="auto"/>
              </w:rPr>
            </w:pPr>
            <w:r>
              <w:rPr>
                <w:rFonts w:ascii="Calibri" w:cs="Calibri" w:eastAsia="Calibri" w:hAnsi="Calibri"/>
                <w:sz w:val="14"/>
                <w:szCs w:val="14"/>
                <w:color w:val="auto"/>
              </w:rPr>
              <w:t>752,374</w:t>
            </w:r>
          </w:p>
        </w:tc>
      </w:tr>
      <w:tr>
        <w:trPr>
          <w:trHeight w:val="186"/>
        </w:trPr>
        <w:tc>
          <w:tcPr>
            <w:tcW w:w="1840" w:type="dxa"/>
            <w:vAlign w:val="bottom"/>
          </w:tcPr>
          <w:p>
            <w:pPr>
              <w:spacing w:after="0"/>
              <w:rPr>
                <w:sz w:val="16"/>
                <w:szCs w:val="16"/>
                <w:color w:val="auto"/>
              </w:rPr>
            </w:pPr>
          </w:p>
        </w:tc>
        <w:tc>
          <w:tcPr>
            <w:tcW w:w="1700" w:type="dxa"/>
            <w:vAlign w:val="bottom"/>
            <w:gridSpan w:val="2"/>
          </w:tcPr>
          <w:p>
            <w:pPr>
              <w:jc w:val="center"/>
              <w:ind w:left="248"/>
              <w:spacing w:after="0"/>
              <w:rPr>
                <w:sz w:val="20"/>
                <w:szCs w:val="20"/>
                <w:color w:val="auto"/>
              </w:rPr>
            </w:pPr>
            <w:r>
              <w:rPr>
                <w:rFonts w:ascii="Calibri" w:cs="Calibri" w:eastAsia="Calibri" w:hAnsi="Calibri"/>
                <w:sz w:val="14"/>
                <w:szCs w:val="14"/>
                <w:color w:val="auto"/>
              </w:rPr>
              <w:t>2/1/2024</w:t>
            </w:r>
          </w:p>
        </w:tc>
        <w:tc>
          <w:tcPr>
            <w:tcW w:w="1160" w:type="dxa"/>
            <w:vAlign w:val="bottom"/>
          </w:tcPr>
          <w:p>
            <w:pPr>
              <w:jc w:val="right"/>
              <w:spacing w:after="0"/>
              <w:rPr>
                <w:sz w:val="20"/>
                <w:szCs w:val="20"/>
                <w:color w:val="auto"/>
              </w:rPr>
            </w:pPr>
            <w:r>
              <w:rPr>
                <w:rFonts w:ascii="Calibri" w:cs="Calibri" w:eastAsia="Calibri" w:hAnsi="Calibri"/>
                <w:sz w:val="14"/>
                <w:szCs w:val="14"/>
                <w:color w:val="auto"/>
              </w:rPr>
              <w:t>6,100</w:t>
            </w:r>
          </w:p>
        </w:tc>
        <w:tc>
          <w:tcPr>
            <w:tcW w:w="1660" w:type="dxa"/>
            <w:vAlign w:val="bottom"/>
          </w:tcPr>
          <w:p>
            <w:pPr>
              <w:jc w:val="right"/>
              <w:ind w:right="48"/>
              <w:spacing w:after="0"/>
              <w:rPr>
                <w:sz w:val="20"/>
                <w:szCs w:val="20"/>
                <w:color w:val="auto"/>
              </w:rPr>
            </w:pPr>
            <w:r>
              <w:rPr>
                <w:rFonts w:ascii="Calibri" w:cs="Calibri" w:eastAsia="Calibri" w:hAnsi="Calibri"/>
                <w:sz w:val="14"/>
                <w:szCs w:val="14"/>
                <w:color w:val="auto"/>
              </w:rPr>
              <w:t>376,187</w:t>
            </w:r>
          </w:p>
        </w:tc>
        <w:tc>
          <w:tcPr>
            <w:tcW w:w="3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6"/>
                <w:szCs w:val="16"/>
                <w:color w:val="auto"/>
              </w:rPr>
            </w:pPr>
          </w:p>
        </w:tc>
        <w:tc>
          <w:tcPr>
            <w:tcW w:w="1580" w:type="dxa"/>
            <w:vAlign w:val="bottom"/>
          </w:tcPr>
          <w:p>
            <w:pPr>
              <w:jc w:val="right"/>
              <w:ind w:right="208"/>
              <w:spacing w:after="0"/>
              <w:rPr>
                <w:sz w:val="20"/>
                <w:szCs w:val="20"/>
                <w:color w:val="auto"/>
              </w:rPr>
            </w:pPr>
            <w:r>
              <w:rPr>
                <w:rFonts w:ascii="Calibri" w:cs="Calibri" w:eastAsia="Calibri" w:hAnsi="Calibri"/>
                <w:sz w:val="14"/>
                <w:szCs w:val="14"/>
                <w:color w:val="auto"/>
              </w:rPr>
              <w:t>—</w:t>
            </w:r>
          </w:p>
        </w:tc>
        <w:tc>
          <w:tcPr>
            <w:tcW w:w="1440" w:type="dxa"/>
            <w:vAlign w:val="bottom"/>
          </w:tcPr>
          <w:p>
            <w:pPr>
              <w:jc w:val="right"/>
              <w:ind w:right="48"/>
              <w:spacing w:after="0"/>
              <w:rPr>
                <w:sz w:val="20"/>
                <w:szCs w:val="20"/>
                <w:color w:val="auto"/>
              </w:rPr>
            </w:pPr>
            <w:r>
              <w:rPr>
                <w:rFonts w:ascii="Calibri" w:cs="Calibri" w:eastAsia="Calibri" w:hAnsi="Calibri"/>
                <w:sz w:val="14"/>
                <w:szCs w:val="14"/>
                <w:color w:val="auto"/>
              </w:rPr>
              <w:t>—</w:t>
            </w:r>
          </w:p>
        </w:tc>
      </w:tr>
      <w:tr>
        <w:trPr>
          <w:trHeight w:val="180"/>
        </w:trPr>
        <w:tc>
          <w:tcPr>
            <w:tcW w:w="18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Gary Yu</w:t>
            </w:r>
          </w:p>
        </w:tc>
        <w:tc>
          <w:tcPr>
            <w:tcW w:w="1700" w:type="dxa"/>
            <w:vAlign w:val="bottom"/>
            <w:gridSpan w:val="2"/>
            <w:shd w:val="clear" w:color="auto" w:fill="CFF0FC"/>
          </w:tcPr>
          <w:p>
            <w:pPr>
              <w:jc w:val="center"/>
              <w:ind w:left="248"/>
              <w:spacing w:after="0"/>
              <w:rPr>
                <w:sz w:val="20"/>
                <w:szCs w:val="20"/>
                <w:color w:val="auto"/>
              </w:rPr>
            </w:pPr>
            <w:r>
              <w:rPr>
                <w:rFonts w:ascii="Calibri" w:cs="Calibri" w:eastAsia="Calibri" w:hAnsi="Calibri"/>
                <w:sz w:val="14"/>
                <w:szCs w:val="14"/>
                <w:color w:val="auto"/>
              </w:rPr>
              <w:t>2/8/2021</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2,125</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131,049</w:t>
            </w:r>
          </w:p>
        </w:tc>
        <w:tc>
          <w:tcPr>
            <w:tcW w:w="1740" w:type="dxa"/>
            <w:vAlign w:val="bottom"/>
            <w:gridSpan w:val="2"/>
            <w:shd w:val="clear" w:color="auto" w:fill="CFF0FC"/>
          </w:tcPr>
          <w:p>
            <w:pPr>
              <w:jc w:val="center"/>
              <w:ind w:left="308"/>
              <w:spacing w:after="0"/>
              <w:rPr>
                <w:sz w:val="20"/>
                <w:szCs w:val="20"/>
                <w:color w:val="auto"/>
              </w:rPr>
            </w:pPr>
            <w:r>
              <w:rPr>
                <w:rFonts w:ascii="Calibri" w:cs="Calibri" w:eastAsia="Calibri" w:hAnsi="Calibri"/>
                <w:sz w:val="14"/>
                <w:szCs w:val="14"/>
                <w:color w:val="auto"/>
              </w:rPr>
              <w:t>2/1/2022</w:t>
            </w:r>
          </w:p>
        </w:tc>
        <w:tc>
          <w:tcPr>
            <w:tcW w:w="170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17,000</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1,048,390</w:t>
            </w:r>
          </w:p>
        </w:tc>
      </w:tr>
      <w:tr>
        <w:trPr>
          <w:trHeight w:val="170"/>
        </w:trPr>
        <w:tc>
          <w:tcPr>
            <w:tcW w:w="184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center"/>
              <w:ind w:left="248"/>
              <w:spacing w:after="0"/>
              <w:rPr>
                <w:sz w:val="20"/>
                <w:szCs w:val="20"/>
                <w:color w:val="auto"/>
              </w:rPr>
            </w:pPr>
            <w:r>
              <w:rPr>
                <w:rFonts w:ascii="Calibri" w:cs="Calibri" w:eastAsia="Calibri" w:hAnsi="Calibri"/>
                <w:sz w:val="14"/>
                <w:szCs w:val="14"/>
                <w:color w:val="auto"/>
              </w:rPr>
              <w:t>2/1/2022</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4,250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262,098</w:t>
            </w:r>
          </w:p>
        </w:tc>
        <w:tc>
          <w:tcPr>
            <w:tcW w:w="1740" w:type="dxa"/>
            <w:vAlign w:val="bottom"/>
            <w:gridSpan w:val="2"/>
            <w:shd w:val="clear" w:color="auto" w:fill="CFF0FC"/>
          </w:tcPr>
          <w:p>
            <w:pPr>
              <w:jc w:val="center"/>
              <w:ind w:left="308"/>
              <w:spacing w:after="0"/>
              <w:rPr>
                <w:sz w:val="20"/>
                <w:szCs w:val="20"/>
                <w:color w:val="auto"/>
              </w:rPr>
            </w:pPr>
            <w:r>
              <w:rPr>
                <w:rFonts w:ascii="Calibri" w:cs="Calibri" w:eastAsia="Calibri" w:hAnsi="Calibri"/>
                <w:sz w:val="14"/>
                <w:szCs w:val="14"/>
                <w:color w:val="auto"/>
              </w:rPr>
              <w:t>2/1/2023</w:t>
            </w:r>
          </w:p>
        </w:tc>
        <w:tc>
          <w:tcPr>
            <w:tcW w:w="170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26,000</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1,603,420</w:t>
            </w:r>
          </w:p>
        </w:tc>
      </w:tr>
      <w:tr>
        <w:trPr>
          <w:trHeight w:val="170"/>
        </w:trPr>
        <w:tc>
          <w:tcPr>
            <w:tcW w:w="18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2/1/2023</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9,750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601,283</w:t>
            </w:r>
          </w:p>
        </w:tc>
        <w:tc>
          <w:tcPr>
            <w:tcW w:w="1740" w:type="dxa"/>
            <w:vAlign w:val="bottom"/>
            <w:gridSpan w:val="2"/>
            <w:shd w:val="clear" w:color="auto" w:fill="CFF0FC"/>
          </w:tcPr>
          <w:p>
            <w:pPr>
              <w:jc w:val="center"/>
              <w:ind w:left="308"/>
              <w:spacing w:after="0"/>
              <w:rPr>
                <w:sz w:val="20"/>
                <w:szCs w:val="20"/>
                <w:color w:val="auto"/>
              </w:rPr>
            </w:pPr>
            <w:r>
              <w:rPr>
                <w:rFonts w:ascii="Calibri" w:cs="Calibri" w:eastAsia="Calibri" w:hAnsi="Calibri"/>
                <w:sz w:val="14"/>
                <w:szCs w:val="14"/>
                <w:color w:val="auto"/>
              </w:rPr>
              <w:t>2/1/2024</w:t>
            </w:r>
          </w:p>
        </w:tc>
        <w:tc>
          <w:tcPr>
            <w:tcW w:w="170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44,000</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2,713,480</w:t>
            </w:r>
          </w:p>
        </w:tc>
      </w:tr>
      <w:tr>
        <w:trPr>
          <w:trHeight w:val="172"/>
        </w:trPr>
        <w:tc>
          <w:tcPr>
            <w:tcW w:w="18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2/1/2024</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22,000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1,356,740</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4"/>
              </w:rPr>
              <w:t>—</w:t>
            </w: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  —</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195"/>
        </w:trPr>
        <w:tc>
          <w:tcPr>
            <w:tcW w:w="1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5/30/2024</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3,000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185,010</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w w:val="94"/>
              </w:rPr>
              <w:t>—</w:t>
            </w: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r>
        <w:trPr>
          <w:trHeight w:val="161"/>
        </w:trPr>
        <w:tc>
          <w:tcPr>
            <w:tcW w:w="1840" w:type="dxa"/>
            <w:vAlign w:val="bottom"/>
          </w:tcPr>
          <w:p>
            <w:pPr>
              <w:ind w:left="20"/>
              <w:spacing w:after="0" w:line="161" w:lineRule="exact"/>
              <w:rPr>
                <w:sz w:val="20"/>
                <w:szCs w:val="20"/>
                <w:color w:val="auto"/>
              </w:rPr>
            </w:pPr>
            <w:r>
              <w:rPr>
                <w:rFonts w:ascii="Calibri" w:cs="Calibri" w:eastAsia="Calibri" w:hAnsi="Calibri"/>
                <w:sz w:val="14"/>
                <w:szCs w:val="14"/>
                <w:b w:val="1"/>
                <w:bCs w:val="1"/>
                <w:color w:val="auto"/>
              </w:rPr>
              <w:t>Francis Tang</w:t>
            </w:r>
          </w:p>
        </w:tc>
        <w:tc>
          <w:tcPr>
            <w:tcW w:w="320" w:type="dxa"/>
            <w:vAlign w:val="bottom"/>
          </w:tcPr>
          <w:p>
            <w:pPr>
              <w:spacing w:after="0"/>
              <w:rPr>
                <w:sz w:val="14"/>
                <w:szCs w:val="14"/>
                <w:color w:val="auto"/>
              </w:rPr>
            </w:pPr>
          </w:p>
        </w:tc>
        <w:tc>
          <w:tcPr>
            <w:tcW w:w="1380" w:type="dxa"/>
            <w:vAlign w:val="bottom"/>
          </w:tcPr>
          <w:p>
            <w:pPr>
              <w:jc w:val="center"/>
              <w:spacing w:after="0" w:line="161" w:lineRule="exact"/>
              <w:rPr>
                <w:sz w:val="20"/>
                <w:szCs w:val="20"/>
                <w:color w:val="auto"/>
              </w:rPr>
            </w:pPr>
            <w:r>
              <w:rPr>
                <w:rFonts w:ascii="Calibri" w:cs="Calibri" w:eastAsia="Calibri" w:hAnsi="Calibri"/>
                <w:sz w:val="14"/>
                <w:szCs w:val="14"/>
                <w:color w:val="auto"/>
              </w:rPr>
              <w:t>02/8/2021</w:t>
            </w:r>
          </w:p>
        </w:tc>
        <w:tc>
          <w:tcPr>
            <w:tcW w:w="1160" w:type="dxa"/>
            <w:vAlign w:val="bottom"/>
          </w:tcPr>
          <w:p>
            <w:pPr>
              <w:jc w:val="right"/>
              <w:spacing w:after="0" w:line="161" w:lineRule="exact"/>
              <w:rPr>
                <w:sz w:val="20"/>
                <w:szCs w:val="20"/>
                <w:color w:val="auto"/>
              </w:rPr>
            </w:pPr>
            <w:r>
              <w:rPr>
                <w:rFonts w:ascii="Calibri" w:cs="Calibri" w:eastAsia="Calibri" w:hAnsi="Calibri"/>
                <w:sz w:val="14"/>
                <w:szCs w:val="14"/>
                <w:color w:val="auto"/>
              </w:rPr>
              <w:t>1,900</w:t>
            </w:r>
          </w:p>
        </w:tc>
        <w:tc>
          <w:tcPr>
            <w:tcW w:w="1660" w:type="dxa"/>
            <w:vAlign w:val="bottom"/>
          </w:tcPr>
          <w:p>
            <w:pPr>
              <w:jc w:val="right"/>
              <w:ind w:right="48"/>
              <w:spacing w:after="0" w:line="161" w:lineRule="exact"/>
              <w:rPr>
                <w:sz w:val="20"/>
                <w:szCs w:val="20"/>
                <w:color w:val="auto"/>
              </w:rPr>
            </w:pPr>
            <w:r>
              <w:rPr>
                <w:rFonts w:ascii="Calibri" w:cs="Calibri" w:eastAsia="Calibri" w:hAnsi="Calibri"/>
                <w:sz w:val="14"/>
                <w:szCs w:val="14"/>
                <w:color w:val="auto"/>
              </w:rPr>
              <w:t>117,173</w:t>
            </w:r>
          </w:p>
        </w:tc>
        <w:tc>
          <w:tcPr>
            <w:tcW w:w="1740" w:type="dxa"/>
            <w:vAlign w:val="bottom"/>
            <w:gridSpan w:val="2"/>
          </w:tcPr>
          <w:p>
            <w:pPr>
              <w:jc w:val="center"/>
              <w:ind w:left="308"/>
              <w:spacing w:after="0" w:line="161" w:lineRule="exact"/>
              <w:rPr>
                <w:sz w:val="20"/>
                <w:szCs w:val="20"/>
                <w:color w:val="auto"/>
              </w:rPr>
            </w:pPr>
            <w:r>
              <w:rPr>
                <w:rFonts w:ascii="Calibri" w:cs="Calibri" w:eastAsia="Calibri" w:hAnsi="Calibri"/>
                <w:sz w:val="14"/>
                <w:szCs w:val="14"/>
                <w:color w:val="auto"/>
              </w:rPr>
              <w:t>2/1/2022</w:t>
            </w:r>
          </w:p>
        </w:tc>
        <w:tc>
          <w:tcPr>
            <w:tcW w:w="1700" w:type="dxa"/>
            <w:vAlign w:val="bottom"/>
            <w:gridSpan w:val="2"/>
          </w:tcPr>
          <w:p>
            <w:pPr>
              <w:jc w:val="right"/>
              <w:ind w:right="208"/>
              <w:spacing w:after="0" w:line="161" w:lineRule="exact"/>
              <w:rPr>
                <w:sz w:val="20"/>
                <w:szCs w:val="20"/>
                <w:color w:val="auto"/>
              </w:rPr>
            </w:pPr>
            <w:r>
              <w:rPr>
                <w:rFonts w:ascii="Calibri" w:cs="Calibri" w:eastAsia="Calibri" w:hAnsi="Calibri"/>
                <w:sz w:val="14"/>
                <w:szCs w:val="14"/>
                <w:color w:val="auto"/>
              </w:rPr>
              <w:t>15,200</w:t>
            </w:r>
          </w:p>
        </w:tc>
        <w:tc>
          <w:tcPr>
            <w:tcW w:w="1440" w:type="dxa"/>
            <w:vAlign w:val="bottom"/>
          </w:tcPr>
          <w:p>
            <w:pPr>
              <w:jc w:val="right"/>
              <w:ind w:right="48"/>
              <w:spacing w:after="0" w:line="161" w:lineRule="exact"/>
              <w:rPr>
                <w:sz w:val="20"/>
                <w:szCs w:val="20"/>
                <w:color w:val="auto"/>
              </w:rPr>
            </w:pPr>
            <w:r>
              <w:rPr>
                <w:rFonts w:ascii="Calibri" w:cs="Calibri" w:eastAsia="Calibri" w:hAnsi="Calibri"/>
                <w:sz w:val="14"/>
                <w:szCs w:val="14"/>
                <w:color w:val="auto"/>
              </w:rPr>
              <w:t>937,384</w:t>
            </w:r>
          </w:p>
        </w:tc>
      </w:tr>
      <w:tr>
        <w:trPr>
          <w:trHeight w:val="170"/>
        </w:trPr>
        <w:tc>
          <w:tcPr>
            <w:tcW w:w="1840" w:type="dxa"/>
            <w:vAlign w:val="bottom"/>
          </w:tcPr>
          <w:p>
            <w:pPr>
              <w:spacing w:after="0"/>
              <w:rPr>
                <w:sz w:val="14"/>
                <w:szCs w:val="14"/>
                <w:color w:val="auto"/>
              </w:rPr>
            </w:pPr>
          </w:p>
        </w:tc>
        <w:tc>
          <w:tcPr>
            <w:tcW w:w="1700" w:type="dxa"/>
            <w:vAlign w:val="bottom"/>
            <w:gridSpan w:val="2"/>
          </w:tcPr>
          <w:p>
            <w:pPr>
              <w:jc w:val="center"/>
              <w:ind w:left="248"/>
              <w:spacing w:after="0"/>
              <w:rPr>
                <w:sz w:val="20"/>
                <w:szCs w:val="20"/>
                <w:color w:val="auto"/>
              </w:rPr>
            </w:pPr>
            <w:r>
              <w:rPr>
                <w:rFonts w:ascii="Calibri" w:cs="Calibri" w:eastAsia="Calibri" w:hAnsi="Calibri"/>
                <w:sz w:val="14"/>
                <w:szCs w:val="14"/>
                <w:color w:val="auto"/>
              </w:rPr>
              <w:t>02/01/2022</w:t>
            </w:r>
          </w:p>
        </w:tc>
        <w:tc>
          <w:tcPr>
            <w:tcW w:w="1160" w:type="dxa"/>
            <w:vAlign w:val="bottom"/>
          </w:tcPr>
          <w:p>
            <w:pPr>
              <w:jc w:val="right"/>
              <w:spacing w:after="0"/>
              <w:rPr>
                <w:sz w:val="20"/>
                <w:szCs w:val="20"/>
                <w:color w:val="auto"/>
              </w:rPr>
            </w:pPr>
            <w:r>
              <w:rPr>
                <w:rFonts w:ascii="Calibri" w:cs="Calibri" w:eastAsia="Calibri" w:hAnsi="Calibri"/>
                <w:sz w:val="14"/>
                <w:szCs w:val="14"/>
                <w:color w:val="auto"/>
              </w:rPr>
              <w:t>3,800</w:t>
            </w:r>
          </w:p>
        </w:tc>
        <w:tc>
          <w:tcPr>
            <w:tcW w:w="1660" w:type="dxa"/>
            <w:vAlign w:val="bottom"/>
          </w:tcPr>
          <w:p>
            <w:pPr>
              <w:jc w:val="right"/>
              <w:ind w:right="48"/>
              <w:spacing w:after="0"/>
              <w:rPr>
                <w:sz w:val="20"/>
                <w:szCs w:val="20"/>
                <w:color w:val="auto"/>
              </w:rPr>
            </w:pPr>
            <w:r>
              <w:rPr>
                <w:rFonts w:ascii="Calibri" w:cs="Calibri" w:eastAsia="Calibri" w:hAnsi="Calibri"/>
                <w:sz w:val="14"/>
                <w:szCs w:val="14"/>
                <w:color w:val="auto"/>
              </w:rPr>
              <w:t>234,346</w:t>
            </w:r>
          </w:p>
        </w:tc>
        <w:tc>
          <w:tcPr>
            <w:tcW w:w="1740" w:type="dxa"/>
            <w:vAlign w:val="bottom"/>
            <w:gridSpan w:val="2"/>
          </w:tcPr>
          <w:p>
            <w:pPr>
              <w:jc w:val="center"/>
              <w:ind w:left="308"/>
              <w:spacing w:after="0"/>
              <w:rPr>
                <w:sz w:val="20"/>
                <w:szCs w:val="20"/>
                <w:color w:val="auto"/>
              </w:rPr>
            </w:pPr>
            <w:r>
              <w:rPr>
                <w:rFonts w:ascii="Calibri" w:cs="Calibri" w:eastAsia="Calibri" w:hAnsi="Calibri"/>
                <w:sz w:val="14"/>
                <w:szCs w:val="14"/>
                <w:color w:val="auto"/>
              </w:rPr>
              <w:t>2/1/2023</w:t>
            </w:r>
          </w:p>
        </w:tc>
        <w:tc>
          <w:tcPr>
            <w:tcW w:w="1700" w:type="dxa"/>
            <w:vAlign w:val="bottom"/>
            <w:gridSpan w:val="2"/>
          </w:tcPr>
          <w:p>
            <w:pPr>
              <w:jc w:val="right"/>
              <w:ind w:right="208"/>
              <w:spacing w:after="0"/>
              <w:rPr>
                <w:sz w:val="20"/>
                <w:szCs w:val="20"/>
                <w:color w:val="auto"/>
              </w:rPr>
            </w:pPr>
            <w:r>
              <w:rPr>
                <w:rFonts w:ascii="Calibri" w:cs="Calibri" w:eastAsia="Calibri" w:hAnsi="Calibri"/>
                <w:sz w:val="14"/>
                <w:szCs w:val="14"/>
                <w:color w:val="auto"/>
              </w:rPr>
              <w:t>18,000</w:t>
            </w:r>
          </w:p>
        </w:tc>
        <w:tc>
          <w:tcPr>
            <w:tcW w:w="1440" w:type="dxa"/>
            <w:vAlign w:val="bottom"/>
          </w:tcPr>
          <w:p>
            <w:pPr>
              <w:jc w:val="right"/>
              <w:ind w:right="48"/>
              <w:spacing w:after="0"/>
              <w:rPr>
                <w:sz w:val="20"/>
                <w:szCs w:val="20"/>
                <w:color w:val="auto"/>
              </w:rPr>
            </w:pPr>
            <w:r>
              <w:rPr>
                <w:rFonts w:ascii="Calibri" w:cs="Calibri" w:eastAsia="Calibri" w:hAnsi="Calibri"/>
                <w:sz w:val="14"/>
                <w:szCs w:val="14"/>
                <w:color w:val="auto"/>
              </w:rPr>
              <w:t>1,110,060</w:t>
            </w:r>
          </w:p>
        </w:tc>
      </w:tr>
      <w:tr>
        <w:trPr>
          <w:trHeight w:val="176"/>
        </w:trPr>
        <w:tc>
          <w:tcPr>
            <w:tcW w:w="1840" w:type="dxa"/>
            <w:vAlign w:val="bottom"/>
          </w:tcPr>
          <w:p>
            <w:pPr>
              <w:spacing w:after="0"/>
              <w:rPr>
                <w:sz w:val="15"/>
                <w:szCs w:val="15"/>
                <w:color w:val="auto"/>
              </w:rPr>
            </w:pPr>
          </w:p>
        </w:tc>
        <w:tc>
          <w:tcPr>
            <w:tcW w:w="1700" w:type="dxa"/>
            <w:vAlign w:val="bottom"/>
            <w:gridSpan w:val="2"/>
          </w:tcPr>
          <w:p>
            <w:pPr>
              <w:jc w:val="center"/>
              <w:ind w:left="248"/>
              <w:spacing w:after="0"/>
              <w:rPr>
                <w:sz w:val="20"/>
                <w:szCs w:val="20"/>
                <w:color w:val="auto"/>
              </w:rPr>
            </w:pPr>
            <w:r>
              <w:rPr>
                <w:rFonts w:ascii="Calibri" w:cs="Calibri" w:eastAsia="Calibri" w:hAnsi="Calibri"/>
                <w:sz w:val="14"/>
                <w:szCs w:val="14"/>
                <w:color w:val="auto"/>
              </w:rPr>
              <w:t>2/1/2023</w:t>
            </w:r>
          </w:p>
        </w:tc>
        <w:tc>
          <w:tcPr>
            <w:tcW w:w="1160" w:type="dxa"/>
            <w:vAlign w:val="bottom"/>
          </w:tcPr>
          <w:p>
            <w:pPr>
              <w:jc w:val="right"/>
              <w:spacing w:after="0"/>
              <w:rPr>
                <w:sz w:val="20"/>
                <w:szCs w:val="20"/>
                <w:color w:val="auto"/>
              </w:rPr>
            </w:pPr>
            <w:r>
              <w:rPr>
                <w:rFonts w:ascii="Calibri" w:cs="Calibri" w:eastAsia="Calibri" w:hAnsi="Calibri"/>
                <w:sz w:val="14"/>
                <w:szCs w:val="14"/>
                <w:color w:val="auto"/>
              </w:rPr>
              <w:t>6,750</w:t>
            </w:r>
          </w:p>
        </w:tc>
        <w:tc>
          <w:tcPr>
            <w:tcW w:w="1660" w:type="dxa"/>
            <w:vAlign w:val="bottom"/>
          </w:tcPr>
          <w:p>
            <w:pPr>
              <w:jc w:val="right"/>
              <w:ind w:right="48"/>
              <w:spacing w:after="0"/>
              <w:rPr>
                <w:sz w:val="20"/>
                <w:szCs w:val="20"/>
                <w:color w:val="auto"/>
              </w:rPr>
            </w:pPr>
            <w:r>
              <w:rPr>
                <w:rFonts w:ascii="Calibri" w:cs="Calibri" w:eastAsia="Calibri" w:hAnsi="Calibri"/>
                <w:sz w:val="14"/>
                <w:szCs w:val="14"/>
                <w:color w:val="auto"/>
              </w:rPr>
              <w:t>416,273</w:t>
            </w:r>
          </w:p>
        </w:tc>
        <w:tc>
          <w:tcPr>
            <w:tcW w:w="1740" w:type="dxa"/>
            <w:vAlign w:val="bottom"/>
            <w:gridSpan w:val="2"/>
          </w:tcPr>
          <w:p>
            <w:pPr>
              <w:jc w:val="center"/>
              <w:ind w:left="308"/>
              <w:spacing w:after="0"/>
              <w:rPr>
                <w:sz w:val="20"/>
                <w:szCs w:val="20"/>
                <w:color w:val="auto"/>
              </w:rPr>
            </w:pPr>
            <w:r>
              <w:rPr>
                <w:rFonts w:ascii="Calibri" w:cs="Calibri" w:eastAsia="Calibri" w:hAnsi="Calibri"/>
                <w:sz w:val="14"/>
                <w:szCs w:val="14"/>
                <w:color w:val="auto"/>
              </w:rPr>
              <w:t>2/1/2024</w:t>
            </w:r>
          </w:p>
        </w:tc>
        <w:tc>
          <w:tcPr>
            <w:tcW w:w="1700" w:type="dxa"/>
            <w:vAlign w:val="bottom"/>
            <w:gridSpan w:val="2"/>
          </w:tcPr>
          <w:p>
            <w:pPr>
              <w:jc w:val="right"/>
              <w:ind w:right="208"/>
              <w:spacing w:after="0"/>
              <w:rPr>
                <w:sz w:val="20"/>
                <w:szCs w:val="20"/>
                <w:color w:val="auto"/>
              </w:rPr>
            </w:pPr>
            <w:r>
              <w:rPr>
                <w:rFonts w:ascii="Calibri" w:cs="Calibri" w:eastAsia="Calibri" w:hAnsi="Calibri"/>
                <w:sz w:val="14"/>
                <w:szCs w:val="14"/>
                <w:color w:val="auto"/>
              </w:rPr>
              <w:t>14,400</w:t>
            </w:r>
          </w:p>
        </w:tc>
        <w:tc>
          <w:tcPr>
            <w:tcW w:w="1440" w:type="dxa"/>
            <w:vAlign w:val="bottom"/>
          </w:tcPr>
          <w:p>
            <w:pPr>
              <w:jc w:val="right"/>
              <w:ind w:right="48"/>
              <w:spacing w:after="0"/>
              <w:rPr>
                <w:sz w:val="20"/>
                <w:szCs w:val="20"/>
                <w:color w:val="auto"/>
              </w:rPr>
            </w:pPr>
            <w:r>
              <w:rPr>
                <w:rFonts w:ascii="Calibri" w:cs="Calibri" w:eastAsia="Calibri" w:hAnsi="Calibri"/>
                <w:sz w:val="14"/>
                <w:szCs w:val="14"/>
                <w:color w:val="auto"/>
              </w:rPr>
              <w:t>888,048</w:t>
            </w:r>
          </w:p>
        </w:tc>
      </w:tr>
      <w:tr>
        <w:trPr>
          <w:trHeight w:val="185"/>
        </w:trPr>
        <w:tc>
          <w:tcPr>
            <w:tcW w:w="1840" w:type="dxa"/>
            <w:vAlign w:val="bottom"/>
          </w:tcPr>
          <w:p>
            <w:pPr>
              <w:spacing w:after="0"/>
              <w:rPr>
                <w:sz w:val="16"/>
                <w:szCs w:val="16"/>
                <w:color w:val="auto"/>
              </w:rPr>
            </w:pPr>
          </w:p>
        </w:tc>
        <w:tc>
          <w:tcPr>
            <w:tcW w:w="1700" w:type="dxa"/>
            <w:vAlign w:val="bottom"/>
            <w:gridSpan w:val="2"/>
          </w:tcPr>
          <w:p>
            <w:pPr>
              <w:jc w:val="center"/>
              <w:ind w:left="248"/>
              <w:spacing w:after="0"/>
              <w:rPr>
                <w:sz w:val="20"/>
                <w:szCs w:val="20"/>
                <w:color w:val="auto"/>
              </w:rPr>
            </w:pPr>
            <w:r>
              <w:rPr>
                <w:rFonts w:ascii="Calibri" w:cs="Calibri" w:eastAsia="Calibri" w:hAnsi="Calibri"/>
                <w:sz w:val="14"/>
                <w:szCs w:val="14"/>
                <w:color w:val="auto"/>
              </w:rPr>
              <w:t>2/1/2024</w:t>
            </w:r>
          </w:p>
        </w:tc>
        <w:tc>
          <w:tcPr>
            <w:tcW w:w="1160" w:type="dxa"/>
            <w:vAlign w:val="bottom"/>
          </w:tcPr>
          <w:p>
            <w:pPr>
              <w:jc w:val="right"/>
              <w:spacing w:after="0"/>
              <w:rPr>
                <w:sz w:val="20"/>
                <w:szCs w:val="20"/>
                <w:color w:val="auto"/>
              </w:rPr>
            </w:pPr>
            <w:r>
              <w:rPr>
                <w:rFonts w:ascii="Calibri" w:cs="Calibri" w:eastAsia="Calibri" w:hAnsi="Calibri"/>
                <w:sz w:val="14"/>
                <w:szCs w:val="14"/>
                <w:color w:val="auto"/>
              </w:rPr>
              <w:t>7,200</w:t>
            </w:r>
          </w:p>
        </w:tc>
        <w:tc>
          <w:tcPr>
            <w:tcW w:w="1660" w:type="dxa"/>
            <w:vAlign w:val="bottom"/>
          </w:tcPr>
          <w:p>
            <w:pPr>
              <w:jc w:val="right"/>
              <w:ind w:right="48"/>
              <w:spacing w:after="0"/>
              <w:rPr>
                <w:sz w:val="20"/>
                <w:szCs w:val="20"/>
                <w:color w:val="auto"/>
              </w:rPr>
            </w:pPr>
            <w:r>
              <w:rPr>
                <w:rFonts w:ascii="Calibri" w:cs="Calibri" w:eastAsia="Calibri" w:hAnsi="Calibri"/>
                <w:sz w:val="14"/>
                <w:szCs w:val="14"/>
                <w:color w:val="auto"/>
              </w:rPr>
              <w:t>444,024</w:t>
            </w:r>
          </w:p>
        </w:tc>
        <w:tc>
          <w:tcPr>
            <w:tcW w:w="3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20" w:type="dxa"/>
            <w:vAlign w:val="bottom"/>
          </w:tcPr>
          <w:p>
            <w:pPr>
              <w:spacing w:after="0"/>
              <w:rPr>
                <w:sz w:val="16"/>
                <w:szCs w:val="16"/>
                <w:color w:val="auto"/>
              </w:rPr>
            </w:pPr>
          </w:p>
        </w:tc>
        <w:tc>
          <w:tcPr>
            <w:tcW w:w="1580" w:type="dxa"/>
            <w:vAlign w:val="bottom"/>
          </w:tcPr>
          <w:p>
            <w:pPr>
              <w:jc w:val="right"/>
              <w:ind w:right="208"/>
              <w:spacing w:after="0"/>
              <w:rPr>
                <w:sz w:val="20"/>
                <w:szCs w:val="20"/>
                <w:color w:val="auto"/>
              </w:rPr>
            </w:pPr>
            <w:r>
              <w:rPr>
                <w:rFonts w:ascii="Calibri" w:cs="Calibri" w:eastAsia="Calibri" w:hAnsi="Calibri"/>
                <w:sz w:val="14"/>
                <w:szCs w:val="14"/>
                <w:color w:val="auto"/>
              </w:rPr>
              <w:t>—</w:t>
            </w:r>
          </w:p>
        </w:tc>
        <w:tc>
          <w:tcPr>
            <w:tcW w:w="1440" w:type="dxa"/>
            <w:vAlign w:val="bottom"/>
          </w:tcPr>
          <w:p>
            <w:pPr>
              <w:jc w:val="right"/>
              <w:ind w:right="48"/>
              <w:spacing w:after="0"/>
              <w:rPr>
                <w:sz w:val="20"/>
                <w:szCs w:val="20"/>
                <w:color w:val="auto"/>
              </w:rPr>
            </w:pPr>
            <w:r>
              <w:rPr>
                <w:rFonts w:ascii="Calibri" w:cs="Calibri" w:eastAsia="Calibri" w:hAnsi="Calibri"/>
                <w:sz w:val="14"/>
                <w:szCs w:val="14"/>
                <w:color w:val="auto"/>
              </w:rPr>
              <w:t>—</w:t>
            </w:r>
          </w:p>
        </w:tc>
      </w:tr>
      <w:tr>
        <w:trPr>
          <w:trHeight w:val="180"/>
        </w:trPr>
        <w:tc>
          <w:tcPr>
            <w:tcW w:w="18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Emily Yang</w:t>
            </w:r>
          </w:p>
        </w:tc>
        <w:tc>
          <w:tcPr>
            <w:tcW w:w="1700" w:type="dxa"/>
            <w:vAlign w:val="bottom"/>
            <w:gridSpan w:val="2"/>
            <w:shd w:val="clear" w:color="auto" w:fill="CFF0FC"/>
          </w:tcPr>
          <w:p>
            <w:pPr>
              <w:jc w:val="center"/>
              <w:ind w:left="248"/>
              <w:spacing w:after="0"/>
              <w:rPr>
                <w:sz w:val="20"/>
                <w:szCs w:val="20"/>
                <w:color w:val="auto"/>
              </w:rPr>
            </w:pPr>
            <w:r>
              <w:rPr>
                <w:rFonts w:ascii="Calibri" w:cs="Calibri" w:eastAsia="Calibri" w:hAnsi="Calibri"/>
                <w:sz w:val="14"/>
                <w:szCs w:val="14"/>
                <w:color w:val="auto"/>
              </w:rPr>
              <w:t>02/8/2021</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1,900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117,173</w:t>
            </w:r>
          </w:p>
        </w:tc>
        <w:tc>
          <w:tcPr>
            <w:tcW w:w="1740" w:type="dxa"/>
            <w:vAlign w:val="bottom"/>
            <w:gridSpan w:val="2"/>
            <w:shd w:val="clear" w:color="auto" w:fill="CFF0FC"/>
          </w:tcPr>
          <w:p>
            <w:pPr>
              <w:jc w:val="center"/>
              <w:ind w:left="308"/>
              <w:spacing w:after="0"/>
              <w:rPr>
                <w:sz w:val="20"/>
                <w:szCs w:val="20"/>
                <w:color w:val="auto"/>
              </w:rPr>
            </w:pPr>
            <w:r>
              <w:rPr>
                <w:rFonts w:ascii="Calibri" w:cs="Calibri" w:eastAsia="Calibri" w:hAnsi="Calibri"/>
                <w:sz w:val="14"/>
                <w:szCs w:val="14"/>
                <w:color w:val="auto"/>
              </w:rPr>
              <w:t>2/1/2022</w:t>
            </w:r>
          </w:p>
        </w:tc>
        <w:tc>
          <w:tcPr>
            <w:tcW w:w="170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15,200</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937,384</w:t>
            </w:r>
          </w:p>
        </w:tc>
      </w:tr>
      <w:tr>
        <w:trPr>
          <w:trHeight w:val="170"/>
        </w:trPr>
        <w:tc>
          <w:tcPr>
            <w:tcW w:w="184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center"/>
              <w:ind w:left="248"/>
              <w:spacing w:after="0"/>
              <w:rPr>
                <w:sz w:val="20"/>
                <w:szCs w:val="20"/>
                <w:color w:val="auto"/>
              </w:rPr>
            </w:pPr>
            <w:r>
              <w:rPr>
                <w:rFonts w:ascii="Calibri" w:cs="Calibri" w:eastAsia="Calibri" w:hAnsi="Calibri"/>
                <w:sz w:val="14"/>
                <w:szCs w:val="14"/>
                <w:color w:val="auto"/>
              </w:rPr>
              <w:t>02/01/2022</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3,800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234,346</w:t>
            </w:r>
          </w:p>
        </w:tc>
        <w:tc>
          <w:tcPr>
            <w:tcW w:w="1740" w:type="dxa"/>
            <w:vAlign w:val="bottom"/>
            <w:gridSpan w:val="2"/>
            <w:shd w:val="clear" w:color="auto" w:fill="CFF0FC"/>
          </w:tcPr>
          <w:p>
            <w:pPr>
              <w:jc w:val="center"/>
              <w:ind w:left="308"/>
              <w:spacing w:after="0"/>
              <w:rPr>
                <w:sz w:val="20"/>
                <w:szCs w:val="20"/>
                <w:color w:val="auto"/>
              </w:rPr>
            </w:pPr>
            <w:r>
              <w:rPr>
                <w:rFonts w:ascii="Calibri" w:cs="Calibri" w:eastAsia="Calibri" w:hAnsi="Calibri"/>
                <w:sz w:val="14"/>
                <w:szCs w:val="14"/>
                <w:color w:val="auto"/>
              </w:rPr>
              <w:t>2/1/2023</w:t>
            </w:r>
          </w:p>
        </w:tc>
        <w:tc>
          <w:tcPr>
            <w:tcW w:w="170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18,000</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1,110,060</w:t>
            </w:r>
          </w:p>
        </w:tc>
      </w:tr>
      <w:tr>
        <w:trPr>
          <w:trHeight w:val="170"/>
        </w:trPr>
        <w:tc>
          <w:tcPr>
            <w:tcW w:w="18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2/1/2023</w:t>
            </w:r>
          </w:p>
        </w:tc>
        <w:tc>
          <w:tcPr>
            <w:tcW w:w="1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6,750</w:t>
            </w:r>
          </w:p>
        </w:tc>
        <w:tc>
          <w:tcPr>
            <w:tcW w:w="16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416,273</w:t>
            </w:r>
          </w:p>
        </w:tc>
        <w:tc>
          <w:tcPr>
            <w:tcW w:w="1740" w:type="dxa"/>
            <w:vAlign w:val="bottom"/>
            <w:gridSpan w:val="2"/>
            <w:shd w:val="clear" w:color="auto" w:fill="CFF0FC"/>
          </w:tcPr>
          <w:p>
            <w:pPr>
              <w:jc w:val="center"/>
              <w:ind w:left="308"/>
              <w:spacing w:after="0"/>
              <w:rPr>
                <w:sz w:val="20"/>
                <w:szCs w:val="20"/>
                <w:color w:val="auto"/>
              </w:rPr>
            </w:pPr>
            <w:r>
              <w:rPr>
                <w:rFonts w:ascii="Calibri" w:cs="Calibri" w:eastAsia="Calibri" w:hAnsi="Calibri"/>
                <w:sz w:val="14"/>
                <w:szCs w:val="14"/>
                <w:color w:val="auto"/>
              </w:rPr>
              <w:t>2/1/2024</w:t>
            </w:r>
          </w:p>
        </w:tc>
        <w:tc>
          <w:tcPr>
            <w:tcW w:w="1700" w:type="dxa"/>
            <w:vAlign w:val="bottom"/>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12,200</w:t>
            </w:r>
          </w:p>
        </w:tc>
        <w:tc>
          <w:tcPr>
            <w:tcW w:w="14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752,374</w:t>
            </w:r>
          </w:p>
        </w:tc>
      </w:tr>
      <w:tr>
        <w:trPr>
          <w:trHeight w:val="186"/>
        </w:trPr>
        <w:tc>
          <w:tcPr>
            <w:tcW w:w="1840" w:type="dxa"/>
            <w:vAlign w:val="bottom"/>
            <w:tcBorders>
              <w:bottom w:val="single" w:sz="8" w:color="005CA9"/>
            </w:tcBorders>
            <w:shd w:val="clear" w:color="auto" w:fill="CFF0FC"/>
          </w:tcPr>
          <w:p>
            <w:pPr>
              <w:spacing w:after="0"/>
              <w:rPr>
                <w:sz w:val="16"/>
                <w:szCs w:val="16"/>
                <w:color w:val="auto"/>
              </w:rPr>
            </w:pPr>
          </w:p>
        </w:tc>
        <w:tc>
          <w:tcPr>
            <w:tcW w:w="320" w:type="dxa"/>
            <w:vAlign w:val="bottom"/>
            <w:tcBorders>
              <w:bottom w:val="single" w:sz="8" w:color="005CA9"/>
            </w:tcBorders>
            <w:shd w:val="clear" w:color="auto" w:fill="CFF0FC"/>
          </w:tcPr>
          <w:p>
            <w:pPr>
              <w:spacing w:after="0"/>
              <w:rPr>
                <w:sz w:val="16"/>
                <w:szCs w:val="16"/>
                <w:color w:val="auto"/>
              </w:rPr>
            </w:pPr>
          </w:p>
        </w:tc>
        <w:tc>
          <w:tcPr>
            <w:tcW w:w="1380" w:type="dxa"/>
            <w:vAlign w:val="bottom"/>
            <w:tcBorders>
              <w:bottom w:val="single" w:sz="8" w:color="005CA9"/>
            </w:tcBorders>
            <w:shd w:val="clear" w:color="auto" w:fill="CFF0FC"/>
          </w:tcPr>
          <w:p>
            <w:pPr>
              <w:jc w:val="center"/>
              <w:spacing w:after="0"/>
              <w:rPr>
                <w:sz w:val="20"/>
                <w:szCs w:val="20"/>
                <w:color w:val="auto"/>
              </w:rPr>
            </w:pPr>
            <w:r>
              <w:rPr>
                <w:rFonts w:ascii="Calibri" w:cs="Calibri" w:eastAsia="Calibri" w:hAnsi="Calibri"/>
                <w:sz w:val="14"/>
                <w:szCs w:val="14"/>
                <w:color w:val="auto"/>
              </w:rPr>
              <w:t>2/1/2024</w:t>
            </w:r>
          </w:p>
        </w:tc>
        <w:tc>
          <w:tcPr>
            <w:tcW w:w="1160" w:type="dxa"/>
            <w:vAlign w:val="bottom"/>
            <w:tcBorders>
              <w:bottom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6,100</w:t>
            </w:r>
          </w:p>
        </w:tc>
        <w:tc>
          <w:tcPr>
            <w:tcW w:w="1660" w:type="dxa"/>
            <w:vAlign w:val="bottom"/>
            <w:tcBorders>
              <w:bottom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376,187</w:t>
            </w:r>
          </w:p>
        </w:tc>
        <w:tc>
          <w:tcPr>
            <w:tcW w:w="38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005CA9"/>
            </w:tcBorders>
            <w:shd w:val="clear" w:color="auto" w:fill="CFF0FC"/>
          </w:tcPr>
          <w:p>
            <w:pPr>
              <w:jc w:val="center"/>
              <w:spacing w:after="0"/>
              <w:rPr>
                <w:sz w:val="20"/>
                <w:szCs w:val="20"/>
                <w:color w:val="auto"/>
              </w:rPr>
            </w:pPr>
            <w:r>
              <w:rPr>
                <w:rFonts w:ascii="Calibri" w:cs="Calibri" w:eastAsia="Calibri" w:hAnsi="Calibri"/>
                <w:sz w:val="14"/>
                <w:szCs w:val="14"/>
                <w:color w:val="auto"/>
                <w:w w:val="94"/>
              </w:rPr>
              <w:t>—</w:t>
            </w:r>
          </w:p>
        </w:tc>
        <w:tc>
          <w:tcPr>
            <w:tcW w:w="120" w:type="dxa"/>
            <w:vAlign w:val="bottom"/>
            <w:tcBorders>
              <w:bottom w:val="single" w:sz="8" w:color="005CA9"/>
            </w:tcBorders>
            <w:shd w:val="clear" w:color="auto" w:fill="CFF0FC"/>
          </w:tcPr>
          <w:p>
            <w:pPr>
              <w:spacing w:after="0"/>
              <w:rPr>
                <w:sz w:val="16"/>
                <w:szCs w:val="16"/>
                <w:color w:val="auto"/>
              </w:rPr>
            </w:pPr>
          </w:p>
        </w:tc>
        <w:tc>
          <w:tcPr>
            <w:tcW w:w="1580" w:type="dxa"/>
            <w:vAlign w:val="bottom"/>
            <w:tcBorders>
              <w:bottom w:val="single" w:sz="8" w:color="005CA9"/>
            </w:tcBorders>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440" w:type="dxa"/>
            <w:vAlign w:val="bottom"/>
            <w:tcBorders>
              <w:bottom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-7620</wp:posOffset>
            </wp:positionV>
            <wp:extent cx="1460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ind w:left="160" w:hanging="10"/>
        <w:spacing w:after="0" w:line="232" w:lineRule="auto"/>
        <w:tabs>
          <w:tab w:leader="none" w:pos="358"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RSU awards vest in four equal annual installments. RSUs granted February 8, 2021 vested on February 24, 2025. RSUs granted May 24, 2021 vest on May 24, 2025. RSUs granted May 1 vest on May 1 of each anniversary date. RSUs granted May 26, 2022, May 24, 2023, and May 30, 2024, vest on May 26.</w:t>
      </w:r>
    </w:p>
    <w:p>
      <w:pPr>
        <w:spacing w:after="0" w:line="6" w:lineRule="exact"/>
        <w:rPr>
          <w:rFonts w:ascii="Calibri" w:cs="Calibri" w:eastAsia="Calibri" w:hAnsi="Calibri"/>
          <w:sz w:val="14"/>
          <w:szCs w:val="14"/>
          <w:color w:val="auto"/>
        </w:rPr>
      </w:pPr>
    </w:p>
    <w:p>
      <w:pPr>
        <w:jc w:val="both"/>
        <w:ind w:left="160"/>
        <w:spacing w:after="0" w:line="246" w:lineRule="auto"/>
        <w:rPr>
          <w:rFonts w:ascii="Calibri" w:cs="Calibri" w:eastAsia="Calibri" w:hAnsi="Calibri"/>
          <w:sz w:val="14"/>
          <w:szCs w:val="14"/>
          <w:color w:val="auto"/>
        </w:rPr>
      </w:pPr>
      <w:r>
        <w:rPr>
          <w:rFonts w:ascii="Calibri" w:cs="Calibri" w:eastAsia="Calibri" w:hAnsi="Calibri"/>
          <w:sz w:val="14"/>
          <w:szCs w:val="14"/>
          <w:color w:val="auto"/>
        </w:rPr>
        <w:t>PSU awards can pay out between 0% and 200% of target, based on actual performance compared to pre-established, three-year fnancial performance targets. The amount refected in column J is based on an achievement level of 200%, based on the most recent performance-based award achievement. The price per share to calculate the above value of equity awards was $61.67 which was the closing price per share on December 31, 2024. PSUs contain a performance-based vestng conditon under which the PSUs will vest upon the Company achieving a cumulatve 3-year performance-related conditon. PSUs typically pay out upon the fling of the Company's Annual Report on Form 10-K. There are no outstanding stock optons.</w:t>
      </w:r>
    </w:p>
    <w:p>
      <w:pPr>
        <w:spacing w:after="0" w:line="39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54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7" w:name="page58"/>
    <w:bookmarkEnd w:id="57"/>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t>OPTION EXERCISES AND STOCK VESTED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The following table sets forth certain informaton regarding vestng of RSU or PSUs held by NEOs during the year ended December 31, 2024 (no stock optons were exercised during the period):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060" w:type="dxa"/>
            <w:vAlign w:val="bottom"/>
            <w:tcBorders>
              <w:top w:val="single" w:sz="8" w:color="005CA9"/>
            </w:tcBorders>
          </w:tcPr>
          <w:p>
            <w:pPr>
              <w:spacing w:after="0"/>
              <w:rPr>
                <w:sz w:val="24"/>
                <w:szCs w:val="24"/>
                <w:color w:val="auto"/>
              </w:rPr>
            </w:pPr>
          </w:p>
        </w:tc>
        <w:tc>
          <w:tcPr>
            <w:tcW w:w="3200" w:type="dxa"/>
            <w:vAlign w:val="bottom"/>
            <w:tcBorders>
              <w:top w:val="single" w:sz="8" w:color="005CA9"/>
              <w:bottom w:val="single" w:sz="8" w:color="005CA9"/>
            </w:tcBorders>
          </w:tcPr>
          <w:p>
            <w:pPr>
              <w:jc w:val="right"/>
              <w:ind w:right="1"/>
              <w:spacing w:after="0"/>
              <w:rPr>
                <w:sz w:val="20"/>
                <w:szCs w:val="20"/>
                <w:color w:val="auto"/>
              </w:rPr>
            </w:pPr>
            <w:r>
              <w:rPr>
                <w:rFonts w:ascii="Calibri" w:cs="Calibri" w:eastAsia="Calibri" w:hAnsi="Calibri"/>
                <w:sz w:val="20"/>
                <w:szCs w:val="20"/>
                <w:b w:val="1"/>
                <w:bCs w:val="1"/>
                <w:color w:val="auto"/>
              </w:rPr>
              <w:t>Stock Awards</w:t>
            </w:r>
          </w:p>
        </w:tc>
        <w:tc>
          <w:tcPr>
            <w:tcW w:w="1980" w:type="dxa"/>
            <w:vAlign w:val="bottom"/>
            <w:tcBorders>
              <w:top w:val="single" w:sz="8" w:color="005CA9"/>
              <w:bottom w:val="single" w:sz="8" w:color="005CA9"/>
            </w:tcBorders>
          </w:tcPr>
          <w:p>
            <w:pPr>
              <w:spacing w:after="0"/>
              <w:rPr>
                <w:sz w:val="24"/>
                <w:szCs w:val="24"/>
                <w:color w:val="auto"/>
              </w:rPr>
            </w:pPr>
          </w:p>
        </w:tc>
      </w:tr>
      <w:tr>
        <w:trPr>
          <w:trHeight w:val="219"/>
        </w:trPr>
        <w:tc>
          <w:tcPr>
            <w:tcW w:w="6060" w:type="dxa"/>
            <w:vAlign w:val="bottom"/>
          </w:tcPr>
          <w:p>
            <w:pPr>
              <w:spacing w:after="0"/>
              <w:rPr>
                <w:sz w:val="19"/>
                <w:szCs w:val="19"/>
                <w:color w:val="auto"/>
              </w:rPr>
            </w:pPr>
          </w:p>
        </w:tc>
        <w:tc>
          <w:tcPr>
            <w:tcW w:w="3200" w:type="dxa"/>
            <w:vAlign w:val="bottom"/>
          </w:tcPr>
          <w:p>
            <w:pPr>
              <w:jc w:val="center"/>
              <w:ind w:right="701"/>
              <w:spacing w:after="0" w:line="218" w:lineRule="exact"/>
              <w:rPr>
                <w:sz w:val="20"/>
                <w:szCs w:val="20"/>
                <w:color w:val="auto"/>
              </w:rPr>
            </w:pPr>
            <w:r>
              <w:rPr>
                <w:rFonts w:ascii="Calibri" w:cs="Calibri" w:eastAsia="Calibri" w:hAnsi="Calibri"/>
                <w:sz w:val="20"/>
                <w:szCs w:val="20"/>
                <w:b w:val="1"/>
                <w:bCs w:val="1"/>
                <w:color w:val="auto"/>
              </w:rPr>
              <w:t>Number of Shares</w:t>
            </w:r>
          </w:p>
        </w:tc>
        <w:tc>
          <w:tcPr>
            <w:tcW w:w="1980" w:type="dxa"/>
            <w:vAlign w:val="bottom"/>
          </w:tcPr>
          <w:p>
            <w:pPr>
              <w:spacing w:after="0"/>
              <w:rPr>
                <w:sz w:val="19"/>
                <w:szCs w:val="19"/>
                <w:color w:val="auto"/>
              </w:rPr>
            </w:pPr>
          </w:p>
        </w:tc>
      </w:tr>
      <w:tr>
        <w:trPr>
          <w:trHeight w:val="234"/>
        </w:trPr>
        <w:tc>
          <w:tcPr>
            <w:tcW w:w="6060" w:type="dxa"/>
            <w:vAlign w:val="bottom"/>
          </w:tcPr>
          <w:p>
            <w:pPr>
              <w:spacing w:after="0"/>
              <w:rPr>
                <w:sz w:val="20"/>
                <w:szCs w:val="20"/>
                <w:color w:val="auto"/>
              </w:rPr>
            </w:pPr>
          </w:p>
        </w:tc>
        <w:tc>
          <w:tcPr>
            <w:tcW w:w="3200" w:type="dxa"/>
            <w:vAlign w:val="bottom"/>
          </w:tcPr>
          <w:p>
            <w:pPr>
              <w:jc w:val="center"/>
              <w:ind w:right="761"/>
              <w:spacing w:after="0" w:line="234" w:lineRule="exact"/>
              <w:rPr>
                <w:sz w:val="20"/>
                <w:szCs w:val="20"/>
                <w:color w:val="auto"/>
              </w:rPr>
            </w:pPr>
            <w:r>
              <w:rPr>
                <w:rFonts w:ascii="Calibri" w:cs="Calibri" w:eastAsia="Calibri" w:hAnsi="Calibri"/>
                <w:sz w:val="20"/>
                <w:szCs w:val="20"/>
                <w:b w:val="1"/>
                <w:bCs w:val="1"/>
                <w:color w:val="auto"/>
              </w:rPr>
              <w:t>Acquired on</w:t>
            </w:r>
          </w:p>
        </w:tc>
        <w:tc>
          <w:tcPr>
            <w:tcW w:w="1980" w:type="dxa"/>
            <w:vAlign w:val="bottom"/>
          </w:tcPr>
          <w:p>
            <w:pPr>
              <w:jc w:val="center"/>
              <w:ind w:right="481"/>
              <w:spacing w:after="0" w:line="234" w:lineRule="exact"/>
              <w:rPr>
                <w:sz w:val="20"/>
                <w:szCs w:val="20"/>
                <w:color w:val="auto"/>
              </w:rPr>
            </w:pPr>
            <w:r>
              <w:rPr>
                <w:rFonts w:ascii="Calibri" w:cs="Calibri" w:eastAsia="Calibri" w:hAnsi="Calibri"/>
                <w:sz w:val="20"/>
                <w:szCs w:val="20"/>
                <w:b w:val="1"/>
                <w:bCs w:val="1"/>
                <w:color w:val="auto"/>
              </w:rPr>
              <w:t>Value Realized</w:t>
            </w:r>
          </w:p>
        </w:tc>
      </w:tr>
      <w:tr>
        <w:trPr>
          <w:trHeight w:val="218"/>
        </w:trPr>
        <w:tc>
          <w:tcPr>
            <w:tcW w:w="6060" w:type="dxa"/>
            <w:vAlign w:val="bottom"/>
          </w:tcPr>
          <w:p>
            <w:pPr>
              <w:spacing w:after="0"/>
              <w:rPr>
                <w:sz w:val="18"/>
                <w:szCs w:val="18"/>
                <w:color w:val="auto"/>
              </w:rPr>
            </w:pPr>
          </w:p>
        </w:tc>
        <w:tc>
          <w:tcPr>
            <w:tcW w:w="3200" w:type="dxa"/>
            <w:vAlign w:val="bottom"/>
          </w:tcPr>
          <w:p>
            <w:pPr>
              <w:jc w:val="center"/>
              <w:ind w:right="721"/>
              <w:spacing w:after="0" w:line="218" w:lineRule="exact"/>
              <w:rPr>
                <w:sz w:val="20"/>
                <w:szCs w:val="20"/>
                <w:color w:val="auto"/>
              </w:rPr>
            </w:pPr>
            <w:r>
              <w:rPr>
                <w:rFonts w:ascii="Calibri" w:cs="Calibri" w:eastAsia="Calibri" w:hAnsi="Calibri"/>
                <w:sz w:val="20"/>
                <w:szCs w:val="20"/>
                <w:b w:val="1"/>
                <w:bCs w:val="1"/>
                <w:color w:val="auto"/>
              </w:rPr>
              <w:t>Vestng</w:t>
            </w:r>
          </w:p>
        </w:tc>
        <w:tc>
          <w:tcPr>
            <w:tcW w:w="1980" w:type="dxa"/>
            <w:vAlign w:val="bottom"/>
          </w:tcPr>
          <w:p>
            <w:pPr>
              <w:jc w:val="center"/>
              <w:ind w:right="481"/>
              <w:spacing w:after="0" w:line="218" w:lineRule="exact"/>
              <w:rPr>
                <w:sz w:val="20"/>
                <w:szCs w:val="20"/>
                <w:color w:val="auto"/>
              </w:rPr>
            </w:pPr>
            <w:r>
              <w:rPr>
                <w:rFonts w:ascii="Calibri" w:cs="Calibri" w:eastAsia="Calibri" w:hAnsi="Calibri"/>
                <w:sz w:val="20"/>
                <w:szCs w:val="20"/>
                <w:b w:val="1"/>
                <w:bCs w:val="1"/>
                <w:color w:val="auto"/>
              </w:rPr>
              <w:t>on Vestng</w:t>
            </w:r>
          </w:p>
        </w:tc>
      </w:tr>
      <w:tr>
        <w:trPr>
          <w:trHeight w:val="321"/>
        </w:trPr>
        <w:tc>
          <w:tcPr>
            <w:tcW w:w="6060" w:type="dxa"/>
            <w:vAlign w:val="bottom"/>
            <w:tcBorders>
              <w:bottom w:val="single" w:sz="8" w:color="005CA9"/>
            </w:tcBorders>
          </w:tcPr>
          <w:p>
            <w:pPr>
              <w:ind w:left="20"/>
              <w:spacing w:after="0"/>
              <w:rPr>
                <w:sz w:val="20"/>
                <w:szCs w:val="20"/>
                <w:color w:val="auto"/>
              </w:rPr>
            </w:pPr>
            <w:r>
              <w:rPr>
                <w:rFonts w:ascii="Calibri" w:cs="Calibri" w:eastAsia="Calibri" w:hAnsi="Calibri"/>
                <w:sz w:val="20"/>
                <w:szCs w:val="20"/>
                <w:b w:val="1"/>
                <w:bCs w:val="1"/>
                <w:color w:val="auto"/>
              </w:rPr>
              <w:t>Name</w:t>
            </w:r>
          </w:p>
        </w:tc>
        <w:tc>
          <w:tcPr>
            <w:tcW w:w="3200" w:type="dxa"/>
            <w:vAlign w:val="bottom"/>
            <w:tcBorders>
              <w:bottom w:val="single" w:sz="8" w:color="005CA9"/>
            </w:tcBorders>
          </w:tcPr>
          <w:p>
            <w:pPr>
              <w:jc w:val="center"/>
              <w:ind w:right="701"/>
              <w:spacing w:after="0"/>
              <w:rPr>
                <w:sz w:val="20"/>
                <w:szCs w:val="20"/>
                <w:color w:val="auto"/>
              </w:rPr>
            </w:pPr>
            <w:r>
              <w:rPr>
                <w:rFonts w:ascii="Calibri" w:cs="Calibri" w:eastAsia="Calibri" w:hAnsi="Calibri"/>
                <w:sz w:val="20"/>
                <w:szCs w:val="20"/>
                <w:b w:val="1"/>
                <w:bCs w:val="1"/>
                <w:color w:val="auto"/>
              </w:rPr>
              <w:t>(#)</w:t>
            </w:r>
          </w:p>
        </w:tc>
        <w:tc>
          <w:tcPr>
            <w:tcW w:w="1980" w:type="dxa"/>
            <w:vAlign w:val="bottom"/>
            <w:tcBorders>
              <w:bottom w:val="single" w:sz="8" w:color="005CA9"/>
            </w:tcBorders>
          </w:tcPr>
          <w:p>
            <w:pPr>
              <w:jc w:val="center"/>
              <w:ind w:right="481"/>
              <w:spacing w:after="0" w:line="301" w:lineRule="exact"/>
              <w:rPr>
                <w:sz w:val="20"/>
                <w:szCs w:val="20"/>
                <w:color w:val="auto"/>
              </w:rPr>
            </w:pPr>
            <w:r>
              <w:rPr>
                <w:rFonts w:ascii="Calibri" w:cs="Calibri" w:eastAsia="Calibri" w:hAnsi="Calibri"/>
                <w:sz w:val="20"/>
                <w:szCs w:val="20"/>
                <w:b w:val="1"/>
                <w:bCs w:val="1"/>
                <w:color w:val="auto"/>
                <w:w w:val="94"/>
              </w:rPr>
              <w:t xml:space="preserve">($) </w:t>
            </w:r>
            <w:r>
              <w:rPr>
                <w:rFonts w:ascii="Calibri" w:cs="Calibri" w:eastAsia="Calibri" w:hAnsi="Calibri"/>
                <w:sz w:val="26"/>
                <w:szCs w:val="26"/>
                <w:b w:val="1"/>
                <w:bCs w:val="1"/>
                <w:color w:val="auto"/>
                <w:w w:val="94"/>
                <w:vertAlign w:val="superscript"/>
              </w:rPr>
              <w:t>(1)</w:t>
            </w:r>
          </w:p>
        </w:tc>
      </w:tr>
      <w:tr>
        <w:trPr>
          <w:trHeight w:val="243"/>
        </w:trPr>
        <w:tc>
          <w:tcPr>
            <w:tcW w:w="6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Dr. Keh-Shew Lu</w:t>
            </w:r>
          </w:p>
        </w:tc>
        <w:tc>
          <w:tcPr>
            <w:tcW w:w="3200" w:type="dxa"/>
            <w:vAlign w:val="bottom"/>
            <w:shd w:val="clear" w:color="auto" w:fill="CFF0FC"/>
          </w:tcPr>
          <w:p>
            <w:pPr>
              <w:jc w:val="right"/>
              <w:ind w:right="721"/>
              <w:spacing w:after="0" w:line="234" w:lineRule="exact"/>
              <w:rPr>
                <w:sz w:val="20"/>
                <w:szCs w:val="20"/>
                <w:color w:val="auto"/>
              </w:rPr>
            </w:pPr>
            <w:r>
              <w:rPr>
                <w:rFonts w:ascii="Calibri" w:cs="Calibri" w:eastAsia="Calibri" w:hAnsi="Calibri"/>
                <w:sz w:val="20"/>
                <w:szCs w:val="20"/>
                <w:color w:val="auto"/>
              </w:rPr>
              <w:t>109,463</w:t>
            </w:r>
          </w:p>
        </w:tc>
        <w:tc>
          <w:tcPr>
            <w:tcW w:w="19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7,483,498</w:t>
            </w:r>
          </w:p>
        </w:tc>
      </w:tr>
      <w:tr>
        <w:trPr>
          <w:trHeight w:val="239"/>
        </w:trPr>
        <w:tc>
          <w:tcPr>
            <w:tcW w:w="606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Bret R. Whitmire</w:t>
            </w:r>
          </w:p>
        </w:tc>
        <w:tc>
          <w:tcPr>
            <w:tcW w:w="3200" w:type="dxa"/>
            <w:vAlign w:val="bottom"/>
          </w:tcPr>
          <w:p>
            <w:pPr>
              <w:jc w:val="right"/>
              <w:ind w:right="721"/>
              <w:spacing w:after="0" w:line="234" w:lineRule="exact"/>
              <w:rPr>
                <w:sz w:val="20"/>
                <w:szCs w:val="20"/>
                <w:color w:val="auto"/>
              </w:rPr>
            </w:pPr>
            <w:r>
              <w:rPr>
                <w:rFonts w:ascii="Calibri" w:cs="Calibri" w:eastAsia="Calibri" w:hAnsi="Calibri"/>
                <w:sz w:val="20"/>
                <w:szCs w:val="20"/>
                <w:color w:val="auto"/>
              </w:rPr>
              <w:t>23,950</w:t>
            </w:r>
          </w:p>
        </w:tc>
        <w:tc>
          <w:tcPr>
            <w:tcW w:w="19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1,630,358</w:t>
            </w:r>
          </w:p>
        </w:tc>
      </w:tr>
      <w:tr>
        <w:trPr>
          <w:trHeight w:val="247"/>
        </w:trPr>
        <w:tc>
          <w:tcPr>
            <w:tcW w:w="6060" w:type="dxa"/>
            <w:vAlign w:val="bottom"/>
            <w:shd w:val="clear" w:color="auto" w:fill="CFF0FC"/>
          </w:tcPr>
          <w:p>
            <w:pPr>
              <w:ind w:left="20"/>
              <w:spacing w:after="0" w:line="239" w:lineRule="exact"/>
              <w:rPr>
                <w:sz w:val="20"/>
                <w:szCs w:val="20"/>
                <w:color w:val="auto"/>
              </w:rPr>
            </w:pPr>
            <w:r>
              <w:rPr>
                <w:rFonts w:ascii="Calibri" w:cs="Calibri" w:eastAsia="Calibri" w:hAnsi="Calibri"/>
                <w:sz w:val="20"/>
                <w:szCs w:val="20"/>
                <w:b w:val="1"/>
                <w:bCs w:val="1"/>
                <w:color w:val="auto"/>
              </w:rPr>
              <w:t>Gary Yu</w:t>
            </w:r>
          </w:p>
        </w:tc>
        <w:tc>
          <w:tcPr>
            <w:tcW w:w="3200" w:type="dxa"/>
            <w:vAlign w:val="bottom"/>
            <w:shd w:val="clear" w:color="auto" w:fill="CFF0FC"/>
          </w:tcPr>
          <w:p>
            <w:pPr>
              <w:jc w:val="right"/>
              <w:ind w:right="721"/>
              <w:spacing w:after="0" w:line="239" w:lineRule="exact"/>
              <w:rPr>
                <w:sz w:val="20"/>
                <w:szCs w:val="20"/>
                <w:color w:val="auto"/>
              </w:rPr>
            </w:pPr>
            <w:r>
              <w:rPr>
                <w:rFonts w:ascii="Calibri" w:cs="Calibri" w:eastAsia="Calibri" w:hAnsi="Calibri"/>
                <w:sz w:val="20"/>
                <w:szCs w:val="20"/>
                <w:color w:val="auto"/>
              </w:rPr>
              <w:t>26,500</w:t>
            </w:r>
          </w:p>
        </w:tc>
        <w:tc>
          <w:tcPr>
            <w:tcW w:w="1980" w:type="dxa"/>
            <w:vAlign w:val="bottom"/>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1,808,390</w:t>
            </w:r>
          </w:p>
        </w:tc>
      </w:tr>
      <w:tr>
        <w:trPr>
          <w:trHeight w:val="239"/>
        </w:trPr>
        <w:tc>
          <w:tcPr>
            <w:tcW w:w="606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Francis Tang</w:t>
            </w:r>
          </w:p>
        </w:tc>
        <w:tc>
          <w:tcPr>
            <w:tcW w:w="3200" w:type="dxa"/>
            <w:vAlign w:val="bottom"/>
          </w:tcPr>
          <w:p>
            <w:pPr>
              <w:jc w:val="right"/>
              <w:ind w:right="721"/>
              <w:spacing w:after="0" w:line="234" w:lineRule="exact"/>
              <w:rPr>
                <w:sz w:val="20"/>
                <w:szCs w:val="20"/>
                <w:color w:val="auto"/>
              </w:rPr>
            </w:pPr>
            <w:r>
              <w:rPr>
                <w:rFonts w:ascii="Calibri" w:cs="Calibri" w:eastAsia="Calibri" w:hAnsi="Calibri"/>
                <w:sz w:val="20"/>
                <w:szCs w:val="20"/>
                <w:color w:val="auto"/>
              </w:rPr>
              <w:t>25,075</w:t>
            </w:r>
          </w:p>
        </w:tc>
        <w:tc>
          <w:tcPr>
            <w:tcW w:w="19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1,706,756</w:t>
            </w:r>
          </w:p>
        </w:tc>
      </w:tr>
      <w:tr>
        <w:trPr>
          <w:trHeight w:val="243"/>
        </w:trPr>
        <w:tc>
          <w:tcPr>
            <w:tcW w:w="6060" w:type="dxa"/>
            <w:vAlign w:val="bottom"/>
            <w:tcBorders>
              <w:bottom w:val="single" w:sz="8" w:color="005CA9"/>
            </w:tcBorders>
            <w:shd w:val="clear" w:color="auto" w:fill="CFF0FC"/>
          </w:tcPr>
          <w:p>
            <w:pPr>
              <w:ind w:left="20"/>
              <w:spacing w:after="0" w:line="239" w:lineRule="exact"/>
              <w:rPr>
                <w:sz w:val="20"/>
                <w:szCs w:val="20"/>
                <w:color w:val="auto"/>
              </w:rPr>
            </w:pPr>
            <w:r>
              <w:rPr>
                <w:rFonts w:ascii="Calibri" w:cs="Calibri" w:eastAsia="Calibri" w:hAnsi="Calibri"/>
                <w:sz w:val="20"/>
                <w:szCs w:val="20"/>
                <w:b w:val="1"/>
                <w:bCs w:val="1"/>
                <w:color w:val="auto"/>
              </w:rPr>
              <w:t>Emily Yang</w:t>
            </w:r>
          </w:p>
        </w:tc>
        <w:tc>
          <w:tcPr>
            <w:tcW w:w="3200" w:type="dxa"/>
            <w:vAlign w:val="bottom"/>
            <w:tcBorders>
              <w:bottom w:val="single" w:sz="8" w:color="005CA9"/>
            </w:tcBorders>
            <w:shd w:val="clear" w:color="auto" w:fill="CFF0FC"/>
          </w:tcPr>
          <w:p>
            <w:pPr>
              <w:jc w:val="right"/>
              <w:ind w:right="721"/>
              <w:spacing w:after="0" w:line="239" w:lineRule="exact"/>
              <w:rPr>
                <w:sz w:val="20"/>
                <w:szCs w:val="20"/>
                <w:color w:val="auto"/>
              </w:rPr>
            </w:pPr>
            <w:r>
              <w:rPr>
                <w:rFonts w:ascii="Calibri" w:cs="Calibri" w:eastAsia="Calibri" w:hAnsi="Calibri"/>
                <w:sz w:val="20"/>
                <w:szCs w:val="20"/>
                <w:color w:val="auto"/>
              </w:rPr>
              <w:t>24,175</w:t>
            </w:r>
          </w:p>
        </w:tc>
        <w:tc>
          <w:tcPr>
            <w:tcW w:w="1980" w:type="dxa"/>
            <w:vAlign w:val="bottom"/>
            <w:tcBorders>
              <w:bottom w:val="single" w:sz="8" w:color="005CA9"/>
            </w:tcBorders>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1,645,637</w:t>
            </w:r>
          </w:p>
        </w:tc>
      </w:tr>
    </w:tbl>
    <w:p>
      <w:pPr>
        <w:jc w:val="both"/>
        <w:ind w:firstLine="16"/>
        <w:spacing w:after="0" w:line="237" w:lineRule="auto"/>
        <w:tabs>
          <w:tab w:leader="none" w:pos="203"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Value realized on vestng is calculated by (i) multplying the number of shares acquired upon vestng by (ii) the closing share price of the Common Stock of the Company on the vestng date and does not necessarily refect the actual value realized. The actual value ultmately realized depends upon the number of shares actually sold by each NEO, if any, and the value received upon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The following table sets forth informaton with respect to shares of Common Stock that may be issued under the Company’s equity compensaton plans as of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80" w:type="dxa"/>
            <w:vAlign w:val="bottom"/>
            <w:tcBorders>
              <w:top w:val="single" w:sz="8" w:color="005CA9"/>
            </w:tcBorders>
          </w:tcPr>
          <w:p>
            <w:pPr>
              <w:spacing w:after="0"/>
              <w:rPr>
                <w:sz w:val="17"/>
                <w:szCs w:val="17"/>
                <w:color w:val="auto"/>
              </w:rPr>
            </w:pPr>
          </w:p>
        </w:tc>
        <w:tc>
          <w:tcPr>
            <w:tcW w:w="2960" w:type="dxa"/>
            <w:vAlign w:val="bottom"/>
            <w:tcBorders>
              <w:top w:val="single" w:sz="8" w:color="005CA9"/>
            </w:tcBorders>
          </w:tcPr>
          <w:p>
            <w:pPr>
              <w:jc w:val="center"/>
              <w:ind w:left="214"/>
              <w:spacing w:after="0"/>
              <w:rPr>
                <w:sz w:val="20"/>
                <w:szCs w:val="20"/>
                <w:color w:val="auto"/>
              </w:rPr>
            </w:pPr>
            <w:r>
              <w:rPr>
                <w:rFonts w:ascii="Calibri" w:cs="Calibri" w:eastAsia="Calibri" w:hAnsi="Calibri"/>
                <w:sz w:val="16"/>
                <w:szCs w:val="16"/>
                <w:b w:val="1"/>
                <w:bCs w:val="1"/>
                <w:color w:val="auto"/>
              </w:rPr>
              <w:t>Number of</w:t>
            </w:r>
          </w:p>
        </w:tc>
        <w:tc>
          <w:tcPr>
            <w:tcW w:w="1620" w:type="dxa"/>
            <w:vAlign w:val="bottom"/>
            <w:tcBorders>
              <w:top w:val="single" w:sz="8" w:color="005CA9"/>
            </w:tcBorders>
          </w:tcPr>
          <w:p>
            <w:pPr>
              <w:spacing w:after="0"/>
              <w:rPr>
                <w:sz w:val="17"/>
                <w:szCs w:val="17"/>
                <w:color w:val="auto"/>
              </w:rPr>
            </w:pPr>
          </w:p>
        </w:tc>
        <w:tc>
          <w:tcPr>
            <w:tcW w:w="300" w:type="dxa"/>
            <w:vAlign w:val="bottom"/>
            <w:tcBorders>
              <w:top w:val="single" w:sz="8" w:color="005CA9"/>
            </w:tcBorders>
          </w:tcPr>
          <w:p>
            <w:pPr>
              <w:spacing w:after="0"/>
              <w:rPr>
                <w:sz w:val="17"/>
                <w:szCs w:val="17"/>
                <w:color w:val="auto"/>
              </w:rPr>
            </w:pPr>
          </w:p>
        </w:tc>
        <w:tc>
          <w:tcPr>
            <w:tcW w:w="2380" w:type="dxa"/>
            <w:vAlign w:val="bottom"/>
            <w:tcBorders>
              <w:top w:val="single" w:sz="8" w:color="005CA9"/>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80" w:type="dxa"/>
            <w:vAlign w:val="bottom"/>
          </w:tcPr>
          <w:p>
            <w:pPr>
              <w:spacing w:after="0"/>
              <w:rPr>
                <w:sz w:val="16"/>
                <w:szCs w:val="16"/>
                <w:color w:val="auto"/>
              </w:rPr>
            </w:pPr>
          </w:p>
        </w:tc>
        <w:tc>
          <w:tcPr>
            <w:tcW w:w="2960" w:type="dxa"/>
            <w:vAlign w:val="bottom"/>
          </w:tcPr>
          <w:p>
            <w:pPr>
              <w:jc w:val="center"/>
              <w:ind w:left="214"/>
              <w:spacing w:after="0" w:line="193" w:lineRule="exact"/>
              <w:rPr>
                <w:sz w:val="20"/>
                <w:szCs w:val="20"/>
                <w:color w:val="auto"/>
              </w:rPr>
            </w:pPr>
            <w:r>
              <w:rPr>
                <w:rFonts w:ascii="Calibri" w:cs="Calibri" w:eastAsia="Calibri" w:hAnsi="Calibri"/>
                <w:sz w:val="16"/>
                <w:szCs w:val="16"/>
                <w:b w:val="1"/>
                <w:bCs w:val="1"/>
                <w:color w:val="auto"/>
              </w:rPr>
              <w:t>Securites to be</w:t>
            </w: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tcPr>
          <w:p>
            <w:pPr>
              <w:jc w:val="center"/>
              <w:ind w:right="194"/>
              <w:spacing w:after="0" w:line="193" w:lineRule="exact"/>
              <w:rPr>
                <w:sz w:val="20"/>
                <w:szCs w:val="20"/>
                <w:color w:val="auto"/>
              </w:rPr>
            </w:pPr>
            <w:r>
              <w:rPr>
                <w:rFonts w:ascii="Calibri" w:cs="Calibri" w:eastAsia="Calibri" w:hAnsi="Calibri"/>
                <w:sz w:val="16"/>
                <w:szCs w:val="16"/>
                <w:b w:val="1"/>
                <w:bCs w:val="1"/>
                <w:color w:val="auto"/>
              </w:rPr>
              <w:t>Number of Securites</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960" w:type="dxa"/>
            <w:vAlign w:val="bottom"/>
          </w:tcPr>
          <w:p>
            <w:pPr>
              <w:jc w:val="center"/>
              <w:ind w:left="214"/>
              <w:spacing w:after="0"/>
              <w:rPr>
                <w:sz w:val="20"/>
                <w:szCs w:val="20"/>
                <w:color w:val="auto"/>
              </w:rPr>
            </w:pPr>
            <w:r>
              <w:rPr>
                <w:rFonts w:ascii="Calibri" w:cs="Calibri" w:eastAsia="Calibri" w:hAnsi="Calibri"/>
                <w:sz w:val="16"/>
                <w:szCs w:val="16"/>
                <w:b w:val="1"/>
                <w:bCs w:val="1"/>
                <w:color w:val="auto"/>
                <w:w w:val="99"/>
              </w:rPr>
              <w:t>Issued Upon</w:t>
            </w:r>
          </w:p>
        </w:tc>
        <w:tc>
          <w:tcPr>
            <w:tcW w:w="1920" w:type="dxa"/>
            <w:vAlign w:val="bottom"/>
            <w:gridSpan w:val="2"/>
          </w:tcPr>
          <w:p>
            <w:pPr>
              <w:jc w:val="center"/>
              <w:ind w:right="380"/>
              <w:spacing w:after="0"/>
              <w:rPr>
                <w:sz w:val="20"/>
                <w:szCs w:val="20"/>
                <w:color w:val="auto"/>
              </w:rPr>
            </w:pPr>
            <w:r>
              <w:rPr>
                <w:rFonts w:ascii="Calibri" w:cs="Calibri" w:eastAsia="Calibri" w:hAnsi="Calibri"/>
                <w:sz w:val="16"/>
                <w:szCs w:val="16"/>
                <w:b w:val="1"/>
                <w:bCs w:val="1"/>
                <w:color w:val="auto"/>
              </w:rPr>
              <w:t>Weighted-Average</w:t>
            </w:r>
          </w:p>
        </w:tc>
        <w:tc>
          <w:tcPr>
            <w:tcW w:w="2380" w:type="dxa"/>
            <w:vAlign w:val="bottom"/>
          </w:tcPr>
          <w:p>
            <w:pPr>
              <w:jc w:val="center"/>
              <w:ind w:right="214"/>
              <w:spacing w:after="0"/>
              <w:rPr>
                <w:sz w:val="20"/>
                <w:szCs w:val="20"/>
                <w:color w:val="auto"/>
              </w:rPr>
            </w:pPr>
            <w:r>
              <w:rPr>
                <w:rFonts w:ascii="Calibri" w:cs="Calibri" w:eastAsia="Calibri" w:hAnsi="Calibri"/>
                <w:sz w:val="16"/>
                <w:szCs w:val="16"/>
                <w:b w:val="1"/>
                <w:bCs w:val="1"/>
                <w:color w:val="auto"/>
              </w:rPr>
              <w:t>Remaining Available for</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960" w:type="dxa"/>
            <w:vAlign w:val="bottom"/>
          </w:tcPr>
          <w:p>
            <w:pPr>
              <w:jc w:val="center"/>
              <w:ind w:left="214"/>
              <w:spacing w:after="0"/>
              <w:rPr>
                <w:sz w:val="20"/>
                <w:szCs w:val="20"/>
                <w:color w:val="auto"/>
              </w:rPr>
            </w:pPr>
            <w:r>
              <w:rPr>
                <w:rFonts w:ascii="Calibri" w:cs="Calibri" w:eastAsia="Calibri" w:hAnsi="Calibri"/>
                <w:sz w:val="16"/>
                <w:szCs w:val="16"/>
                <w:b w:val="1"/>
                <w:bCs w:val="1"/>
                <w:color w:val="auto"/>
              </w:rPr>
              <w:t>Exercise of</w:t>
            </w:r>
          </w:p>
        </w:tc>
        <w:tc>
          <w:tcPr>
            <w:tcW w:w="1920" w:type="dxa"/>
            <w:vAlign w:val="bottom"/>
            <w:gridSpan w:val="2"/>
          </w:tcPr>
          <w:p>
            <w:pPr>
              <w:jc w:val="center"/>
              <w:ind w:right="400"/>
              <w:spacing w:after="0"/>
              <w:rPr>
                <w:sz w:val="20"/>
                <w:szCs w:val="20"/>
                <w:color w:val="auto"/>
              </w:rPr>
            </w:pPr>
            <w:r>
              <w:rPr>
                <w:rFonts w:ascii="Calibri" w:cs="Calibri" w:eastAsia="Calibri" w:hAnsi="Calibri"/>
                <w:sz w:val="16"/>
                <w:szCs w:val="16"/>
                <w:b w:val="1"/>
                <w:bCs w:val="1"/>
                <w:color w:val="auto"/>
              </w:rPr>
              <w:t>Exercise Price of</w:t>
            </w:r>
          </w:p>
        </w:tc>
        <w:tc>
          <w:tcPr>
            <w:tcW w:w="2380" w:type="dxa"/>
            <w:vAlign w:val="bottom"/>
          </w:tcPr>
          <w:p>
            <w:pPr>
              <w:jc w:val="center"/>
              <w:ind w:right="214"/>
              <w:spacing w:after="0"/>
              <w:rPr>
                <w:sz w:val="20"/>
                <w:szCs w:val="20"/>
                <w:color w:val="auto"/>
              </w:rPr>
            </w:pPr>
            <w:r>
              <w:rPr>
                <w:rFonts w:ascii="Calibri" w:cs="Calibri" w:eastAsia="Calibri" w:hAnsi="Calibri"/>
                <w:sz w:val="16"/>
                <w:szCs w:val="16"/>
                <w:b w:val="1"/>
                <w:bCs w:val="1"/>
                <w:color w:val="auto"/>
              </w:rPr>
              <w:t>Future Issuance Under</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960" w:type="dxa"/>
            <w:vAlign w:val="bottom"/>
          </w:tcPr>
          <w:p>
            <w:pPr>
              <w:jc w:val="center"/>
              <w:ind w:left="214"/>
              <w:spacing w:after="0"/>
              <w:rPr>
                <w:sz w:val="20"/>
                <w:szCs w:val="20"/>
                <w:color w:val="auto"/>
              </w:rPr>
            </w:pPr>
            <w:r>
              <w:rPr>
                <w:rFonts w:ascii="Calibri" w:cs="Calibri" w:eastAsia="Calibri" w:hAnsi="Calibri"/>
                <w:sz w:val="16"/>
                <w:szCs w:val="16"/>
                <w:b w:val="1"/>
                <w:bCs w:val="1"/>
                <w:color w:val="auto"/>
                <w:w w:val="99"/>
              </w:rPr>
              <w:t>Outstanding</w:t>
            </w:r>
          </w:p>
        </w:tc>
        <w:tc>
          <w:tcPr>
            <w:tcW w:w="1920" w:type="dxa"/>
            <w:vAlign w:val="bottom"/>
            <w:gridSpan w:val="2"/>
          </w:tcPr>
          <w:p>
            <w:pPr>
              <w:jc w:val="center"/>
              <w:ind w:right="400"/>
              <w:spacing w:after="0"/>
              <w:rPr>
                <w:sz w:val="20"/>
                <w:szCs w:val="20"/>
                <w:color w:val="auto"/>
              </w:rPr>
            </w:pPr>
            <w:r>
              <w:rPr>
                <w:rFonts w:ascii="Calibri" w:cs="Calibri" w:eastAsia="Calibri" w:hAnsi="Calibri"/>
                <w:sz w:val="16"/>
                <w:szCs w:val="16"/>
                <w:b w:val="1"/>
                <w:bCs w:val="1"/>
                <w:color w:val="auto"/>
              </w:rPr>
              <w:t>Outstanding</w:t>
            </w:r>
          </w:p>
        </w:tc>
        <w:tc>
          <w:tcPr>
            <w:tcW w:w="2380" w:type="dxa"/>
            <w:vAlign w:val="bottom"/>
          </w:tcPr>
          <w:p>
            <w:pPr>
              <w:jc w:val="center"/>
              <w:ind w:right="214"/>
              <w:spacing w:after="0"/>
              <w:rPr>
                <w:sz w:val="20"/>
                <w:szCs w:val="20"/>
                <w:color w:val="auto"/>
              </w:rPr>
            </w:pPr>
            <w:r>
              <w:rPr>
                <w:rFonts w:ascii="Calibri" w:cs="Calibri" w:eastAsia="Calibri" w:hAnsi="Calibri"/>
                <w:sz w:val="16"/>
                <w:szCs w:val="16"/>
                <w:b w:val="1"/>
                <w:bCs w:val="1"/>
                <w:color w:val="auto"/>
              </w:rPr>
              <w:t>Equity Compensaton Plans</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960" w:type="dxa"/>
            <w:vAlign w:val="bottom"/>
          </w:tcPr>
          <w:p>
            <w:pPr>
              <w:jc w:val="center"/>
              <w:ind w:left="234"/>
              <w:spacing w:after="0"/>
              <w:rPr>
                <w:sz w:val="20"/>
                <w:szCs w:val="20"/>
                <w:color w:val="auto"/>
              </w:rPr>
            </w:pPr>
            <w:r>
              <w:rPr>
                <w:rFonts w:ascii="Calibri" w:cs="Calibri" w:eastAsia="Calibri" w:hAnsi="Calibri"/>
                <w:sz w:val="16"/>
                <w:szCs w:val="16"/>
                <w:b w:val="1"/>
                <w:bCs w:val="1"/>
                <w:color w:val="auto"/>
              </w:rPr>
              <w:t>Optons, Warrants</w:t>
            </w:r>
          </w:p>
        </w:tc>
        <w:tc>
          <w:tcPr>
            <w:tcW w:w="1920" w:type="dxa"/>
            <w:vAlign w:val="bottom"/>
            <w:gridSpan w:val="2"/>
          </w:tcPr>
          <w:p>
            <w:pPr>
              <w:jc w:val="center"/>
              <w:ind w:right="400"/>
              <w:spacing w:after="0"/>
              <w:rPr>
                <w:sz w:val="20"/>
                <w:szCs w:val="20"/>
                <w:color w:val="auto"/>
              </w:rPr>
            </w:pPr>
            <w:r>
              <w:rPr>
                <w:rFonts w:ascii="Calibri" w:cs="Calibri" w:eastAsia="Calibri" w:hAnsi="Calibri"/>
                <w:sz w:val="16"/>
                <w:szCs w:val="16"/>
                <w:b w:val="1"/>
                <w:bCs w:val="1"/>
                <w:color w:val="auto"/>
              </w:rPr>
              <w:t>Optons, Warrants</w:t>
            </w:r>
          </w:p>
        </w:tc>
        <w:tc>
          <w:tcPr>
            <w:tcW w:w="2380" w:type="dxa"/>
            <w:vAlign w:val="bottom"/>
          </w:tcPr>
          <w:p>
            <w:pPr>
              <w:jc w:val="center"/>
              <w:ind w:right="194"/>
              <w:spacing w:after="0"/>
              <w:rPr>
                <w:sz w:val="20"/>
                <w:szCs w:val="20"/>
                <w:color w:val="auto"/>
              </w:rPr>
            </w:pPr>
            <w:r>
              <w:rPr>
                <w:rFonts w:ascii="Calibri" w:cs="Calibri" w:eastAsia="Calibri" w:hAnsi="Calibri"/>
                <w:sz w:val="16"/>
                <w:szCs w:val="16"/>
                <w:b w:val="1"/>
                <w:bCs w:val="1"/>
                <w:color w:val="auto"/>
              </w:rPr>
              <w:t>(Excluding Securites</w:t>
            </w:r>
          </w:p>
        </w:tc>
        <w:tc>
          <w:tcPr>
            <w:tcW w:w="0" w:type="dxa"/>
            <w:vAlign w:val="bottom"/>
          </w:tcPr>
          <w:p>
            <w:pPr>
              <w:spacing w:after="0"/>
              <w:rPr>
                <w:sz w:val="1"/>
                <w:szCs w:val="1"/>
                <w:color w:val="auto"/>
              </w:rPr>
            </w:pPr>
          </w:p>
        </w:tc>
      </w:tr>
      <w:tr>
        <w:trPr>
          <w:trHeight w:val="203"/>
        </w:trPr>
        <w:tc>
          <w:tcPr>
            <w:tcW w:w="3980" w:type="dxa"/>
            <w:vAlign w:val="bottom"/>
            <w:vMerge w:val="restart"/>
          </w:tcPr>
          <w:p>
            <w:pPr>
              <w:ind w:left="20"/>
              <w:spacing w:after="0"/>
              <w:rPr>
                <w:sz w:val="20"/>
                <w:szCs w:val="20"/>
                <w:color w:val="auto"/>
              </w:rPr>
            </w:pPr>
            <w:r>
              <w:rPr>
                <w:rFonts w:ascii="Calibri" w:cs="Calibri" w:eastAsia="Calibri" w:hAnsi="Calibri"/>
                <w:sz w:val="20"/>
                <w:szCs w:val="20"/>
                <w:b w:val="1"/>
                <w:bCs w:val="1"/>
                <w:color w:val="auto"/>
              </w:rPr>
              <w:t>Plan Category</w:t>
            </w:r>
          </w:p>
        </w:tc>
        <w:tc>
          <w:tcPr>
            <w:tcW w:w="2960" w:type="dxa"/>
            <w:vAlign w:val="bottom"/>
          </w:tcPr>
          <w:p>
            <w:pPr>
              <w:jc w:val="center"/>
              <w:ind w:left="254"/>
              <w:spacing w:after="0"/>
              <w:rPr>
                <w:sz w:val="20"/>
                <w:szCs w:val="20"/>
                <w:color w:val="auto"/>
              </w:rPr>
            </w:pPr>
            <w:r>
              <w:rPr>
                <w:rFonts w:ascii="Calibri" w:cs="Calibri" w:eastAsia="Calibri" w:hAnsi="Calibri"/>
                <w:sz w:val="16"/>
                <w:szCs w:val="16"/>
                <w:b w:val="1"/>
                <w:bCs w:val="1"/>
                <w:color w:val="auto"/>
              </w:rPr>
              <w:t>and Rights</w:t>
            </w:r>
          </w:p>
        </w:tc>
        <w:tc>
          <w:tcPr>
            <w:tcW w:w="1920" w:type="dxa"/>
            <w:vAlign w:val="bottom"/>
            <w:gridSpan w:val="2"/>
          </w:tcPr>
          <w:p>
            <w:pPr>
              <w:jc w:val="center"/>
              <w:ind w:right="380"/>
              <w:spacing w:after="0"/>
              <w:rPr>
                <w:sz w:val="20"/>
                <w:szCs w:val="20"/>
                <w:color w:val="auto"/>
              </w:rPr>
            </w:pPr>
            <w:r>
              <w:rPr>
                <w:rFonts w:ascii="Calibri" w:cs="Calibri" w:eastAsia="Calibri" w:hAnsi="Calibri"/>
                <w:sz w:val="16"/>
                <w:szCs w:val="16"/>
                <w:b w:val="1"/>
                <w:bCs w:val="1"/>
                <w:color w:val="auto"/>
              </w:rPr>
              <w:t>and Rights</w:t>
            </w:r>
          </w:p>
        </w:tc>
        <w:tc>
          <w:tcPr>
            <w:tcW w:w="2380" w:type="dxa"/>
            <w:vAlign w:val="bottom"/>
          </w:tcPr>
          <w:p>
            <w:pPr>
              <w:jc w:val="center"/>
              <w:ind w:right="194"/>
              <w:spacing w:after="0"/>
              <w:rPr>
                <w:sz w:val="20"/>
                <w:szCs w:val="20"/>
                <w:color w:val="auto"/>
              </w:rPr>
            </w:pPr>
            <w:r>
              <w:rPr>
                <w:rFonts w:ascii="Calibri" w:cs="Calibri" w:eastAsia="Calibri" w:hAnsi="Calibri"/>
                <w:sz w:val="16"/>
                <w:szCs w:val="16"/>
                <w:b w:val="1"/>
                <w:bCs w:val="1"/>
                <w:color w:val="auto"/>
              </w:rPr>
              <w:t>Refected in Column (a))</w:t>
            </w:r>
          </w:p>
        </w:tc>
        <w:tc>
          <w:tcPr>
            <w:tcW w:w="0" w:type="dxa"/>
            <w:vAlign w:val="bottom"/>
          </w:tcPr>
          <w:p>
            <w:pPr>
              <w:spacing w:after="0"/>
              <w:rPr>
                <w:sz w:val="1"/>
                <w:szCs w:val="1"/>
                <w:color w:val="auto"/>
              </w:rPr>
            </w:pPr>
          </w:p>
        </w:tc>
      </w:tr>
      <w:tr>
        <w:trPr>
          <w:trHeight w:val="203"/>
        </w:trPr>
        <w:tc>
          <w:tcPr>
            <w:tcW w:w="3980" w:type="dxa"/>
            <w:vAlign w:val="bottom"/>
            <w:vMerge w:val="continue"/>
          </w:tcPr>
          <w:p>
            <w:pPr>
              <w:spacing w:after="0"/>
              <w:rPr>
                <w:sz w:val="17"/>
                <w:szCs w:val="17"/>
                <w:color w:val="auto"/>
              </w:rPr>
            </w:pPr>
          </w:p>
        </w:tc>
        <w:tc>
          <w:tcPr>
            <w:tcW w:w="2960" w:type="dxa"/>
            <w:vAlign w:val="bottom"/>
          </w:tcPr>
          <w:p>
            <w:pPr>
              <w:jc w:val="center"/>
              <w:ind w:left="214"/>
              <w:spacing w:after="0"/>
              <w:rPr>
                <w:sz w:val="20"/>
                <w:szCs w:val="20"/>
                <w:color w:val="auto"/>
              </w:rPr>
            </w:pPr>
            <w:r>
              <w:rPr>
                <w:rFonts w:ascii="Calibri" w:cs="Calibri" w:eastAsia="Calibri" w:hAnsi="Calibri"/>
                <w:sz w:val="16"/>
                <w:szCs w:val="16"/>
                <w:b w:val="1"/>
                <w:bCs w:val="1"/>
                <w:color w:val="auto"/>
              </w:rPr>
              <w:t>(a)</w:t>
            </w:r>
          </w:p>
        </w:tc>
        <w:tc>
          <w:tcPr>
            <w:tcW w:w="1920" w:type="dxa"/>
            <w:vAlign w:val="bottom"/>
            <w:gridSpan w:val="2"/>
          </w:tcPr>
          <w:p>
            <w:pPr>
              <w:jc w:val="center"/>
              <w:ind w:right="400"/>
              <w:spacing w:after="0"/>
              <w:rPr>
                <w:sz w:val="20"/>
                <w:szCs w:val="20"/>
                <w:color w:val="auto"/>
              </w:rPr>
            </w:pPr>
            <w:r>
              <w:rPr>
                <w:rFonts w:ascii="Calibri" w:cs="Calibri" w:eastAsia="Calibri" w:hAnsi="Calibri"/>
                <w:sz w:val="16"/>
                <w:szCs w:val="16"/>
                <w:b w:val="1"/>
                <w:bCs w:val="1"/>
                <w:color w:val="auto"/>
              </w:rPr>
              <w:t>(b)</w:t>
            </w:r>
          </w:p>
        </w:tc>
        <w:tc>
          <w:tcPr>
            <w:tcW w:w="2380" w:type="dxa"/>
            <w:vAlign w:val="bottom"/>
          </w:tcPr>
          <w:p>
            <w:pPr>
              <w:jc w:val="center"/>
              <w:ind w:right="214"/>
              <w:spacing w:after="0"/>
              <w:rPr>
                <w:sz w:val="20"/>
                <w:szCs w:val="20"/>
                <w:color w:val="auto"/>
              </w:rPr>
            </w:pPr>
            <w:r>
              <w:rPr>
                <w:rFonts w:ascii="Calibri" w:cs="Calibri" w:eastAsia="Calibri" w:hAnsi="Calibri"/>
                <w:sz w:val="16"/>
                <w:szCs w:val="16"/>
                <w:b w:val="1"/>
                <w:bCs w:val="1"/>
                <w:color w:val="auto"/>
                <w:w w:val="95"/>
              </w:rPr>
              <w:t>(c)</w:t>
            </w:r>
          </w:p>
        </w:tc>
        <w:tc>
          <w:tcPr>
            <w:tcW w:w="0" w:type="dxa"/>
            <w:vAlign w:val="bottom"/>
          </w:tcPr>
          <w:p>
            <w:pPr>
              <w:spacing w:after="0"/>
              <w:rPr>
                <w:sz w:val="1"/>
                <w:szCs w:val="1"/>
                <w:color w:val="auto"/>
              </w:rPr>
            </w:pPr>
          </w:p>
        </w:tc>
      </w:tr>
      <w:tr>
        <w:trPr>
          <w:trHeight w:val="48"/>
        </w:trPr>
        <w:tc>
          <w:tcPr>
            <w:tcW w:w="3980" w:type="dxa"/>
            <w:vAlign w:val="bottom"/>
            <w:tcBorders>
              <w:bottom w:val="single" w:sz="8" w:color="005CA9"/>
            </w:tcBorders>
          </w:tcPr>
          <w:p>
            <w:pPr>
              <w:spacing w:after="0"/>
              <w:rPr>
                <w:sz w:val="4"/>
                <w:szCs w:val="4"/>
                <w:color w:val="auto"/>
              </w:rPr>
            </w:pPr>
          </w:p>
        </w:tc>
        <w:tc>
          <w:tcPr>
            <w:tcW w:w="2960" w:type="dxa"/>
            <w:vAlign w:val="bottom"/>
            <w:tcBorders>
              <w:bottom w:val="single" w:sz="8" w:color="005CA9"/>
            </w:tcBorders>
          </w:tcPr>
          <w:p>
            <w:pPr>
              <w:spacing w:after="0"/>
              <w:rPr>
                <w:sz w:val="4"/>
                <w:szCs w:val="4"/>
                <w:color w:val="auto"/>
              </w:rPr>
            </w:pPr>
          </w:p>
        </w:tc>
        <w:tc>
          <w:tcPr>
            <w:tcW w:w="1620" w:type="dxa"/>
            <w:vAlign w:val="bottom"/>
            <w:tcBorders>
              <w:bottom w:val="single" w:sz="8" w:color="005CA9"/>
            </w:tcBorders>
          </w:tcPr>
          <w:p>
            <w:pPr>
              <w:spacing w:after="0"/>
              <w:rPr>
                <w:sz w:val="4"/>
                <w:szCs w:val="4"/>
                <w:color w:val="auto"/>
              </w:rPr>
            </w:pPr>
          </w:p>
        </w:tc>
        <w:tc>
          <w:tcPr>
            <w:tcW w:w="300" w:type="dxa"/>
            <w:vAlign w:val="bottom"/>
            <w:tcBorders>
              <w:bottom w:val="single" w:sz="8" w:color="005CA9"/>
            </w:tcBorders>
          </w:tcPr>
          <w:p>
            <w:pPr>
              <w:spacing w:after="0"/>
              <w:rPr>
                <w:sz w:val="4"/>
                <w:szCs w:val="4"/>
                <w:color w:val="auto"/>
              </w:rPr>
            </w:pPr>
          </w:p>
        </w:tc>
        <w:tc>
          <w:tcPr>
            <w:tcW w:w="2380" w:type="dxa"/>
            <w:vAlign w:val="bottom"/>
            <w:tcBorders>
              <w:bottom w:val="single" w:sz="8" w:color="005CA9"/>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0"/>
              <w:spacing w:after="0" w:line="218" w:lineRule="exact"/>
              <w:rPr>
                <w:sz w:val="20"/>
                <w:szCs w:val="20"/>
                <w:color w:val="auto"/>
              </w:rPr>
            </w:pPr>
            <w:r>
              <w:rPr>
                <w:rFonts w:ascii="Calibri" w:cs="Calibri" w:eastAsia="Calibri" w:hAnsi="Calibri"/>
                <w:sz w:val="20"/>
                <w:szCs w:val="20"/>
                <w:color w:val="auto"/>
              </w:rPr>
              <w:t>Equity Compensaton Plans</w:t>
            </w:r>
          </w:p>
        </w:tc>
        <w:tc>
          <w:tcPr>
            <w:tcW w:w="2960" w:type="dxa"/>
            <w:vAlign w:val="bottom"/>
            <w:shd w:val="clear" w:color="auto" w:fill="CFF0FC"/>
          </w:tcPr>
          <w:p>
            <w:pPr>
              <w:spacing w:after="0"/>
              <w:rPr>
                <w:sz w:val="19"/>
                <w:szCs w:val="19"/>
                <w:color w:val="auto"/>
              </w:rPr>
            </w:pPr>
          </w:p>
        </w:tc>
        <w:tc>
          <w:tcPr>
            <w:tcW w:w="1920" w:type="dxa"/>
            <w:vAlign w:val="bottom"/>
            <w:gridSpan w:val="2"/>
            <w:vMerge w:val="restart"/>
            <w:shd w:val="clear" w:color="auto" w:fill="CFF0FC"/>
          </w:tcPr>
          <w:p>
            <w:pPr>
              <w:ind w:left="1320"/>
              <w:spacing w:after="0"/>
              <w:rPr>
                <w:sz w:val="20"/>
                <w:szCs w:val="20"/>
                <w:color w:val="auto"/>
              </w:rPr>
            </w:pPr>
            <w:r>
              <w:rPr>
                <w:rFonts w:ascii="Calibri" w:cs="Calibri" w:eastAsia="Calibri" w:hAnsi="Calibri"/>
                <w:sz w:val="39"/>
                <w:szCs w:val="39"/>
                <w:color w:val="auto"/>
                <w:vertAlign w:val="superscript"/>
              </w:rPr>
              <w:t>—</w:t>
            </w:r>
            <w:r>
              <w:rPr>
                <w:rFonts w:ascii="Calibri" w:cs="Calibri" w:eastAsia="Calibri" w:hAnsi="Calibri"/>
                <w:sz w:val="13"/>
                <w:szCs w:val="13"/>
                <w:color w:val="auto"/>
              </w:rPr>
              <w:t xml:space="preserve">  (2)</w:t>
            </w:r>
          </w:p>
        </w:tc>
        <w:tc>
          <w:tcPr>
            <w:tcW w:w="2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98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Approved by Security Holders</w:t>
            </w:r>
          </w:p>
        </w:tc>
        <w:tc>
          <w:tcPr>
            <w:tcW w:w="2960" w:type="dxa"/>
            <w:vAlign w:val="bottom"/>
            <w:shd w:val="clear" w:color="auto" w:fill="CFF0FC"/>
          </w:tcPr>
          <w:p>
            <w:pPr>
              <w:jc w:val="right"/>
              <w:ind w:right="174"/>
              <w:spacing w:after="0" w:line="268" w:lineRule="exact"/>
              <w:rPr>
                <w:sz w:val="20"/>
                <w:szCs w:val="20"/>
                <w:color w:val="auto"/>
              </w:rPr>
            </w:pPr>
            <w:r>
              <w:rPr>
                <w:rFonts w:ascii="Calibri" w:cs="Calibri" w:eastAsia="Calibri" w:hAnsi="Calibri"/>
                <w:sz w:val="20"/>
                <w:szCs w:val="20"/>
                <w:color w:val="auto"/>
              </w:rPr>
              <w:t xml:space="preserve">1,145,001  </w:t>
            </w:r>
            <w:r>
              <w:rPr>
                <w:rFonts w:ascii="Calibri" w:cs="Calibri" w:eastAsia="Calibri" w:hAnsi="Calibri"/>
                <w:sz w:val="26"/>
                <w:szCs w:val="26"/>
                <w:color w:val="auto"/>
                <w:vertAlign w:val="superscript"/>
              </w:rPr>
              <w:t>(1)</w:t>
            </w:r>
          </w:p>
        </w:tc>
        <w:tc>
          <w:tcPr>
            <w:tcW w:w="1920" w:type="dxa"/>
            <w:vAlign w:val="bottom"/>
            <w:gridSpan w:val="2"/>
            <w:vMerge w:val="continue"/>
            <w:shd w:val="clear" w:color="auto" w:fill="CFF0FC"/>
          </w:tcPr>
          <w:p>
            <w:pPr>
              <w:spacing w:after="0"/>
              <w:rPr>
                <w:sz w:val="23"/>
                <w:szCs w:val="23"/>
                <w:color w:val="auto"/>
              </w:rPr>
            </w:pPr>
          </w:p>
        </w:tc>
        <w:tc>
          <w:tcPr>
            <w:tcW w:w="2380" w:type="dxa"/>
            <w:vAlign w:val="bottom"/>
            <w:shd w:val="clear" w:color="auto" w:fill="CFF0FC"/>
          </w:tcPr>
          <w:p>
            <w:pPr>
              <w:jc w:val="right"/>
              <w:ind w:right="14"/>
              <w:spacing w:after="0" w:line="268" w:lineRule="exact"/>
              <w:rPr>
                <w:sz w:val="20"/>
                <w:szCs w:val="20"/>
                <w:color w:val="auto"/>
              </w:rPr>
            </w:pPr>
            <w:r>
              <w:rPr>
                <w:rFonts w:ascii="Calibri" w:cs="Calibri" w:eastAsia="Calibri" w:hAnsi="Calibri"/>
                <w:sz w:val="20"/>
                <w:szCs w:val="20"/>
                <w:color w:val="auto"/>
              </w:rPr>
              <w:t xml:space="preserve">4,278,590  </w:t>
            </w:r>
            <w:r>
              <w:rPr>
                <w:rFonts w:ascii="Calibri" w:cs="Calibri" w:eastAsia="Calibri" w:hAnsi="Calibri"/>
                <w:sz w:val="26"/>
                <w:szCs w:val="26"/>
                <w:color w:val="auto"/>
                <w:vertAlign w:val="superscript"/>
              </w:rPr>
              <w:t>(3)</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line="218" w:lineRule="exact"/>
              <w:rPr>
                <w:sz w:val="20"/>
                <w:szCs w:val="20"/>
                <w:color w:val="auto"/>
              </w:rPr>
            </w:pPr>
            <w:r>
              <w:rPr>
                <w:rFonts w:ascii="Calibri" w:cs="Calibri" w:eastAsia="Calibri" w:hAnsi="Calibri"/>
                <w:sz w:val="20"/>
                <w:szCs w:val="20"/>
                <w:color w:val="auto"/>
              </w:rPr>
              <w:t>Equity Compensaton Plans</w:t>
            </w:r>
          </w:p>
        </w:tc>
        <w:tc>
          <w:tcPr>
            <w:tcW w:w="2960" w:type="dxa"/>
            <w:vAlign w:val="bottom"/>
            <w:vMerge w:val="restart"/>
          </w:tcPr>
          <w:p>
            <w:pPr>
              <w:jc w:val="right"/>
              <w:ind w:right="474"/>
              <w:spacing w:after="0"/>
              <w:rPr>
                <w:sz w:val="20"/>
                <w:szCs w:val="20"/>
                <w:color w:val="auto"/>
              </w:rPr>
            </w:pPr>
            <w:r>
              <w:rPr>
                <w:rFonts w:ascii="Calibri" w:cs="Calibri" w:eastAsia="Calibri" w:hAnsi="Calibri"/>
                <w:sz w:val="20"/>
                <w:szCs w:val="20"/>
                <w:color w:val="auto"/>
              </w:rPr>
              <w:t>—</w:t>
            </w:r>
          </w:p>
        </w:tc>
        <w:tc>
          <w:tcPr>
            <w:tcW w:w="1920" w:type="dxa"/>
            <w:vAlign w:val="bottom"/>
            <w:gridSpan w:val="2"/>
            <w:vMerge w:val="restart"/>
          </w:tcPr>
          <w:p>
            <w:pPr>
              <w:ind w:left="1320"/>
              <w:spacing w:after="0"/>
              <w:rPr>
                <w:sz w:val="20"/>
                <w:szCs w:val="20"/>
                <w:color w:val="auto"/>
              </w:rPr>
            </w:pPr>
            <w:r>
              <w:rPr>
                <w:rFonts w:ascii="Calibri" w:cs="Calibri" w:eastAsia="Calibri" w:hAnsi="Calibri"/>
                <w:sz w:val="20"/>
                <w:szCs w:val="20"/>
                <w:color w:val="auto"/>
              </w:rPr>
              <w:t>—</w:t>
            </w:r>
          </w:p>
        </w:tc>
        <w:tc>
          <w:tcPr>
            <w:tcW w:w="2380" w:type="dxa"/>
            <w:vAlign w:val="bottom"/>
            <w:vMerge w:val="restart"/>
          </w:tcPr>
          <w:p>
            <w:pPr>
              <w:jc w:val="right"/>
              <w:ind w:right="294"/>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113"/>
        </w:trPr>
        <w:tc>
          <w:tcPr>
            <w:tcW w:w="3980" w:type="dxa"/>
            <w:vAlign w:val="bottom"/>
            <w:vMerge w:val="restart"/>
          </w:tcPr>
          <w:p>
            <w:pPr>
              <w:ind w:left="160"/>
              <w:spacing w:after="0" w:line="234" w:lineRule="exact"/>
              <w:rPr>
                <w:sz w:val="20"/>
                <w:szCs w:val="20"/>
                <w:color w:val="auto"/>
              </w:rPr>
            </w:pPr>
            <w:r>
              <w:rPr>
                <w:rFonts w:ascii="Calibri" w:cs="Calibri" w:eastAsia="Calibri" w:hAnsi="Calibri"/>
                <w:sz w:val="20"/>
                <w:szCs w:val="20"/>
                <w:color w:val="auto"/>
              </w:rPr>
              <w:t>Not Approved by Security Holders</w:t>
            </w:r>
          </w:p>
        </w:tc>
        <w:tc>
          <w:tcPr>
            <w:tcW w:w="2960" w:type="dxa"/>
            <w:vAlign w:val="bottom"/>
            <w:vMerge w:val="continue"/>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8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980" w:type="dxa"/>
            <w:vAlign w:val="bottom"/>
            <w:tcBorders>
              <w:bottom w:val="single" w:sz="8" w:color="005CA9"/>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Total</w:t>
            </w:r>
          </w:p>
        </w:tc>
        <w:tc>
          <w:tcPr>
            <w:tcW w:w="2960" w:type="dxa"/>
            <w:vAlign w:val="bottom"/>
            <w:tcBorders>
              <w:bottom w:val="single" w:sz="8" w:color="005CA9"/>
            </w:tcBorders>
            <w:shd w:val="clear" w:color="auto" w:fill="CFF0FC"/>
          </w:tcPr>
          <w:p>
            <w:pPr>
              <w:jc w:val="right"/>
              <w:ind w:right="454"/>
              <w:spacing w:after="0" w:line="234" w:lineRule="exact"/>
              <w:rPr>
                <w:sz w:val="20"/>
                <w:szCs w:val="20"/>
                <w:color w:val="auto"/>
              </w:rPr>
            </w:pPr>
            <w:r>
              <w:rPr>
                <w:rFonts w:ascii="Calibri" w:cs="Calibri" w:eastAsia="Calibri" w:hAnsi="Calibri"/>
                <w:sz w:val="20"/>
                <w:szCs w:val="20"/>
                <w:b w:val="1"/>
                <w:bCs w:val="1"/>
                <w:color w:val="auto"/>
              </w:rPr>
              <w:t>1,145,001</w:t>
            </w:r>
          </w:p>
        </w:tc>
        <w:tc>
          <w:tcPr>
            <w:tcW w:w="1620" w:type="dxa"/>
            <w:vAlign w:val="bottom"/>
            <w:tcBorders>
              <w:bottom w:val="single" w:sz="8" w:color="auto"/>
            </w:tcBorders>
            <w:shd w:val="clear" w:color="auto" w:fill="CFF0FC"/>
          </w:tcPr>
          <w:p>
            <w:pPr>
              <w:ind w:left="1320"/>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005CA9"/>
            </w:tcBorders>
            <w:shd w:val="clear" w:color="auto" w:fill="CFF0FC"/>
          </w:tcPr>
          <w:p>
            <w:pPr>
              <w:spacing w:after="0"/>
              <w:rPr>
                <w:sz w:val="20"/>
                <w:szCs w:val="20"/>
                <w:color w:val="auto"/>
              </w:rPr>
            </w:pPr>
          </w:p>
        </w:tc>
        <w:tc>
          <w:tcPr>
            <w:tcW w:w="2380" w:type="dxa"/>
            <w:vAlign w:val="bottom"/>
            <w:tcBorders>
              <w:bottom w:val="single" w:sz="8" w:color="005CA9"/>
            </w:tcBorders>
            <w:shd w:val="clear" w:color="auto" w:fill="CFF0FC"/>
          </w:tcPr>
          <w:p>
            <w:pPr>
              <w:jc w:val="right"/>
              <w:ind w:right="294"/>
              <w:spacing w:after="0" w:line="234" w:lineRule="exact"/>
              <w:rPr>
                <w:sz w:val="20"/>
                <w:szCs w:val="20"/>
                <w:color w:val="auto"/>
              </w:rPr>
            </w:pPr>
            <w:r>
              <w:rPr>
                <w:rFonts w:ascii="Calibri" w:cs="Calibri" w:eastAsia="Calibri" w:hAnsi="Calibri"/>
                <w:sz w:val="20"/>
                <w:szCs w:val="20"/>
                <w:b w:val="1"/>
                <w:bCs w:val="1"/>
                <w:color w:val="auto"/>
              </w:rPr>
              <w:t>4,278,590</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40" w:hanging="190"/>
        <w:spacing w:after="0"/>
        <w:tabs>
          <w:tab w:leader="none" w:pos="34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Shares issuable pursuant to outstanding awards under the 2022 Plan as of December 31, 2024.</w:t>
      </w:r>
    </w:p>
    <w:p>
      <w:pPr>
        <w:spacing w:after="0" w:line="4" w:lineRule="exact"/>
        <w:rPr>
          <w:rFonts w:ascii="Calibri" w:cs="Calibri" w:eastAsia="Calibri" w:hAnsi="Calibri"/>
          <w:sz w:val="14"/>
          <w:szCs w:val="14"/>
          <w:color w:val="auto"/>
        </w:rPr>
      </w:pPr>
    </w:p>
    <w:p>
      <w:pPr>
        <w:ind w:left="340" w:hanging="190"/>
        <w:spacing w:after="0"/>
        <w:tabs>
          <w:tab w:leader="none" w:pos="34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The Company has no stock optons outstanding.</w:t>
      </w:r>
    </w:p>
    <w:p>
      <w:pPr>
        <w:spacing w:after="0" w:line="4" w:lineRule="exact"/>
        <w:rPr>
          <w:rFonts w:ascii="Calibri" w:cs="Calibri" w:eastAsia="Calibri" w:hAnsi="Calibri"/>
          <w:sz w:val="14"/>
          <w:szCs w:val="14"/>
          <w:color w:val="auto"/>
        </w:rPr>
      </w:pPr>
    </w:p>
    <w:p>
      <w:pPr>
        <w:ind w:left="340" w:hanging="190"/>
        <w:spacing w:after="0"/>
        <w:tabs>
          <w:tab w:leader="none" w:pos="34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Represents shares of Common Stock that may be issued pursuant to future awards under the 2022 Plan.</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55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8" w:name="page59"/>
    <w:bookmarkEnd w:id="58"/>
    <w:p>
      <w:pPr>
        <w:spacing w:after="0"/>
        <w:rPr>
          <w:sz w:val="20"/>
          <w:szCs w:val="20"/>
          <w:color w:val="auto"/>
        </w:rPr>
      </w:pPr>
      <w:r>
        <w:rPr>
          <w:rFonts w:ascii="Calibri" w:cs="Calibri" w:eastAsia="Calibri" w:hAnsi="Calibri"/>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t>NONQUALIFIED DEFERRED COMPENSATION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Company maintains a nonqualifed deferred compensaton plan, which permits the Board and eligible employees, including the NEOs, to voluntarily elect to defer up to 75% of base salary, and up to 100% of cash bonuses and stock awards untl designated future dates, provided that their total deferrals do not reduce their total compensaton below the amount necessary to satsfy obligatons such as employment taxes and beneft plan payments. Amounts deferred are credited with earnings or losses based on the partcipant’s investment allocaton among investment optons, which may include stocks, bonds and mutual fund shares. Withdrawals can be made pursuant to Internal Revenue Service regulatons for retrement and distributons. While stll employed, distributons are paid in accordance with the partcipants’ electons with regard to the tming and form of distributons. Upon terminaton of an executve, a 100% distributon of their account is made afer six months has lapsed from their separaton from service. The Company may, from tme to tme, make discretonary contributons to partcipants’ accounts. No discretonary contributons were made in 2024, 2023 or 2022. The Company ofsets its obligatons under the nonqualifed deferred compensaton plan by investng in the actual underlying investments. These investments are classifed as trading securites and are carried at fair value. At December 31, 2024, these investments totaled approximately $17.2 million. Gains and losses in these investments are materially ofset by corresponding gains and losses in the deferred compensaton plan liabilites.</w:t>
      </w:r>
    </w:p>
    <w:p>
      <w:pPr>
        <w:spacing w:after="0" w:line="328"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sets forth certain informaton related to the nonqualifed deferred compensaton plan for the NEOs: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960" w:type="dxa"/>
            <w:vAlign w:val="bottom"/>
            <w:tcBorders>
              <w:top w:val="single" w:sz="8" w:color="005CA9"/>
            </w:tcBorders>
          </w:tcPr>
          <w:p>
            <w:pPr>
              <w:spacing w:after="0"/>
              <w:rPr>
                <w:sz w:val="20"/>
                <w:szCs w:val="20"/>
                <w:color w:val="auto"/>
              </w:rPr>
            </w:pPr>
          </w:p>
        </w:tc>
        <w:tc>
          <w:tcPr>
            <w:tcW w:w="2160" w:type="dxa"/>
            <w:vAlign w:val="bottom"/>
            <w:tcBorders>
              <w:top w:val="single" w:sz="8" w:color="005CA9"/>
            </w:tcBorders>
          </w:tcPr>
          <w:p>
            <w:pPr>
              <w:spacing w:after="0"/>
              <w:rPr>
                <w:sz w:val="20"/>
                <w:szCs w:val="20"/>
                <w:color w:val="auto"/>
              </w:rPr>
            </w:pPr>
          </w:p>
        </w:tc>
        <w:tc>
          <w:tcPr>
            <w:tcW w:w="1740" w:type="dxa"/>
            <w:vAlign w:val="bottom"/>
            <w:tcBorders>
              <w:top w:val="single" w:sz="8" w:color="005CA9"/>
            </w:tcBorders>
          </w:tcPr>
          <w:p>
            <w:pPr>
              <w:spacing w:after="0"/>
              <w:rPr>
                <w:sz w:val="20"/>
                <w:szCs w:val="20"/>
                <w:color w:val="auto"/>
              </w:rPr>
            </w:pPr>
          </w:p>
        </w:tc>
        <w:tc>
          <w:tcPr>
            <w:tcW w:w="1920" w:type="dxa"/>
            <w:vAlign w:val="bottom"/>
            <w:tcBorders>
              <w:top w:val="single" w:sz="8" w:color="005CA9"/>
            </w:tcBorders>
          </w:tcPr>
          <w:p>
            <w:pPr>
              <w:spacing w:after="0"/>
              <w:rPr>
                <w:sz w:val="20"/>
                <w:szCs w:val="20"/>
                <w:color w:val="auto"/>
              </w:rPr>
            </w:pPr>
          </w:p>
        </w:tc>
        <w:tc>
          <w:tcPr>
            <w:tcW w:w="1740" w:type="dxa"/>
            <w:vAlign w:val="bottom"/>
            <w:tcBorders>
              <w:top w:val="single" w:sz="8" w:color="005CA9"/>
            </w:tcBorders>
          </w:tcPr>
          <w:p>
            <w:pPr>
              <w:spacing w:after="0"/>
              <w:rPr>
                <w:sz w:val="20"/>
                <w:szCs w:val="20"/>
                <w:color w:val="auto"/>
              </w:rPr>
            </w:pPr>
          </w:p>
        </w:tc>
        <w:tc>
          <w:tcPr>
            <w:tcW w:w="1720" w:type="dxa"/>
            <w:vAlign w:val="bottom"/>
            <w:tcBorders>
              <w:top w:val="single" w:sz="8" w:color="005CA9"/>
            </w:tcBorders>
          </w:tcPr>
          <w:p>
            <w:pPr>
              <w:jc w:val="center"/>
              <w:spacing w:after="0" w:line="232" w:lineRule="exact"/>
              <w:rPr>
                <w:sz w:val="20"/>
                <w:szCs w:val="20"/>
                <w:color w:val="auto"/>
              </w:rPr>
            </w:pPr>
            <w:r>
              <w:rPr>
                <w:rFonts w:ascii="Calibri" w:cs="Calibri" w:eastAsia="Calibri" w:hAnsi="Calibri"/>
                <w:sz w:val="20"/>
                <w:szCs w:val="20"/>
                <w:b w:val="1"/>
                <w:bCs w:val="1"/>
                <w:color w:val="auto"/>
                <w:w w:val="99"/>
              </w:rPr>
              <w:t>Aggregate</w:t>
            </w:r>
          </w:p>
        </w:tc>
      </w:tr>
      <w:tr>
        <w:trPr>
          <w:trHeight w:val="234"/>
        </w:trPr>
        <w:tc>
          <w:tcPr>
            <w:tcW w:w="1960" w:type="dxa"/>
            <w:vAlign w:val="bottom"/>
          </w:tcPr>
          <w:p>
            <w:pPr>
              <w:spacing w:after="0"/>
              <w:rPr>
                <w:sz w:val="20"/>
                <w:szCs w:val="20"/>
                <w:color w:val="auto"/>
              </w:rPr>
            </w:pPr>
          </w:p>
        </w:tc>
        <w:tc>
          <w:tcPr>
            <w:tcW w:w="2160" w:type="dxa"/>
            <w:vAlign w:val="bottom"/>
          </w:tcPr>
          <w:p>
            <w:pPr>
              <w:jc w:val="center"/>
              <w:ind w:left="61"/>
              <w:spacing w:after="0" w:line="234" w:lineRule="exact"/>
              <w:rPr>
                <w:sz w:val="20"/>
                <w:szCs w:val="20"/>
                <w:color w:val="auto"/>
              </w:rPr>
            </w:pPr>
            <w:r>
              <w:rPr>
                <w:rFonts w:ascii="Calibri" w:cs="Calibri" w:eastAsia="Calibri" w:hAnsi="Calibri"/>
                <w:sz w:val="20"/>
                <w:szCs w:val="20"/>
                <w:b w:val="1"/>
                <w:bCs w:val="1"/>
                <w:color w:val="auto"/>
              </w:rPr>
              <w:t>Executve</w:t>
            </w:r>
          </w:p>
        </w:tc>
        <w:tc>
          <w:tcPr>
            <w:tcW w:w="174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Registrant</w:t>
            </w:r>
          </w:p>
        </w:tc>
        <w:tc>
          <w:tcPr>
            <w:tcW w:w="1920" w:type="dxa"/>
            <w:vAlign w:val="bottom"/>
          </w:tcPr>
          <w:p>
            <w:pPr>
              <w:jc w:val="center"/>
              <w:ind w:right="81"/>
              <w:spacing w:after="0" w:line="234" w:lineRule="exact"/>
              <w:rPr>
                <w:sz w:val="20"/>
                <w:szCs w:val="20"/>
                <w:color w:val="auto"/>
              </w:rPr>
            </w:pPr>
            <w:r>
              <w:rPr>
                <w:rFonts w:ascii="Calibri" w:cs="Calibri" w:eastAsia="Calibri" w:hAnsi="Calibri"/>
                <w:sz w:val="20"/>
                <w:szCs w:val="20"/>
                <w:b w:val="1"/>
                <w:bCs w:val="1"/>
                <w:color w:val="auto"/>
              </w:rPr>
              <w:t>Aggregate</w:t>
            </w:r>
          </w:p>
        </w:tc>
        <w:tc>
          <w:tcPr>
            <w:tcW w:w="174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Aggregate</w:t>
            </w:r>
          </w:p>
        </w:tc>
        <w:tc>
          <w:tcPr>
            <w:tcW w:w="172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w w:val="98"/>
              </w:rPr>
              <w:t>Balance</w:t>
            </w:r>
          </w:p>
        </w:tc>
      </w:tr>
      <w:tr>
        <w:trPr>
          <w:trHeight w:val="243"/>
        </w:trPr>
        <w:tc>
          <w:tcPr>
            <w:tcW w:w="1960" w:type="dxa"/>
            <w:vAlign w:val="bottom"/>
          </w:tcPr>
          <w:p>
            <w:pPr>
              <w:spacing w:after="0"/>
              <w:rPr>
                <w:sz w:val="21"/>
                <w:szCs w:val="21"/>
                <w:color w:val="auto"/>
              </w:rPr>
            </w:pPr>
          </w:p>
        </w:tc>
        <w:tc>
          <w:tcPr>
            <w:tcW w:w="2160" w:type="dxa"/>
            <w:vAlign w:val="bottom"/>
          </w:tcPr>
          <w:p>
            <w:pPr>
              <w:jc w:val="center"/>
              <w:ind w:left="41"/>
              <w:spacing w:after="0" w:line="243" w:lineRule="exact"/>
              <w:rPr>
                <w:sz w:val="20"/>
                <w:szCs w:val="20"/>
                <w:color w:val="auto"/>
              </w:rPr>
            </w:pPr>
            <w:r>
              <w:rPr>
                <w:rFonts w:ascii="Calibri" w:cs="Calibri" w:eastAsia="Calibri" w:hAnsi="Calibri"/>
                <w:sz w:val="20"/>
                <w:szCs w:val="20"/>
                <w:b w:val="1"/>
                <w:bCs w:val="1"/>
                <w:color w:val="auto"/>
              </w:rPr>
              <w:t>Contributons in</w:t>
            </w:r>
          </w:p>
        </w:tc>
        <w:tc>
          <w:tcPr>
            <w:tcW w:w="1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Contributons in</w:t>
            </w:r>
          </w:p>
        </w:tc>
        <w:tc>
          <w:tcPr>
            <w:tcW w:w="1920" w:type="dxa"/>
            <w:vAlign w:val="bottom"/>
          </w:tcPr>
          <w:p>
            <w:pPr>
              <w:jc w:val="center"/>
              <w:ind w:right="21"/>
              <w:spacing w:after="0" w:line="243" w:lineRule="exact"/>
              <w:rPr>
                <w:sz w:val="20"/>
                <w:szCs w:val="20"/>
                <w:color w:val="auto"/>
              </w:rPr>
            </w:pPr>
            <w:r>
              <w:rPr>
                <w:rFonts w:ascii="Calibri" w:cs="Calibri" w:eastAsia="Calibri" w:hAnsi="Calibri"/>
                <w:sz w:val="20"/>
                <w:szCs w:val="20"/>
                <w:b w:val="1"/>
                <w:bCs w:val="1"/>
                <w:color w:val="auto"/>
              </w:rPr>
              <w:t>Earnings</w:t>
            </w:r>
          </w:p>
        </w:tc>
        <w:tc>
          <w:tcPr>
            <w:tcW w:w="1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Withdrawals/</w:t>
            </w:r>
          </w:p>
        </w:tc>
        <w:tc>
          <w:tcPr>
            <w:tcW w:w="1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at Last Fiscal</w:t>
            </w:r>
          </w:p>
        </w:tc>
      </w:tr>
      <w:tr>
        <w:trPr>
          <w:trHeight w:val="218"/>
        </w:trPr>
        <w:tc>
          <w:tcPr>
            <w:tcW w:w="1960" w:type="dxa"/>
            <w:vAlign w:val="bottom"/>
          </w:tcPr>
          <w:p>
            <w:pPr>
              <w:spacing w:after="0"/>
              <w:rPr>
                <w:sz w:val="18"/>
                <w:szCs w:val="18"/>
                <w:color w:val="auto"/>
              </w:rPr>
            </w:pPr>
          </w:p>
        </w:tc>
        <w:tc>
          <w:tcPr>
            <w:tcW w:w="2160" w:type="dxa"/>
            <w:vAlign w:val="bottom"/>
          </w:tcPr>
          <w:p>
            <w:pPr>
              <w:jc w:val="center"/>
              <w:ind w:left="41"/>
              <w:spacing w:after="0" w:line="218" w:lineRule="exact"/>
              <w:rPr>
                <w:sz w:val="20"/>
                <w:szCs w:val="20"/>
                <w:color w:val="auto"/>
              </w:rPr>
            </w:pPr>
            <w:r>
              <w:rPr>
                <w:rFonts w:ascii="Calibri" w:cs="Calibri" w:eastAsia="Calibri" w:hAnsi="Calibri"/>
                <w:sz w:val="20"/>
                <w:szCs w:val="20"/>
                <w:b w:val="1"/>
                <w:bCs w:val="1"/>
                <w:color w:val="auto"/>
              </w:rPr>
              <w:t>Last Fiscal Year</w:t>
            </w:r>
          </w:p>
        </w:tc>
        <w:tc>
          <w:tcPr>
            <w:tcW w:w="1740" w:type="dxa"/>
            <w:vAlign w:val="bottom"/>
          </w:tcPr>
          <w:p>
            <w:pPr>
              <w:jc w:val="center"/>
              <w:spacing w:after="0" w:line="218" w:lineRule="exact"/>
              <w:rPr>
                <w:sz w:val="20"/>
                <w:szCs w:val="20"/>
                <w:color w:val="auto"/>
              </w:rPr>
            </w:pPr>
            <w:r>
              <w:rPr>
                <w:rFonts w:ascii="Calibri" w:cs="Calibri" w:eastAsia="Calibri" w:hAnsi="Calibri"/>
                <w:sz w:val="20"/>
                <w:szCs w:val="20"/>
                <w:b w:val="1"/>
                <w:bCs w:val="1"/>
                <w:color w:val="auto"/>
              </w:rPr>
              <w:t>Last Fiscal Year</w:t>
            </w:r>
          </w:p>
        </w:tc>
        <w:tc>
          <w:tcPr>
            <w:tcW w:w="1920" w:type="dxa"/>
            <w:vAlign w:val="bottom"/>
          </w:tcPr>
          <w:p>
            <w:pPr>
              <w:jc w:val="center"/>
              <w:ind w:right="81"/>
              <w:spacing w:after="0" w:line="218" w:lineRule="exact"/>
              <w:rPr>
                <w:sz w:val="20"/>
                <w:szCs w:val="20"/>
                <w:color w:val="auto"/>
              </w:rPr>
            </w:pPr>
            <w:r>
              <w:rPr>
                <w:rFonts w:ascii="Calibri" w:cs="Calibri" w:eastAsia="Calibri" w:hAnsi="Calibri"/>
                <w:sz w:val="20"/>
                <w:szCs w:val="20"/>
                <w:b w:val="1"/>
                <w:bCs w:val="1"/>
                <w:color w:val="auto"/>
              </w:rPr>
              <w:t>in Last Fiscal Year</w:t>
            </w:r>
          </w:p>
        </w:tc>
        <w:tc>
          <w:tcPr>
            <w:tcW w:w="1740" w:type="dxa"/>
            <w:vAlign w:val="bottom"/>
          </w:tcPr>
          <w:p>
            <w:pPr>
              <w:jc w:val="center"/>
              <w:spacing w:after="0" w:line="218" w:lineRule="exact"/>
              <w:rPr>
                <w:sz w:val="20"/>
                <w:szCs w:val="20"/>
                <w:color w:val="auto"/>
              </w:rPr>
            </w:pPr>
            <w:r>
              <w:rPr>
                <w:rFonts w:ascii="Calibri" w:cs="Calibri" w:eastAsia="Calibri" w:hAnsi="Calibri"/>
                <w:sz w:val="20"/>
                <w:szCs w:val="20"/>
                <w:b w:val="1"/>
                <w:bCs w:val="1"/>
                <w:color w:val="auto"/>
              </w:rPr>
              <w:t>Distributons</w:t>
            </w:r>
          </w:p>
        </w:tc>
        <w:tc>
          <w:tcPr>
            <w:tcW w:w="1720" w:type="dxa"/>
            <w:vAlign w:val="bottom"/>
          </w:tcPr>
          <w:p>
            <w:pPr>
              <w:jc w:val="center"/>
              <w:spacing w:after="0" w:line="218" w:lineRule="exact"/>
              <w:rPr>
                <w:sz w:val="20"/>
                <w:szCs w:val="20"/>
                <w:color w:val="auto"/>
              </w:rPr>
            </w:pPr>
            <w:r>
              <w:rPr>
                <w:rFonts w:ascii="Calibri" w:cs="Calibri" w:eastAsia="Calibri" w:hAnsi="Calibri"/>
                <w:sz w:val="20"/>
                <w:szCs w:val="20"/>
                <w:b w:val="1"/>
                <w:bCs w:val="1"/>
                <w:color w:val="auto"/>
              </w:rPr>
              <w:t>Year End</w:t>
            </w:r>
          </w:p>
        </w:tc>
      </w:tr>
      <w:tr>
        <w:trPr>
          <w:trHeight w:val="276"/>
        </w:trPr>
        <w:tc>
          <w:tcPr>
            <w:tcW w:w="1960" w:type="dxa"/>
            <w:vAlign w:val="bottom"/>
          </w:tcPr>
          <w:p>
            <w:pPr>
              <w:ind w:left="20"/>
              <w:spacing w:after="0"/>
              <w:rPr>
                <w:sz w:val="20"/>
                <w:szCs w:val="20"/>
                <w:color w:val="auto"/>
              </w:rPr>
            </w:pPr>
            <w:r>
              <w:rPr>
                <w:rFonts w:ascii="Calibri" w:cs="Calibri" w:eastAsia="Calibri" w:hAnsi="Calibri"/>
                <w:sz w:val="20"/>
                <w:szCs w:val="20"/>
                <w:b w:val="1"/>
                <w:bCs w:val="1"/>
                <w:color w:val="auto"/>
              </w:rPr>
              <w:t>Name</w:t>
            </w:r>
          </w:p>
        </w:tc>
        <w:tc>
          <w:tcPr>
            <w:tcW w:w="2160" w:type="dxa"/>
            <w:vAlign w:val="bottom"/>
          </w:tcPr>
          <w:p>
            <w:pPr>
              <w:jc w:val="center"/>
              <w:ind w:left="41"/>
              <w:spacing w:after="0" w:line="277" w:lineRule="exact"/>
              <w:rPr>
                <w:sz w:val="20"/>
                <w:szCs w:val="20"/>
                <w:color w:val="auto"/>
              </w:rPr>
            </w:pPr>
            <w:r>
              <w:rPr>
                <w:rFonts w:ascii="Calibri" w:cs="Calibri" w:eastAsia="Calibri" w:hAnsi="Calibri"/>
                <w:sz w:val="20"/>
                <w:szCs w:val="20"/>
                <w:b w:val="1"/>
                <w:bCs w:val="1"/>
                <w:color w:val="auto"/>
                <w:w w:val="89"/>
              </w:rPr>
              <w:t xml:space="preserve">($) </w:t>
            </w:r>
            <w:r>
              <w:rPr>
                <w:rFonts w:ascii="Calibri" w:cs="Calibri" w:eastAsia="Calibri" w:hAnsi="Calibri"/>
                <w:sz w:val="26"/>
                <w:szCs w:val="26"/>
                <w:b w:val="1"/>
                <w:bCs w:val="1"/>
                <w:color w:val="auto"/>
                <w:w w:val="89"/>
                <w:vertAlign w:val="superscript"/>
              </w:rPr>
              <w:t>(1)</w:t>
            </w:r>
          </w:p>
        </w:tc>
        <w:tc>
          <w:tcPr>
            <w:tcW w:w="1740" w:type="dxa"/>
            <w:vAlign w:val="bottom"/>
          </w:tcPr>
          <w:p>
            <w:pPr>
              <w:jc w:val="center"/>
              <w:spacing w:after="0"/>
              <w:rPr>
                <w:sz w:val="20"/>
                <w:szCs w:val="20"/>
                <w:color w:val="auto"/>
              </w:rPr>
            </w:pPr>
            <w:r>
              <w:rPr>
                <w:rFonts w:ascii="Calibri" w:cs="Calibri" w:eastAsia="Calibri" w:hAnsi="Calibri"/>
                <w:sz w:val="20"/>
                <w:szCs w:val="20"/>
                <w:b w:val="1"/>
                <w:bCs w:val="1"/>
                <w:color w:val="auto"/>
              </w:rPr>
              <w:t>($)</w:t>
            </w:r>
          </w:p>
        </w:tc>
        <w:tc>
          <w:tcPr>
            <w:tcW w:w="1920" w:type="dxa"/>
            <w:vAlign w:val="bottom"/>
          </w:tcPr>
          <w:p>
            <w:pPr>
              <w:jc w:val="center"/>
              <w:ind w:right="41"/>
              <w:spacing w:after="0" w:line="277" w:lineRule="exact"/>
              <w:rPr>
                <w:sz w:val="20"/>
                <w:szCs w:val="20"/>
                <w:color w:val="auto"/>
              </w:rPr>
            </w:pPr>
            <w:r>
              <w:rPr>
                <w:rFonts w:ascii="Calibri" w:cs="Calibri" w:eastAsia="Calibri" w:hAnsi="Calibri"/>
                <w:sz w:val="20"/>
                <w:szCs w:val="20"/>
                <w:b w:val="1"/>
                <w:bCs w:val="1"/>
                <w:color w:val="auto"/>
                <w:w w:val="89"/>
              </w:rPr>
              <w:t>($)</w:t>
            </w:r>
            <w:r>
              <w:rPr>
                <w:rFonts w:ascii="Calibri" w:cs="Calibri" w:eastAsia="Calibri" w:hAnsi="Calibri"/>
                <w:sz w:val="26"/>
                <w:szCs w:val="26"/>
                <w:b w:val="1"/>
                <w:bCs w:val="1"/>
                <w:color w:val="auto"/>
                <w:w w:val="89"/>
                <w:vertAlign w:val="superscript"/>
              </w:rPr>
              <w:t>(2)</w:t>
            </w:r>
          </w:p>
        </w:tc>
        <w:tc>
          <w:tcPr>
            <w:tcW w:w="1740" w:type="dxa"/>
            <w:vAlign w:val="bottom"/>
          </w:tcPr>
          <w:p>
            <w:pPr>
              <w:jc w:val="center"/>
              <w:spacing w:after="0"/>
              <w:rPr>
                <w:sz w:val="20"/>
                <w:szCs w:val="20"/>
                <w:color w:val="auto"/>
              </w:rPr>
            </w:pPr>
            <w:r>
              <w:rPr>
                <w:rFonts w:ascii="Calibri" w:cs="Calibri" w:eastAsia="Calibri" w:hAnsi="Calibri"/>
                <w:sz w:val="20"/>
                <w:szCs w:val="20"/>
                <w:b w:val="1"/>
                <w:bCs w:val="1"/>
                <w:color w:val="auto"/>
                <w:w w:val="97"/>
              </w:rPr>
              <w:t>($)</w:t>
            </w:r>
          </w:p>
        </w:tc>
        <w:tc>
          <w:tcPr>
            <w:tcW w:w="1720" w:type="dxa"/>
            <w:vAlign w:val="bottom"/>
          </w:tcPr>
          <w:p>
            <w:pPr>
              <w:jc w:val="center"/>
              <w:spacing w:after="0"/>
              <w:rPr>
                <w:sz w:val="20"/>
                <w:szCs w:val="20"/>
                <w:color w:val="auto"/>
              </w:rPr>
            </w:pPr>
            <w:r>
              <w:rPr>
                <w:rFonts w:ascii="Calibri" w:cs="Calibri" w:eastAsia="Calibri" w:hAnsi="Calibri"/>
                <w:sz w:val="20"/>
                <w:szCs w:val="20"/>
                <w:b w:val="1"/>
                <w:bCs w:val="1"/>
                <w:color w:val="auto"/>
              </w:rPr>
              <w:t>($)</w:t>
            </w:r>
          </w:p>
        </w:tc>
      </w:tr>
      <w:tr>
        <w:trPr>
          <w:trHeight w:val="234"/>
        </w:trPr>
        <w:tc>
          <w:tcPr>
            <w:tcW w:w="196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(a)</w:t>
            </w:r>
          </w:p>
        </w:tc>
        <w:tc>
          <w:tcPr>
            <w:tcW w:w="2160" w:type="dxa"/>
            <w:vAlign w:val="bottom"/>
          </w:tcPr>
          <w:p>
            <w:pPr>
              <w:jc w:val="center"/>
              <w:ind w:left="41"/>
              <w:spacing w:after="0" w:line="234" w:lineRule="exact"/>
              <w:rPr>
                <w:sz w:val="20"/>
                <w:szCs w:val="20"/>
                <w:color w:val="auto"/>
              </w:rPr>
            </w:pPr>
            <w:r>
              <w:rPr>
                <w:rFonts w:ascii="Calibri" w:cs="Calibri" w:eastAsia="Calibri" w:hAnsi="Calibri"/>
                <w:sz w:val="20"/>
                <w:szCs w:val="20"/>
                <w:b w:val="1"/>
                <w:bCs w:val="1"/>
                <w:color w:val="auto"/>
                <w:w w:val="94"/>
              </w:rPr>
              <w:t>(b)</w:t>
            </w:r>
          </w:p>
        </w:tc>
        <w:tc>
          <w:tcPr>
            <w:tcW w:w="174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w w:val="95"/>
              </w:rPr>
              <w:t>(c)</w:t>
            </w:r>
          </w:p>
        </w:tc>
        <w:tc>
          <w:tcPr>
            <w:tcW w:w="1920" w:type="dxa"/>
            <w:vAlign w:val="bottom"/>
          </w:tcPr>
          <w:p>
            <w:pPr>
              <w:jc w:val="center"/>
              <w:ind w:right="21"/>
              <w:spacing w:after="0" w:line="234" w:lineRule="exact"/>
              <w:rPr>
                <w:sz w:val="20"/>
                <w:szCs w:val="20"/>
                <w:color w:val="auto"/>
              </w:rPr>
            </w:pPr>
            <w:r>
              <w:rPr>
                <w:rFonts w:ascii="Calibri" w:cs="Calibri" w:eastAsia="Calibri" w:hAnsi="Calibri"/>
                <w:sz w:val="20"/>
                <w:szCs w:val="20"/>
                <w:b w:val="1"/>
                <w:bCs w:val="1"/>
                <w:color w:val="auto"/>
              </w:rPr>
              <w:t>(d)</w:t>
            </w:r>
          </w:p>
        </w:tc>
        <w:tc>
          <w:tcPr>
            <w:tcW w:w="174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w w:val="97"/>
              </w:rPr>
              <w:t>(e)</w:t>
            </w:r>
          </w:p>
        </w:tc>
        <w:tc>
          <w:tcPr>
            <w:tcW w:w="172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(f)</w:t>
            </w:r>
          </w:p>
        </w:tc>
      </w:tr>
      <w:tr>
        <w:trPr>
          <w:trHeight w:val="53"/>
        </w:trPr>
        <w:tc>
          <w:tcPr>
            <w:tcW w:w="1960" w:type="dxa"/>
            <w:vAlign w:val="bottom"/>
            <w:tcBorders>
              <w:bottom w:val="single" w:sz="8" w:color="005CA9"/>
            </w:tcBorders>
          </w:tcPr>
          <w:p>
            <w:pPr>
              <w:spacing w:after="0"/>
              <w:rPr>
                <w:sz w:val="4"/>
                <w:szCs w:val="4"/>
                <w:color w:val="auto"/>
              </w:rPr>
            </w:pPr>
          </w:p>
        </w:tc>
        <w:tc>
          <w:tcPr>
            <w:tcW w:w="2160" w:type="dxa"/>
            <w:vAlign w:val="bottom"/>
            <w:tcBorders>
              <w:bottom w:val="single" w:sz="8" w:color="005CA9"/>
            </w:tcBorders>
          </w:tcPr>
          <w:p>
            <w:pPr>
              <w:spacing w:after="0"/>
              <w:rPr>
                <w:sz w:val="4"/>
                <w:szCs w:val="4"/>
                <w:color w:val="auto"/>
              </w:rPr>
            </w:pPr>
          </w:p>
        </w:tc>
        <w:tc>
          <w:tcPr>
            <w:tcW w:w="1740" w:type="dxa"/>
            <w:vAlign w:val="bottom"/>
            <w:tcBorders>
              <w:bottom w:val="single" w:sz="8" w:color="005CA9"/>
            </w:tcBorders>
          </w:tcPr>
          <w:p>
            <w:pPr>
              <w:spacing w:after="0"/>
              <w:rPr>
                <w:sz w:val="4"/>
                <w:szCs w:val="4"/>
                <w:color w:val="auto"/>
              </w:rPr>
            </w:pPr>
          </w:p>
        </w:tc>
        <w:tc>
          <w:tcPr>
            <w:tcW w:w="1920" w:type="dxa"/>
            <w:vAlign w:val="bottom"/>
            <w:tcBorders>
              <w:bottom w:val="single" w:sz="8" w:color="005CA9"/>
            </w:tcBorders>
          </w:tcPr>
          <w:p>
            <w:pPr>
              <w:spacing w:after="0"/>
              <w:rPr>
                <w:sz w:val="4"/>
                <w:szCs w:val="4"/>
                <w:color w:val="auto"/>
              </w:rPr>
            </w:pPr>
          </w:p>
        </w:tc>
        <w:tc>
          <w:tcPr>
            <w:tcW w:w="1740" w:type="dxa"/>
            <w:vAlign w:val="bottom"/>
            <w:tcBorders>
              <w:bottom w:val="single" w:sz="8" w:color="005CA9"/>
            </w:tcBorders>
          </w:tcPr>
          <w:p>
            <w:pPr>
              <w:spacing w:after="0"/>
              <w:rPr>
                <w:sz w:val="4"/>
                <w:szCs w:val="4"/>
                <w:color w:val="auto"/>
              </w:rPr>
            </w:pPr>
          </w:p>
        </w:tc>
        <w:tc>
          <w:tcPr>
            <w:tcW w:w="1720" w:type="dxa"/>
            <w:vAlign w:val="bottom"/>
            <w:tcBorders>
              <w:bottom w:val="single" w:sz="8" w:color="005CA9"/>
            </w:tcBorders>
          </w:tcPr>
          <w:p>
            <w:pPr>
              <w:spacing w:after="0"/>
              <w:rPr>
                <w:sz w:val="4"/>
                <w:szCs w:val="4"/>
                <w:color w:val="auto"/>
              </w:rPr>
            </w:pPr>
          </w:p>
        </w:tc>
      </w:tr>
      <w:tr>
        <w:trPr>
          <w:trHeight w:val="243"/>
        </w:trPr>
        <w:tc>
          <w:tcPr>
            <w:tcW w:w="19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Dr. Keh-Shew Lu</w:t>
            </w:r>
          </w:p>
        </w:tc>
        <w:tc>
          <w:tcPr>
            <w:tcW w:w="2160" w:type="dxa"/>
            <w:vAlign w:val="bottom"/>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7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9"/>
              </w:rPr>
              <w:t>—</w:t>
            </w:r>
          </w:p>
        </w:tc>
        <w:tc>
          <w:tcPr>
            <w:tcW w:w="1920" w:type="dxa"/>
            <w:vAlign w:val="bottom"/>
            <w:shd w:val="clear" w:color="auto" w:fill="CFF0FC"/>
          </w:tcPr>
          <w:p>
            <w:pPr>
              <w:jc w:val="right"/>
              <w:ind w:right="161"/>
              <w:spacing w:after="0" w:line="234" w:lineRule="exact"/>
              <w:rPr>
                <w:sz w:val="20"/>
                <w:szCs w:val="20"/>
                <w:color w:val="auto"/>
              </w:rPr>
            </w:pPr>
            <w:r>
              <w:rPr>
                <w:rFonts w:ascii="Calibri" w:cs="Calibri" w:eastAsia="Calibri" w:hAnsi="Calibri"/>
                <w:sz w:val="20"/>
                <w:szCs w:val="20"/>
                <w:color w:val="auto"/>
              </w:rPr>
              <w:t>369</w:t>
            </w:r>
          </w:p>
        </w:tc>
        <w:tc>
          <w:tcPr>
            <w:tcW w:w="17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9"/>
              </w:rPr>
              <w:t>—</w:t>
            </w:r>
          </w:p>
        </w:tc>
        <w:tc>
          <w:tcPr>
            <w:tcW w:w="172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7,648</w:t>
            </w:r>
          </w:p>
        </w:tc>
      </w:tr>
      <w:tr>
        <w:trPr>
          <w:trHeight w:val="239"/>
        </w:trPr>
        <w:tc>
          <w:tcPr>
            <w:tcW w:w="196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Bret R. Whitmire</w:t>
            </w:r>
          </w:p>
        </w:tc>
        <w:tc>
          <w:tcPr>
            <w:tcW w:w="216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74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w:t>
            </w:r>
          </w:p>
        </w:tc>
        <w:tc>
          <w:tcPr>
            <w:tcW w:w="1920" w:type="dxa"/>
            <w:vAlign w:val="bottom"/>
          </w:tcPr>
          <w:p>
            <w:pPr>
              <w:jc w:val="right"/>
              <w:ind w:right="161"/>
              <w:spacing w:after="0" w:line="234" w:lineRule="exact"/>
              <w:rPr>
                <w:sz w:val="20"/>
                <w:szCs w:val="20"/>
                <w:color w:val="auto"/>
              </w:rPr>
            </w:pPr>
            <w:r>
              <w:rPr>
                <w:rFonts w:ascii="Calibri" w:cs="Calibri" w:eastAsia="Calibri" w:hAnsi="Calibri"/>
                <w:sz w:val="20"/>
                <w:szCs w:val="20"/>
                <w:color w:val="auto"/>
              </w:rPr>
              <w:t>36,102</w:t>
            </w:r>
          </w:p>
        </w:tc>
        <w:tc>
          <w:tcPr>
            <w:tcW w:w="174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w:t>
            </w:r>
          </w:p>
        </w:tc>
        <w:tc>
          <w:tcPr>
            <w:tcW w:w="172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185,356</w:t>
            </w:r>
          </w:p>
        </w:tc>
      </w:tr>
      <w:tr>
        <w:trPr>
          <w:trHeight w:val="247"/>
        </w:trPr>
        <w:tc>
          <w:tcPr>
            <w:tcW w:w="1960" w:type="dxa"/>
            <w:vAlign w:val="bottom"/>
            <w:shd w:val="clear" w:color="auto" w:fill="CFF0FC"/>
          </w:tcPr>
          <w:p>
            <w:pPr>
              <w:ind w:left="20"/>
              <w:spacing w:after="0" w:line="239" w:lineRule="exact"/>
              <w:rPr>
                <w:sz w:val="20"/>
                <w:szCs w:val="20"/>
                <w:color w:val="auto"/>
              </w:rPr>
            </w:pPr>
            <w:r>
              <w:rPr>
                <w:rFonts w:ascii="Calibri" w:cs="Calibri" w:eastAsia="Calibri" w:hAnsi="Calibri"/>
                <w:sz w:val="20"/>
                <w:szCs w:val="20"/>
                <w:b w:val="1"/>
                <w:bCs w:val="1"/>
                <w:color w:val="auto"/>
              </w:rPr>
              <w:t>Gary Yu</w:t>
            </w:r>
          </w:p>
        </w:tc>
        <w:tc>
          <w:tcPr>
            <w:tcW w:w="2160" w:type="dxa"/>
            <w:vAlign w:val="bottom"/>
            <w:shd w:val="clear" w:color="auto" w:fill="CFF0FC"/>
          </w:tcPr>
          <w:p>
            <w:pPr>
              <w:jc w:val="right"/>
              <w:ind w:right="141"/>
              <w:spacing w:after="0" w:line="239" w:lineRule="exact"/>
              <w:rPr>
                <w:sz w:val="20"/>
                <w:szCs w:val="20"/>
                <w:color w:val="auto"/>
              </w:rPr>
            </w:pPr>
            <w:r>
              <w:rPr>
                <w:rFonts w:ascii="Calibri" w:cs="Calibri" w:eastAsia="Calibri" w:hAnsi="Calibri"/>
                <w:sz w:val="20"/>
                <w:szCs w:val="20"/>
                <w:color w:val="auto"/>
              </w:rPr>
              <w:t>194,010</w:t>
            </w:r>
          </w:p>
        </w:tc>
        <w:tc>
          <w:tcPr>
            <w:tcW w:w="1740" w:type="dxa"/>
            <w:vAlign w:val="bottom"/>
            <w:shd w:val="clear" w:color="auto" w:fill="CFF0FC"/>
          </w:tcPr>
          <w:p>
            <w:pPr>
              <w:jc w:val="center"/>
              <w:spacing w:after="0" w:line="239" w:lineRule="exact"/>
              <w:rPr>
                <w:sz w:val="20"/>
                <w:szCs w:val="20"/>
                <w:color w:val="auto"/>
              </w:rPr>
            </w:pPr>
            <w:r>
              <w:rPr>
                <w:rFonts w:ascii="Calibri" w:cs="Calibri" w:eastAsia="Calibri" w:hAnsi="Calibri"/>
                <w:sz w:val="20"/>
                <w:szCs w:val="20"/>
                <w:color w:val="auto"/>
                <w:w w:val="99"/>
              </w:rPr>
              <w:t>—</w:t>
            </w:r>
          </w:p>
        </w:tc>
        <w:tc>
          <w:tcPr>
            <w:tcW w:w="1920" w:type="dxa"/>
            <w:vAlign w:val="bottom"/>
            <w:shd w:val="clear" w:color="auto" w:fill="CFF0FC"/>
          </w:tcPr>
          <w:p>
            <w:pPr>
              <w:jc w:val="right"/>
              <w:ind w:right="161"/>
              <w:spacing w:after="0" w:line="239" w:lineRule="exact"/>
              <w:rPr>
                <w:sz w:val="20"/>
                <w:szCs w:val="20"/>
                <w:color w:val="auto"/>
              </w:rPr>
            </w:pPr>
            <w:r>
              <w:rPr>
                <w:rFonts w:ascii="Calibri" w:cs="Calibri" w:eastAsia="Calibri" w:hAnsi="Calibri"/>
                <w:sz w:val="20"/>
                <w:szCs w:val="20"/>
                <w:color w:val="auto"/>
              </w:rPr>
              <w:t>185,046</w:t>
            </w:r>
          </w:p>
        </w:tc>
        <w:tc>
          <w:tcPr>
            <w:tcW w:w="1740" w:type="dxa"/>
            <w:vAlign w:val="bottom"/>
            <w:shd w:val="clear" w:color="auto" w:fill="CFF0FC"/>
          </w:tcPr>
          <w:p>
            <w:pPr>
              <w:jc w:val="center"/>
              <w:spacing w:after="0" w:line="239" w:lineRule="exact"/>
              <w:rPr>
                <w:sz w:val="20"/>
                <w:szCs w:val="20"/>
                <w:color w:val="auto"/>
              </w:rPr>
            </w:pPr>
            <w:r>
              <w:rPr>
                <w:rFonts w:ascii="Calibri" w:cs="Calibri" w:eastAsia="Calibri" w:hAnsi="Calibri"/>
                <w:sz w:val="20"/>
                <w:szCs w:val="20"/>
                <w:color w:val="auto"/>
                <w:w w:val="99"/>
              </w:rPr>
              <w:t>—</w:t>
            </w:r>
          </w:p>
        </w:tc>
        <w:tc>
          <w:tcPr>
            <w:tcW w:w="1720" w:type="dxa"/>
            <w:vAlign w:val="bottom"/>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1,426,470</w:t>
            </w:r>
          </w:p>
        </w:tc>
      </w:tr>
      <w:tr>
        <w:trPr>
          <w:trHeight w:val="239"/>
        </w:trPr>
        <w:tc>
          <w:tcPr>
            <w:tcW w:w="196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Francis Tang</w:t>
            </w:r>
          </w:p>
        </w:tc>
        <w:tc>
          <w:tcPr>
            <w:tcW w:w="216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w:t>
            </w:r>
          </w:p>
        </w:tc>
        <w:tc>
          <w:tcPr>
            <w:tcW w:w="174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w:t>
            </w:r>
          </w:p>
        </w:tc>
        <w:tc>
          <w:tcPr>
            <w:tcW w:w="1920" w:type="dxa"/>
            <w:vAlign w:val="bottom"/>
          </w:tcPr>
          <w:p>
            <w:pPr>
              <w:jc w:val="right"/>
              <w:ind w:right="161"/>
              <w:spacing w:after="0" w:line="234" w:lineRule="exact"/>
              <w:rPr>
                <w:sz w:val="20"/>
                <w:szCs w:val="20"/>
                <w:color w:val="auto"/>
              </w:rPr>
            </w:pPr>
            <w:r>
              <w:rPr>
                <w:rFonts w:ascii="Calibri" w:cs="Calibri" w:eastAsia="Calibri" w:hAnsi="Calibri"/>
                <w:sz w:val="20"/>
                <w:szCs w:val="20"/>
                <w:color w:val="auto"/>
              </w:rPr>
              <w:t>146,184</w:t>
            </w:r>
          </w:p>
        </w:tc>
        <w:tc>
          <w:tcPr>
            <w:tcW w:w="174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w:t>
            </w:r>
          </w:p>
        </w:tc>
        <w:tc>
          <w:tcPr>
            <w:tcW w:w="172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925,890</w:t>
            </w:r>
          </w:p>
        </w:tc>
      </w:tr>
      <w:tr>
        <w:trPr>
          <w:trHeight w:val="243"/>
        </w:trPr>
        <w:tc>
          <w:tcPr>
            <w:tcW w:w="1960" w:type="dxa"/>
            <w:vAlign w:val="bottom"/>
            <w:tcBorders>
              <w:bottom w:val="single" w:sz="8" w:color="0070C0"/>
            </w:tcBorders>
            <w:shd w:val="clear" w:color="auto" w:fill="CFF0FC"/>
          </w:tcPr>
          <w:p>
            <w:pPr>
              <w:ind w:left="20"/>
              <w:spacing w:after="0" w:line="239" w:lineRule="exact"/>
              <w:rPr>
                <w:sz w:val="20"/>
                <w:szCs w:val="20"/>
                <w:color w:val="auto"/>
              </w:rPr>
            </w:pPr>
            <w:r>
              <w:rPr>
                <w:rFonts w:ascii="Calibri" w:cs="Calibri" w:eastAsia="Calibri" w:hAnsi="Calibri"/>
                <w:sz w:val="20"/>
                <w:szCs w:val="20"/>
                <w:b w:val="1"/>
                <w:bCs w:val="1"/>
                <w:color w:val="auto"/>
              </w:rPr>
              <w:t>Emily Yang</w:t>
            </w:r>
          </w:p>
        </w:tc>
        <w:tc>
          <w:tcPr>
            <w:tcW w:w="2160" w:type="dxa"/>
            <w:vAlign w:val="bottom"/>
            <w:tcBorders>
              <w:bottom w:val="single" w:sz="8" w:color="0070C0"/>
            </w:tcBorders>
            <w:shd w:val="clear" w:color="auto" w:fill="CFF0FC"/>
          </w:tcPr>
          <w:p>
            <w:pPr>
              <w:jc w:val="right"/>
              <w:ind w:right="141"/>
              <w:spacing w:after="0" w:line="239" w:lineRule="exact"/>
              <w:rPr>
                <w:sz w:val="20"/>
                <w:szCs w:val="20"/>
                <w:color w:val="auto"/>
              </w:rPr>
            </w:pPr>
            <w:r>
              <w:rPr>
                <w:rFonts w:ascii="Calibri" w:cs="Calibri" w:eastAsia="Calibri" w:hAnsi="Calibri"/>
                <w:sz w:val="20"/>
                <w:szCs w:val="20"/>
                <w:color w:val="auto"/>
              </w:rPr>
              <w:t>57,827</w:t>
            </w:r>
          </w:p>
        </w:tc>
        <w:tc>
          <w:tcPr>
            <w:tcW w:w="1740" w:type="dxa"/>
            <w:vAlign w:val="bottom"/>
            <w:tcBorders>
              <w:bottom w:val="single" w:sz="8" w:color="0070C0"/>
            </w:tcBorders>
            <w:shd w:val="clear" w:color="auto" w:fill="CFF0FC"/>
          </w:tcPr>
          <w:p>
            <w:pPr>
              <w:jc w:val="center"/>
              <w:spacing w:after="0" w:line="239" w:lineRule="exact"/>
              <w:rPr>
                <w:sz w:val="20"/>
                <w:szCs w:val="20"/>
                <w:color w:val="auto"/>
              </w:rPr>
            </w:pPr>
            <w:r>
              <w:rPr>
                <w:rFonts w:ascii="Calibri" w:cs="Calibri" w:eastAsia="Calibri" w:hAnsi="Calibri"/>
                <w:sz w:val="20"/>
                <w:szCs w:val="20"/>
                <w:color w:val="auto"/>
                <w:w w:val="99"/>
              </w:rPr>
              <w:t>―</w:t>
            </w:r>
          </w:p>
        </w:tc>
        <w:tc>
          <w:tcPr>
            <w:tcW w:w="1920" w:type="dxa"/>
            <w:vAlign w:val="bottom"/>
            <w:tcBorders>
              <w:bottom w:val="single" w:sz="8" w:color="0070C0"/>
            </w:tcBorders>
            <w:shd w:val="clear" w:color="auto" w:fill="CFF0FC"/>
          </w:tcPr>
          <w:p>
            <w:pPr>
              <w:jc w:val="right"/>
              <w:ind w:right="161"/>
              <w:spacing w:after="0" w:line="239" w:lineRule="exact"/>
              <w:rPr>
                <w:sz w:val="20"/>
                <w:szCs w:val="20"/>
                <w:color w:val="auto"/>
              </w:rPr>
            </w:pPr>
            <w:r>
              <w:rPr>
                <w:rFonts w:ascii="Calibri" w:cs="Calibri" w:eastAsia="Calibri" w:hAnsi="Calibri"/>
                <w:sz w:val="20"/>
                <w:szCs w:val="20"/>
                <w:color w:val="auto"/>
              </w:rPr>
              <w:t>90,934</w:t>
            </w:r>
          </w:p>
        </w:tc>
        <w:tc>
          <w:tcPr>
            <w:tcW w:w="1740" w:type="dxa"/>
            <w:vAlign w:val="bottom"/>
            <w:tcBorders>
              <w:bottom w:val="single" w:sz="8" w:color="0070C0"/>
            </w:tcBorders>
            <w:shd w:val="clear" w:color="auto" w:fill="CFF0FC"/>
          </w:tcPr>
          <w:p>
            <w:pPr>
              <w:jc w:val="center"/>
              <w:spacing w:after="0" w:line="239" w:lineRule="exact"/>
              <w:rPr>
                <w:sz w:val="20"/>
                <w:szCs w:val="20"/>
                <w:color w:val="auto"/>
              </w:rPr>
            </w:pPr>
            <w:r>
              <w:rPr>
                <w:rFonts w:ascii="Calibri" w:cs="Calibri" w:eastAsia="Calibri" w:hAnsi="Calibri"/>
                <w:sz w:val="20"/>
                <w:szCs w:val="20"/>
                <w:color w:val="auto"/>
                <w:w w:val="99"/>
              </w:rPr>
              <w:t>—</w:t>
            </w:r>
          </w:p>
        </w:tc>
        <w:tc>
          <w:tcPr>
            <w:tcW w:w="1720" w:type="dxa"/>
            <w:vAlign w:val="bottom"/>
            <w:tcBorders>
              <w:bottom w:val="single" w:sz="8" w:color="0070C0"/>
            </w:tcBorders>
            <w:shd w:val="clear" w:color="auto" w:fill="CFF0FC"/>
          </w:tcPr>
          <w:p>
            <w:pPr>
              <w:jc w:val="right"/>
              <w:ind w:right="21"/>
              <w:spacing w:after="0" w:line="239" w:lineRule="exact"/>
              <w:rPr>
                <w:sz w:val="20"/>
                <w:szCs w:val="20"/>
                <w:color w:val="auto"/>
              </w:rPr>
            </w:pPr>
            <w:r>
              <w:rPr>
                <w:rFonts w:ascii="Calibri" w:cs="Calibri" w:eastAsia="Calibri" w:hAnsi="Calibri"/>
                <w:sz w:val="20"/>
                <w:szCs w:val="20"/>
                <w:color w:val="auto"/>
              </w:rPr>
              <w:t>952,074</w:t>
            </w:r>
          </w:p>
        </w:tc>
      </w:tr>
    </w:tbl>
    <w:p>
      <w:pPr>
        <w:ind w:left="160" w:right="20"/>
        <w:spacing w:after="0" w:line="232" w:lineRule="auto"/>
        <w:rPr>
          <w:sz w:val="20"/>
          <w:szCs w:val="20"/>
          <w:color w:val="auto"/>
        </w:rPr>
      </w:pPr>
      <w:r>
        <w:rPr>
          <w:rFonts w:ascii="Calibri" w:cs="Calibri" w:eastAsia="Calibri" w:hAnsi="Calibri"/>
          <w:sz w:val="14"/>
          <w:szCs w:val="14"/>
          <w:color w:val="auto"/>
        </w:rPr>
        <w:t>(1) Contributons are reported as compensaton in the last completed fscal year in either the “Salary” or the “Bonus” column in the Summary Compensaton Table depending on the source of the deferral.</w:t>
      </w:r>
    </w:p>
    <w:p>
      <w:pPr>
        <w:spacing w:after="0" w:line="5"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(2) The amounts reported in this column are reported as compensaton for 2024 in the Summary Compensaton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discussion sets forth potental payments payable to the NEOs upon terminaton of their employment or a change in control of the Company. For purposes of this secton, certain relevant provisions and terms that are generally applicable and which therefore cover the NEOs are described below:</w:t>
      </w:r>
    </w:p>
    <w:p>
      <w:pPr>
        <w:spacing w:after="0" w:line="15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Dr. Keh-Shew Lu – Employment Agreement and Equity Award Agreements</w:t>
      </w:r>
    </w:p>
    <w:p>
      <w:pPr>
        <w:spacing w:after="0" w:line="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Payments Upon Terminaton by the Company Other Than for “Cause” or by Employee for “Good Reason”</w:t>
      </w:r>
    </w:p>
    <w:p>
      <w:pPr>
        <w:spacing w:after="0" w:line="1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Payments upon terminaton by the Company other than for “cause” (as defned in Dr. Lu’s employment agreement) which includes terminaton due to Disability (as defned in Dr. Lu’s employment agreement) or by Dr. Lu for “good reason” (as defned in Dr. Lu’s employment agreement) are governed by his current employment agreement entered into with the Company on July 21, 2015, as amended. Dr. Lu’s relatonship with the Company is “at will” and may be terminated at the opton of either party, for any or no reason whatsoever, with or without cause.</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"Cause" means:</w:t>
      </w:r>
    </w:p>
    <w:p>
      <w:pPr>
        <w:spacing w:after="0" w:line="130" w:lineRule="exact"/>
        <w:rPr>
          <w:sz w:val="20"/>
          <w:szCs w:val="20"/>
          <w:color w:val="auto"/>
        </w:rPr>
      </w:pPr>
    </w:p>
    <w:p>
      <w:pPr>
        <w:jc w:val="both"/>
        <w:ind w:left="1020" w:hanging="503"/>
        <w:spacing w:after="0" w:line="236" w:lineRule="auto"/>
        <w:tabs>
          <w:tab w:leader="none" w:pos="1020" w:val="left"/>
        </w:tabs>
        <w:numPr>
          <w:ilvl w:val="0"/>
          <w:numId w:val="4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willful and contnued refusal of employee to substantally perform his dutes in accordance with his employment agreement (other than any such failure resultng from incapacity due to physical or mental illness), insubordinaton, or material violaton of the Company’s policies, in each case afer a writen demand for substantal performance is delivered to employee by the Board which specifcally identfes the manner in which</w:t>
      </w: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56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9" w:name="page60"/>
    <w:bookmarkEnd w:id="59"/>
    <w:p>
      <w:pPr>
        <w:jc w:val="both"/>
        <w:ind w:left="1020"/>
        <w:spacing w:after="0" w:line="236" w:lineRule="auto"/>
        <w:rPr>
          <w:sz w:val="20"/>
          <w:szCs w:val="20"/>
          <w:color w:val="auto"/>
        </w:rPr>
      </w:pPr>
      <w:r>
        <w:rPr>
          <w:rFonts w:ascii="Calibri" w:cs="Calibri" w:eastAsia="Calibri" w:hAnsi="Calibri"/>
          <w:sz w:val="20"/>
          <w:szCs w:val="20"/>
          <w:color w:val="auto"/>
        </w:rPr>
        <w:t>the Board believes that employee has not substantally performed such dutes, the acts consttutng such insubordinaton, or such violatons of the Company’s policies, as the case may be, and employee shall have had a reasonable opportunity to remedy the same; or</w:t>
      </w:r>
    </w:p>
    <w:p>
      <w:pPr>
        <w:spacing w:after="0" w:line="121"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convicton of, or a plea of nolo contendere by, employee to a felony; or</w:t>
      </w:r>
    </w:p>
    <w:p>
      <w:pPr>
        <w:spacing w:after="0" w:line="130" w:lineRule="exact"/>
        <w:rPr>
          <w:rFonts w:ascii="Times New Roman" w:cs="Times New Roman" w:eastAsia="Times New Roman" w:hAnsi="Times New Roman"/>
          <w:sz w:val="20"/>
          <w:szCs w:val="20"/>
          <w:color w:val="auto"/>
        </w:rPr>
      </w:pPr>
    </w:p>
    <w:p>
      <w:pPr>
        <w:jc w:val="both"/>
        <w:ind w:left="1020" w:hanging="503"/>
        <w:spacing w:after="0" w:line="237" w:lineRule="auto"/>
        <w:tabs>
          <w:tab w:leader="none" w:pos="1020" w:val="left"/>
        </w:tabs>
        <w:numPr>
          <w:ilvl w:val="0"/>
          <w:numId w:val="41"/>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charge or indictment of a felony, the defense of which renders employee substantally unable to perform his dutes under his employment agreement. In order to terminate employee’s employment for Cause, the Company must provide employee with a copy of a resoluton adopted by the afrmatve vote of not less than a majority of all members of the Board at a meetng of the Board (afer reasonable notce is provided to employee and employee is given an opportunity, together with counsel, to be heard before the Board), fnding that employee is guilty of a Cause act.</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“Good Reason” means:</w:t>
      </w:r>
    </w:p>
    <w:p>
      <w:pPr>
        <w:spacing w:after="0" w:line="120"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material diminuton in employee’s base salary;</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material diminuton in employee’s authority, dutes, or responsibilites as contemplated in his employment agreement;</w:t>
      </w:r>
    </w:p>
    <w:p>
      <w:pPr>
        <w:spacing w:after="0" w:line="12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material change in the geographic locaton at which employee must perform services; or</w:t>
      </w:r>
    </w:p>
    <w:p>
      <w:pPr>
        <w:spacing w:after="0" w:line="130" w:lineRule="exact"/>
        <w:rPr>
          <w:rFonts w:ascii="Times New Roman" w:cs="Times New Roman" w:eastAsia="Times New Roman" w:hAnsi="Times New Roman"/>
          <w:sz w:val="20"/>
          <w:szCs w:val="20"/>
          <w:color w:val="auto"/>
        </w:rPr>
      </w:pPr>
    </w:p>
    <w:p>
      <w:pPr>
        <w:jc w:val="both"/>
        <w:ind w:left="1020" w:hanging="503"/>
        <w:spacing w:after="0"/>
        <w:tabs>
          <w:tab w:leader="none" w:pos="1020" w:val="left"/>
        </w:tabs>
        <w:numPr>
          <w:ilvl w:val="0"/>
          <w:numId w:val="4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other acton or inacton that consttutes a material breach by the Company of the employment agreement. Good Reason shall not exist unless employee has notfed the Company within thirty (30) days of the inital existence of the actons or failures to act giving rise to Good Reason, and such actons or failures have not been cured or remedied by the Company within thirty (30) days of the receipt of such notce. Thereafer, employee must then tmely consummate his resignaton for Good Reason.</w:t>
      </w:r>
    </w:p>
    <w:p>
      <w:pPr>
        <w:spacing w:after="0" w:line="34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“Disability” generally means: (other than for equity awards which consist of tax code secton 422 incentve stock optons or tax code secton 409A nonqualifed deferred compensaton) a medically determinable physical or mental incapacitaton such that for a contnuous period of not less than twelve (12) months, employee is unable to engage in any substantal gainful actvity or which can be expected to result in death. The defniton of Disability with respect to incentve stock optons and nonqualifed deferred compensaton is provided by their respectve tax code defnitons.</w:t>
      </w:r>
    </w:p>
    <w:p>
      <w:pPr>
        <w:spacing w:after="0" w:line="118"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In the event Dr. Lu’s employment is terminated by (a) the Company other than for “cause” (as defned), or (b) Dr. Lu for “good reason” (as defned), (i) the Company shall contnue to pay or provide to Dr. Lu the annual base salary during the period commencing on the 60th day afer the efectve date of such terminaton and ending on the frst anniversary of such efectve date such that an aggregate total of 12 months of base salary are provided, (ii) the Company shall pay to Dr. Lu any amount payable under an executve bonus plan for the fscal year in which such terminaton occurs, prorated to the date of the terminaton, (iii) the Company shall pay Dr. Lu his accrued but unused paid tme of, (iv) the Company shall provide to Dr. Lu contnued partcipaton in any group health plan or medical reimbursement plan on the terms existng on the date of terminaton for the period commencing on the efectve date of such terminaton and ending 18 months thereafer, and (v) all stock-based compensaton previously granted to Dr. Lu (including, but not limited to, all stock optons, SARs, stock units, bonus units and stock grants) shall contnue to be governed by the applicable award agreement. The benefts provided by the foregoing clauses (i) and (iv) are conditoned upon Dr. Lu’s executon of a separaton agreement with the Company and such agreement shall include a release of all claims against the Company and its afliates.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However, if Dr. Lu’s employment is terminated either by the Company other than for “cause” (as defned) or by Dr. Lu for “good reason” (as defned) and if Dr. Lu then obtains a new employment within one year from the date of his terminaton, the annual post-employment base salary payable by the Company to Dr. Lu shall be reduced by any amount received by him during such one year in connecton with such other employment.</w:t>
      </w:r>
    </w:p>
    <w:p>
      <w:pPr>
        <w:spacing w:after="0" w:line="15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Payments Upon Terminaton by the Company for “Cause” or by Dr. Lu Other Than for “Good Reason”</w:t>
      </w:r>
    </w:p>
    <w:p>
      <w:pPr>
        <w:spacing w:after="0" w:line="3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 the event that Dr. Lu’s employment is terminated by (a) the Company for “cause” (as defned) or (b) Dr. Lu other than for “good reason” (as defned), (i)the Company shall promptly pay or provide to Dr. Lu the annual base salary, prorated through the date of terminaton, (ii) the Company shall pay to Dr. Lu any amount payable under an executve bonus plan</w:t>
      </w:r>
    </w:p>
    <w:p>
      <w:pPr>
        <w:spacing w:after="0" w:line="23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57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0" w:name="page61"/>
    <w:bookmarkEnd w:id="60"/>
    <w:p>
      <w:pPr>
        <w:jc w:val="both"/>
        <w:spacing w:after="0" w:line="236" w:lineRule="auto"/>
        <w:rPr>
          <w:sz w:val="20"/>
          <w:szCs w:val="20"/>
          <w:color w:val="auto"/>
        </w:rPr>
      </w:pPr>
      <w:r>
        <w:rPr>
          <w:rFonts w:ascii="Calibri" w:cs="Calibri" w:eastAsia="Calibri" w:hAnsi="Calibri"/>
          <w:sz w:val="20"/>
          <w:szCs w:val="20"/>
          <w:color w:val="auto"/>
        </w:rPr>
        <w:t>for the fscal year in which such terminaton occurs, prorated to the date of the terminaton, (iii) the Company shall pay Dr. Lu his accrued but unused paid tme of, and (iv) all stock-based compensaton previously granted to Dr. Lu (including, but not limited to, all stock optons, SARs, stock units, bonus units and stock grants) shall contnue to be governed by the applicable award agreement. A terminaton of employment by Dr. Lu due to his retrement will generally be treated the same as a resignaton without Good Reason.</w:t>
      </w:r>
    </w:p>
    <w:p>
      <w:pPr>
        <w:spacing w:after="0" w:line="14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Payment Upon Terminaton Due To Death or Disability</w:t>
      </w:r>
    </w:p>
    <w:p>
      <w:pPr>
        <w:spacing w:after="0" w:line="4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Under Dr. Lu’s employment agreement, Dr. Lu is enttled to a life insurance policy with a death beneft in an amount equal to that existng on the date of his employment agreement and a disability insurance policy in the maximum insurable amount as defned by such policy. Additonally, if terminaton of employment occurred due to Dr. Lu’s death or Disability then he would also receive the same benefts provided for a resignaton without Good Reason.</w:t>
      </w:r>
    </w:p>
    <w:p>
      <w:pPr>
        <w:spacing w:after="0" w:line="1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Payment Upon a Change in Control</w:t>
      </w:r>
    </w:p>
    <w:p>
      <w:pPr>
        <w:spacing w:after="0" w:line="113"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2013 Plan generally provides that, (1) in the event of a change in control and/or the Company is a party to a merger, acquisiton, reorganizaton or similar transacton, outstanding equity awards shall be subject to the merger agreement or other applicable transacton agreement, and (2) in the event of a change in control and there is no assumpton, substtuton or contnuaton of equity awards pursuant to a merger, acquisiton, reorganizaton or similar transacton, the Compensaton Commitee of the Board (the “Compensaton Commitee”) in its discreton may provide that some or all Dr. Lu’s equity awards shall vest and become exercisable as of immediately before such change in control. The Compensaton Commitee may also in its discreton include in an applicable equity award agreement that accelerated vestng of an equity award will be provided if Dr. Lu’s service is terminated without cause by the Company (or its acquirer) within a specifed period of tme on or afer a change in control. The Compensaton Commitee may also in its discreton include in an applicable equity award agreement a requirement that, under certain circumstances, acceleraton of vestng (or compensaton payable) with respect to such equity award shall be reduced (or eliminated) to the extent that such reducton (or eliminaton) would, afer taking into account any other payments in the nature of compensaton to which Dr. Lu would have a right to receive from the Company and any other person contngent upon the occurrence of a change in control, prevent the occurrence of a “parachute payment” as defned under Code Secton 280G. The applicable 2022 Plan provisions are similar to the above except that the treatment of awards is not subject to discreton and instead is objectvely specifed as described in the 2022 Equity Incentve Plan secton.</w:t>
      </w:r>
    </w:p>
    <w:p>
      <w:pPr>
        <w:spacing w:after="0" w:line="335" w:lineRule="exact"/>
        <w:rPr>
          <w:sz w:val="20"/>
          <w:szCs w:val="20"/>
          <w:color w:val="auto"/>
        </w:rPr>
      </w:pPr>
    </w:p>
    <w:p>
      <w:pPr>
        <w:jc w:val="both"/>
        <w:ind w:right="20" w:firstLine="45"/>
        <w:spacing w:after="0" w:line="234" w:lineRule="auto"/>
        <w:rPr>
          <w:sz w:val="20"/>
          <w:szCs w:val="20"/>
          <w:color w:val="auto"/>
        </w:rPr>
      </w:pPr>
      <w:r>
        <w:rPr>
          <w:rFonts w:ascii="Calibri" w:cs="Calibri" w:eastAsia="Calibri" w:hAnsi="Calibri"/>
          <w:sz w:val="20"/>
          <w:szCs w:val="20"/>
          <w:color w:val="auto"/>
        </w:rPr>
        <w:t>The defniton of change in control in the 2022 Plan and the 2013 Plan are similar to each other and generally mean the consummaton of any one (or more) of the following:</w:t>
      </w:r>
    </w:p>
    <w:p>
      <w:pPr>
        <w:spacing w:after="0" w:line="131" w:lineRule="exact"/>
        <w:rPr>
          <w:sz w:val="20"/>
          <w:szCs w:val="20"/>
          <w:color w:val="auto"/>
        </w:rPr>
      </w:pPr>
    </w:p>
    <w:p>
      <w:pPr>
        <w:jc w:val="both"/>
        <w:ind w:left="1020" w:hanging="503"/>
        <w:spacing w:after="0" w:line="236" w:lineRule="auto"/>
        <w:tabs>
          <w:tab w:leader="none" w:pos="1020" w:val="left"/>
        </w:tabs>
        <w:numPr>
          <w:ilvl w:val="0"/>
          <w:numId w:val="4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person, including a group as defned in Secton 13(d)(3) of the Securites Exchange Act of 1934, as amended, becoming the benefcial owner of stock of the Company which enttles such holder to cast 25% or more of the total number of votes for the electon of the Board;</w:t>
      </w:r>
    </w:p>
    <w:p>
      <w:pPr>
        <w:spacing w:after="0" w:line="130" w:lineRule="exact"/>
        <w:rPr>
          <w:rFonts w:ascii="Times New Roman" w:cs="Times New Roman" w:eastAsia="Times New Roman" w:hAnsi="Times New Roman"/>
          <w:sz w:val="20"/>
          <w:szCs w:val="20"/>
          <w:color w:val="auto"/>
        </w:rPr>
      </w:pPr>
    </w:p>
    <w:p>
      <w:pPr>
        <w:jc w:val="both"/>
        <w:ind w:left="1020" w:hanging="503"/>
        <w:spacing w:after="0"/>
        <w:tabs>
          <w:tab w:leader="none" w:pos="1020" w:val="left"/>
        </w:tabs>
        <w:numPr>
          <w:ilvl w:val="0"/>
          <w:numId w:val="4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cash tender ofer, exchange ofer, merger or other business combinaton, sale of assets or contested electon, or combinaton of the foregoing, in which the directors of the Company immediately prior to such event cease to be a majority of the Board;</w:t>
      </w:r>
    </w:p>
    <w:p>
      <w:pPr>
        <w:spacing w:after="0" w:line="362"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4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Company ceases to be an independent publicly owned company or a sale or other dispositon is completed for all or substantally all the assets of the Company; or</w:t>
      </w:r>
    </w:p>
    <w:p>
      <w:pPr>
        <w:spacing w:after="0" w:line="131"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4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tender ofer or exchange ofer (other than one made by the Company) in which the shares of the Company’s stock are acquired.</w:t>
      </w:r>
    </w:p>
    <w:p>
      <w:pPr>
        <w:spacing w:after="0" w:line="1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Payment Upon Retrement</w:t>
      </w:r>
    </w:p>
    <w:p>
      <w:pPr>
        <w:spacing w:after="0" w:line="101" w:lineRule="exact"/>
        <w:rPr>
          <w:sz w:val="20"/>
          <w:szCs w:val="20"/>
          <w:color w:val="auto"/>
        </w:rPr>
      </w:pPr>
    </w:p>
    <w:p>
      <w:pPr>
        <w:spacing w:after="0"/>
        <w:rPr>
          <w:sz w:val="20"/>
          <w:szCs w:val="20"/>
          <w:color w:val="auto"/>
        </w:rPr>
      </w:pPr>
      <w:r>
        <w:rPr>
          <w:rFonts w:ascii="Calibri" w:cs="Calibri" w:eastAsia="Calibri" w:hAnsi="Calibri"/>
          <w:sz w:val="20"/>
          <w:szCs w:val="20"/>
          <w:color w:val="auto"/>
        </w:rPr>
        <w:t>Dr. Lu’s employment agreement does not specifcally provide for a cash payment to him in the event of his retrement.</w:t>
      </w:r>
    </w:p>
    <w:p>
      <w:pPr>
        <w:spacing w:after="0" w:line="15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5CA9"/>
        </w:rPr>
        <w:t>Bret R. Whitmire, Gary Yu, Francis Tang, and Emily Yang</w:t>
      </w:r>
    </w:p>
    <w:p>
      <w:pPr>
        <w:spacing w:after="0" w:line="2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Payment Upon Terminaton</w:t>
      </w:r>
    </w:p>
    <w:p>
      <w:pPr>
        <w:spacing w:after="0" w:line="86"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Mr. Whitmire, Mr. Yu, Mr. Tang, and Ms. Yang do not have employment agreements with the Company, and payments upon terminaton under any circumstance for them are governed by their respectve equity award agreements, the 2022</w:t>
      </w:r>
    </w:p>
    <w:p>
      <w:pPr>
        <w:spacing w:after="0" w:line="23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58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61" w:name="page62"/>
    <w:bookmarkEnd w:id="61"/>
    <w:p>
      <w:pPr>
        <w:jc w:val="both"/>
        <w:spacing w:after="0" w:line="236" w:lineRule="auto"/>
        <w:rPr>
          <w:sz w:val="20"/>
          <w:szCs w:val="20"/>
          <w:color w:val="auto"/>
        </w:rPr>
      </w:pPr>
      <w:r>
        <w:rPr>
          <w:rFonts w:ascii="Calibri" w:cs="Calibri" w:eastAsia="Calibri" w:hAnsi="Calibri"/>
          <w:sz w:val="20"/>
          <w:szCs w:val="20"/>
          <w:color w:val="auto"/>
        </w:rPr>
        <w:t>Plan, the 2013 Incentve Plan, and the Company’s general policies for terminaton of employees as specifed in the Company’s employee handbook. Please refer to the tables below in this Proxy Statement for further discussion of Mr. Whitmire’s, Mr. Yu's, Mr. Tang’s, and Ms. Yang's payments upon terminaton on December 31, 2024, under any circumstance.</w:t>
      </w:r>
    </w:p>
    <w:p>
      <w:pPr>
        <w:spacing w:after="0" w:line="15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NEO Payments Upon Terminaton Events and Change In Control</w:t>
      </w:r>
    </w:p>
    <w:p>
      <w:pPr>
        <w:spacing w:after="0" w:line="84"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following tables assume (i) the triggering event took place on December 31, 2024; (ii) the price per share used to calculate the value of equity awards was $61.67, the closing price per share on December 31, 2024, the last trading day of 2024; (iii) the intrinsic value of nonqualifed stock opton acceleraton is calculated by multplying the diference between the respectve exercise prices of any unvested nonqualifed stock opton shares that would have been subject to acceleraton and $61.67 by the number of shares underlying the unvested nonqualifed stock optons that would have been subject to acceleraton; (iv) the value of RSUs and Modifed Awards acceleraton is calculated by multplying $61.67 by the number of RSUs and Modifed Awards that would have been subject to acceleraton; and (v) a performance incentve bonus was earned for 2024 at the level set forth in the “Summary Compensaton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60" w:type="dxa"/>
            <w:vAlign w:val="bottom"/>
            <w:tcBorders>
              <w:top w:val="single" w:sz="8" w:color="005CA9"/>
            </w:tcBorders>
          </w:tcPr>
          <w:p>
            <w:pPr>
              <w:spacing w:after="0"/>
              <w:rPr>
                <w:sz w:val="20"/>
                <w:szCs w:val="20"/>
                <w:color w:val="auto"/>
              </w:rPr>
            </w:pPr>
          </w:p>
        </w:tc>
        <w:tc>
          <w:tcPr>
            <w:tcW w:w="2840" w:type="dxa"/>
            <w:vAlign w:val="bottom"/>
            <w:tcBorders>
              <w:top w:val="single" w:sz="8" w:color="005CA9"/>
            </w:tcBorders>
          </w:tcPr>
          <w:p>
            <w:pPr>
              <w:jc w:val="center"/>
              <w:ind w:left="601"/>
              <w:spacing w:after="0" w:line="232" w:lineRule="exact"/>
              <w:rPr>
                <w:sz w:val="20"/>
                <w:szCs w:val="20"/>
                <w:color w:val="auto"/>
              </w:rPr>
            </w:pPr>
            <w:r>
              <w:rPr>
                <w:rFonts w:ascii="Calibri" w:cs="Calibri" w:eastAsia="Calibri" w:hAnsi="Calibri"/>
                <w:sz w:val="20"/>
                <w:szCs w:val="20"/>
                <w:b w:val="1"/>
                <w:bCs w:val="1"/>
                <w:color w:val="auto"/>
                <w:w w:val="99"/>
              </w:rPr>
              <w:t>Voluntary</w:t>
            </w:r>
          </w:p>
        </w:tc>
        <w:tc>
          <w:tcPr>
            <w:tcW w:w="2060" w:type="dxa"/>
            <w:vAlign w:val="bottom"/>
            <w:tcBorders>
              <w:top w:val="single" w:sz="8" w:color="005CA9"/>
            </w:tcBorders>
          </w:tcPr>
          <w:p>
            <w:pPr>
              <w:spacing w:after="0"/>
              <w:rPr>
                <w:sz w:val="20"/>
                <w:szCs w:val="20"/>
                <w:color w:val="auto"/>
              </w:rPr>
            </w:pPr>
          </w:p>
        </w:tc>
        <w:tc>
          <w:tcPr>
            <w:tcW w:w="1980" w:type="dxa"/>
            <w:vAlign w:val="bottom"/>
            <w:tcBorders>
              <w:top w:val="single" w:sz="8" w:color="005CA9"/>
            </w:tcBorders>
          </w:tcPr>
          <w:p>
            <w:pPr>
              <w:spacing w:after="0"/>
              <w:rPr>
                <w:sz w:val="20"/>
                <w:szCs w:val="20"/>
                <w:color w:val="auto"/>
              </w:rPr>
            </w:pPr>
          </w:p>
        </w:tc>
        <w:tc>
          <w:tcPr>
            <w:tcW w:w="1700" w:type="dxa"/>
            <w:vAlign w:val="bottom"/>
            <w:tcBorders>
              <w:top w:val="single" w:sz="8" w:color="005CA9"/>
            </w:tcBorders>
          </w:tcPr>
          <w:p>
            <w:pPr>
              <w:spacing w:after="0"/>
              <w:rPr>
                <w:sz w:val="20"/>
                <w:szCs w:val="20"/>
                <w:color w:val="auto"/>
              </w:rPr>
            </w:pPr>
          </w:p>
        </w:tc>
      </w:tr>
      <w:tr>
        <w:trPr>
          <w:trHeight w:val="234"/>
        </w:trPr>
        <w:tc>
          <w:tcPr>
            <w:tcW w:w="2660" w:type="dxa"/>
            <w:vAlign w:val="bottom"/>
          </w:tcPr>
          <w:p>
            <w:pPr>
              <w:spacing w:after="0"/>
              <w:rPr>
                <w:sz w:val="20"/>
                <w:szCs w:val="20"/>
                <w:color w:val="auto"/>
              </w:rPr>
            </w:pPr>
          </w:p>
        </w:tc>
        <w:tc>
          <w:tcPr>
            <w:tcW w:w="2840" w:type="dxa"/>
            <w:vAlign w:val="bottom"/>
          </w:tcPr>
          <w:p>
            <w:pPr>
              <w:jc w:val="center"/>
              <w:ind w:left="661"/>
              <w:spacing w:after="0" w:line="234" w:lineRule="exact"/>
              <w:rPr>
                <w:sz w:val="20"/>
                <w:szCs w:val="20"/>
                <w:color w:val="auto"/>
              </w:rPr>
            </w:pPr>
            <w:r>
              <w:rPr>
                <w:rFonts w:ascii="Calibri" w:cs="Calibri" w:eastAsia="Calibri" w:hAnsi="Calibri"/>
                <w:sz w:val="20"/>
                <w:szCs w:val="20"/>
                <w:b w:val="1"/>
                <w:bCs w:val="1"/>
                <w:color w:val="auto"/>
              </w:rPr>
              <w:t>Terminaton</w:t>
            </w:r>
          </w:p>
        </w:tc>
        <w:tc>
          <w:tcPr>
            <w:tcW w:w="2060" w:type="dxa"/>
            <w:vAlign w:val="bottom"/>
          </w:tcPr>
          <w:p>
            <w:pPr>
              <w:jc w:val="center"/>
              <w:ind w:right="105"/>
              <w:spacing w:after="0" w:line="234" w:lineRule="exact"/>
              <w:rPr>
                <w:sz w:val="20"/>
                <w:szCs w:val="20"/>
                <w:color w:val="auto"/>
              </w:rPr>
            </w:pPr>
            <w:r>
              <w:rPr>
                <w:rFonts w:ascii="Calibri" w:cs="Calibri" w:eastAsia="Calibri" w:hAnsi="Calibri"/>
                <w:sz w:val="20"/>
                <w:szCs w:val="20"/>
                <w:b w:val="1"/>
                <w:bCs w:val="1"/>
                <w:color w:val="auto"/>
              </w:rPr>
              <w:t>Terminaton</w:t>
            </w:r>
          </w:p>
        </w:tc>
        <w:tc>
          <w:tcPr>
            <w:tcW w:w="1980" w:type="dxa"/>
            <w:vAlign w:val="bottom"/>
          </w:tcPr>
          <w:p>
            <w:pPr>
              <w:jc w:val="center"/>
              <w:ind w:right="241"/>
              <w:spacing w:after="0" w:line="234" w:lineRule="exact"/>
              <w:rPr>
                <w:sz w:val="20"/>
                <w:szCs w:val="20"/>
                <w:color w:val="auto"/>
              </w:rPr>
            </w:pPr>
            <w:r>
              <w:rPr>
                <w:rFonts w:ascii="Calibri" w:cs="Calibri" w:eastAsia="Calibri" w:hAnsi="Calibri"/>
                <w:sz w:val="20"/>
                <w:szCs w:val="20"/>
                <w:b w:val="1"/>
                <w:bCs w:val="1"/>
                <w:color w:val="auto"/>
              </w:rPr>
              <w:t>Terminaton</w:t>
            </w:r>
          </w:p>
        </w:tc>
        <w:tc>
          <w:tcPr>
            <w:tcW w:w="1700" w:type="dxa"/>
            <w:vAlign w:val="bottom"/>
          </w:tcPr>
          <w:p>
            <w:pPr>
              <w:spacing w:after="0"/>
              <w:rPr>
                <w:sz w:val="20"/>
                <w:szCs w:val="20"/>
                <w:color w:val="auto"/>
              </w:rPr>
            </w:pPr>
          </w:p>
        </w:tc>
      </w:tr>
      <w:tr>
        <w:trPr>
          <w:trHeight w:val="243"/>
        </w:trPr>
        <w:tc>
          <w:tcPr>
            <w:tcW w:w="2660" w:type="dxa"/>
            <w:vAlign w:val="bottom"/>
          </w:tcPr>
          <w:p>
            <w:pPr>
              <w:spacing w:after="0"/>
              <w:rPr>
                <w:sz w:val="21"/>
                <w:szCs w:val="21"/>
                <w:color w:val="auto"/>
              </w:rPr>
            </w:pPr>
          </w:p>
        </w:tc>
        <w:tc>
          <w:tcPr>
            <w:tcW w:w="2840" w:type="dxa"/>
            <w:vAlign w:val="bottom"/>
          </w:tcPr>
          <w:p>
            <w:pPr>
              <w:jc w:val="center"/>
              <w:ind w:left="641"/>
              <w:spacing w:after="0" w:line="243" w:lineRule="exact"/>
              <w:rPr>
                <w:sz w:val="20"/>
                <w:szCs w:val="20"/>
                <w:color w:val="auto"/>
              </w:rPr>
            </w:pPr>
            <w:r>
              <w:rPr>
                <w:rFonts w:ascii="Calibri" w:cs="Calibri" w:eastAsia="Calibri" w:hAnsi="Calibri"/>
                <w:sz w:val="20"/>
                <w:szCs w:val="20"/>
                <w:b w:val="1"/>
                <w:bCs w:val="1"/>
                <w:color w:val="auto"/>
              </w:rPr>
              <w:t>or Terminaton</w:t>
            </w:r>
          </w:p>
        </w:tc>
        <w:tc>
          <w:tcPr>
            <w:tcW w:w="2060" w:type="dxa"/>
            <w:vAlign w:val="bottom"/>
          </w:tcPr>
          <w:p>
            <w:pPr>
              <w:jc w:val="center"/>
              <w:ind w:right="105"/>
              <w:spacing w:after="0" w:line="243" w:lineRule="exact"/>
              <w:rPr>
                <w:sz w:val="20"/>
                <w:szCs w:val="20"/>
                <w:color w:val="auto"/>
              </w:rPr>
            </w:pPr>
            <w:r>
              <w:rPr>
                <w:rFonts w:ascii="Calibri" w:cs="Calibri" w:eastAsia="Calibri" w:hAnsi="Calibri"/>
                <w:sz w:val="20"/>
                <w:szCs w:val="20"/>
                <w:b w:val="1"/>
                <w:bCs w:val="1"/>
                <w:color w:val="auto"/>
              </w:rPr>
              <w:t>Due to Disability</w:t>
            </w:r>
          </w:p>
        </w:tc>
        <w:tc>
          <w:tcPr>
            <w:tcW w:w="1980" w:type="dxa"/>
            <w:vAlign w:val="bottom"/>
          </w:tcPr>
          <w:p>
            <w:pPr>
              <w:jc w:val="center"/>
              <w:ind w:right="221"/>
              <w:spacing w:after="0" w:line="243" w:lineRule="exact"/>
              <w:rPr>
                <w:sz w:val="20"/>
                <w:szCs w:val="20"/>
                <w:color w:val="auto"/>
              </w:rPr>
            </w:pPr>
            <w:r>
              <w:rPr>
                <w:rFonts w:ascii="Calibri" w:cs="Calibri" w:eastAsia="Calibri" w:hAnsi="Calibri"/>
                <w:sz w:val="20"/>
                <w:szCs w:val="20"/>
                <w:b w:val="1"/>
                <w:bCs w:val="1"/>
                <w:color w:val="auto"/>
              </w:rPr>
              <w:t>Without</w:t>
            </w:r>
          </w:p>
        </w:tc>
        <w:tc>
          <w:tcPr>
            <w:tcW w:w="1700" w:type="dxa"/>
            <w:vAlign w:val="bottom"/>
          </w:tcPr>
          <w:p>
            <w:pPr>
              <w:jc w:val="center"/>
              <w:ind w:right="86"/>
              <w:spacing w:after="0" w:line="243" w:lineRule="exact"/>
              <w:rPr>
                <w:sz w:val="20"/>
                <w:szCs w:val="20"/>
                <w:color w:val="auto"/>
              </w:rPr>
            </w:pPr>
            <w:r>
              <w:rPr>
                <w:rFonts w:ascii="Calibri" w:cs="Calibri" w:eastAsia="Calibri" w:hAnsi="Calibri"/>
                <w:sz w:val="20"/>
                <w:szCs w:val="20"/>
                <w:b w:val="1"/>
                <w:bCs w:val="1"/>
                <w:color w:val="auto"/>
              </w:rPr>
              <w:t>Change in</w:t>
            </w:r>
          </w:p>
        </w:tc>
      </w:tr>
      <w:tr>
        <w:trPr>
          <w:trHeight w:val="218"/>
        </w:trPr>
        <w:tc>
          <w:tcPr>
            <w:tcW w:w="2660" w:type="dxa"/>
            <w:vAlign w:val="bottom"/>
          </w:tcPr>
          <w:p>
            <w:pPr>
              <w:spacing w:after="0"/>
              <w:rPr>
                <w:sz w:val="18"/>
                <w:szCs w:val="18"/>
                <w:color w:val="auto"/>
              </w:rPr>
            </w:pPr>
          </w:p>
        </w:tc>
        <w:tc>
          <w:tcPr>
            <w:tcW w:w="2840" w:type="dxa"/>
            <w:vAlign w:val="bottom"/>
          </w:tcPr>
          <w:p>
            <w:pPr>
              <w:jc w:val="center"/>
              <w:ind w:left="661"/>
              <w:spacing w:after="0" w:line="218" w:lineRule="exact"/>
              <w:rPr>
                <w:sz w:val="20"/>
                <w:szCs w:val="20"/>
                <w:color w:val="auto"/>
              </w:rPr>
            </w:pPr>
            <w:r>
              <w:rPr>
                <w:rFonts w:ascii="Calibri" w:cs="Calibri" w:eastAsia="Calibri" w:hAnsi="Calibri"/>
                <w:sz w:val="20"/>
                <w:szCs w:val="20"/>
                <w:b w:val="1"/>
                <w:bCs w:val="1"/>
                <w:color w:val="auto"/>
              </w:rPr>
              <w:t>With Cause</w:t>
            </w:r>
          </w:p>
        </w:tc>
        <w:tc>
          <w:tcPr>
            <w:tcW w:w="2060" w:type="dxa"/>
            <w:vAlign w:val="bottom"/>
          </w:tcPr>
          <w:p>
            <w:pPr>
              <w:jc w:val="center"/>
              <w:ind w:right="105"/>
              <w:spacing w:after="0" w:line="218" w:lineRule="exact"/>
              <w:rPr>
                <w:sz w:val="20"/>
                <w:szCs w:val="20"/>
                <w:color w:val="auto"/>
              </w:rPr>
            </w:pPr>
            <w:r>
              <w:rPr>
                <w:rFonts w:ascii="Calibri" w:cs="Calibri" w:eastAsia="Calibri" w:hAnsi="Calibri"/>
                <w:sz w:val="20"/>
                <w:szCs w:val="20"/>
                <w:b w:val="1"/>
                <w:bCs w:val="1"/>
                <w:color w:val="auto"/>
              </w:rPr>
              <w:t>or Death</w:t>
            </w:r>
          </w:p>
        </w:tc>
        <w:tc>
          <w:tcPr>
            <w:tcW w:w="1980" w:type="dxa"/>
            <w:vAlign w:val="bottom"/>
          </w:tcPr>
          <w:p>
            <w:pPr>
              <w:jc w:val="center"/>
              <w:ind w:right="221"/>
              <w:spacing w:after="0" w:line="218" w:lineRule="exact"/>
              <w:rPr>
                <w:sz w:val="20"/>
                <w:szCs w:val="20"/>
                <w:color w:val="auto"/>
              </w:rPr>
            </w:pPr>
            <w:r>
              <w:rPr>
                <w:rFonts w:ascii="Calibri" w:cs="Calibri" w:eastAsia="Calibri" w:hAnsi="Calibri"/>
                <w:sz w:val="20"/>
                <w:szCs w:val="20"/>
                <w:b w:val="1"/>
                <w:bCs w:val="1"/>
                <w:color w:val="auto"/>
              </w:rPr>
              <w:t>Cause</w:t>
            </w:r>
          </w:p>
        </w:tc>
        <w:tc>
          <w:tcPr>
            <w:tcW w:w="1700" w:type="dxa"/>
            <w:vAlign w:val="bottom"/>
          </w:tcPr>
          <w:p>
            <w:pPr>
              <w:jc w:val="center"/>
              <w:ind w:right="86"/>
              <w:spacing w:after="0" w:line="218" w:lineRule="exact"/>
              <w:rPr>
                <w:sz w:val="20"/>
                <w:szCs w:val="20"/>
                <w:color w:val="auto"/>
              </w:rPr>
            </w:pPr>
            <w:r>
              <w:rPr>
                <w:rFonts w:ascii="Calibri" w:cs="Calibri" w:eastAsia="Calibri" w:hAnsi="Calibri"/>
                <w:sz w:val="20"/>
                <w:szCs w:val="20"/>
                <w:b w:val="1"/>
                <w:bCs w:val="1"/>
                <w:color w:val="auto"/>
              </w:rPr>
              <w:t>Control</w:t>
            </w:r>
          </w:p>
        </w:tc>
      </w:tr>
      <w:tr>
        <w:trPr>
          <w:trHeight w:val="321"/>
        </w:trPr>
        <w:tc>
          <w:tcPr>
            <w:tcW w:w="2660" w:type="dxa"/>
            <w:vAlign w:val="bottom"/>
            <w:tcBorders>
              <w:bottom w:val="single" w:sz="8" w:color="005CA9"/>
            </w:tcBorders>
          </w:tcPr>
          <w:p>
            <w:pPr>
              <w:ind w:left="20"/>
              <w:spacing w:after="0"/>
              <w:rPr>
                <w:sz w:val="20"/>
                <w:szCs w:val="20"/>
                <w:color w:val="auto"/>
              </w:rPr>
            </w:pPr>
            <w:r>
              <w:rPr>
                <w:rFonts w:ascii="Calibri" w:cs="Calibri" w:eastAsia="Calibri" w:hAnsi="Calibri"/>
                <w:sz w:val="20"/>
                <w:szCs w:val="20"/>
                <w:b w:val="1"/>
                <w:bCs w:val="1"/>
                <w:color w:val="auto"/>
              </w:rPr>
              <w:t>Name</w:t>
            </w:r>
          </w:p>
        </w:tc>
        <w:tc>
          <w:tcPr>
            <w:tcW w:w="2840" w:type="dxa"/>
            <w:vAlign w:val="bottom"/>
            <w:tcBorders>
              <w:bottom w:val="single" w:sz="8" w:color="005CA9"/>
            </w:tcBorders>
          </w:tcPr>
          <w:p>
            <w:pPr>
              <w:jc w:val="center"/>
              <w:ind w:left="641"/>
              <w:spacing w:after="0"/>
              <w:rPr>
                <w:sz w:val="20"/>
                <w:szCs w:val="20"/>
                <w:color w:val="auto"/>
              </w:rPr>
            </w:pPr>
            <w:r>
              <w:rPr>
                <w:rFonts w:ascii="Calibri" w:cs="Calibri" w:eastAsia="Calibri" w:hAnsi="Calibri"/>
                <w:sz w:val="20"/>
                <w:szCs w:val="20"/>
                <w:b w:val="1"/>
                <w:bCs w:val="1"/>
                <w:color w:val="auto"/>
                <w:w w:val="97"/>
              </w:rPr>
              <w:t>($)</w:t>
            </w:r>
          </w:p>
        </w:tc>
        <w:tc>
          <w:tcPr>
            <w:tcW w:w="2060" w:type="dxa"/>
            <w:vAlign w:val="bottom"/>
            <w:tcBorders>
              <w:bottom w:val="single" w:sz="8" w:color="005CA9"/>
            </w:tcBorders>
          </w:tcPr>
          <w:p>
            <w:pPr>
              <w:jc w:val="center"/>
              <w:ind w:right="125"/>
              <w:spacing w:after="0" w:line="300" w:lineRule="exact"/>
              <w:rPr>
                <w:sz w:val="20"/>
                <w:szCs w:val="20"/>
                <w:color w:val="auto"/>
              </w:rPr>
            </w:pPr>
            <w:r>
              <w:rPr>
                <w:rFonts w:ascii="Calibri" w:cs="Calibri" w:eastAsia="Calibri" w:hAnsi="Calibri"/>
                <w:sz w:val="32"/>
                <w:szCs w:val="32"/>
                <w:b w:val="1"/>
                <w:bCs w:val="1"/>
                <w:color w:val="auto"/>
                <w:vertAlign w:val="subscript"/>
              </w:rPr>
              <w:t>($)</w:t>
            </w:r>
            <w:r>
              <w:rPr>
                <w:rFonts w:ascii="Calibri" w:cs="Calibri" w:eastAsia="Calibri" w:hAnsi="Calibri"/>
                <w:sz w:val="12"/>
                <w:szCs w:val="12"/>
                <w:b w:val="1"/>
                <w:bCs w:val="1"/>
                <w:color w:val="auto"/>
              </w:rPr>
              <w:t xml:space="preserve"> (1) (3)</w:t>
            </w:r>
          </w:p>
        </w:tc>
        <w:tc>
          <w:tcPr>
            <w:tcW w:w="1980" w:type="dxa"/>
            <w:vAlign w:val="bottom"/>
            <w:tcBorders>
              <w:bottom w:val="single" w:sz="8" w:color="005CA9"/>
            </w:tcBorders>
          </w:tcPr>
          <w:p>
            <w:pPr>
              <w:jc w:val="center"/>
              <w:ind w:right="221"/>
              <w:spacing w:after="0" w:line="301" w:lineRule="exact"/>
              <w:rPr>
                <w:sz w:val="20"/>
                <w:szCs w:val="20"/>
                <w:color w:val="auto"/>
              </w:rPr>
            </w:pPr>
            <w:r>
              <w:rPr>
                <w:rFonts w:ascii="Calibri" w:cs="Calibri" w:eastAsia="Calibri" w:hAnsi="Calibri"/>
                <w:sz w:val="20"/>
                <w:szCs w:val="20"/>
                <w:b w:val="1"/>
                <w:bCs w:val="1"/>
                <w:color w:val="auto"/>
                <w:w w:val="89"/>
              </w:rPr>
              <w:t xml:space="preserve">($) </w:t>
            </w:r>
            <w:r>
              <w:rPr>
                <w:rFonts w:ascii="Calibri" w:cs="Calibri" w:eastAsia="Calibri" w:hAnsi="Calibri"/>
                <w:sz w:val="26"/>
                <w:szCs w:val="26"/>
                <w:b w:val="1"/>
                <w:bCs w:val="1"/>
                <w:color w:val="auto"/>
                <w:w w:val="89"/>
                <w:vertAlign w:val="superscript"/>
              </w:rPr>
              <w:t>(1)</w:t>
            </w:r>
          </w:p>
        </w:tc>
        <w:tc>
          <w:tcPr>
            <w:tcW w:w="1700" w:type="dxa"/>
            <w:vAlign w:val="bottom"/>
            <w:tcBorders>
              <w:bottom w:val="single" w:sz="8" w:color="005CA9"/>
            </w:tcBorders>
          </w:tcPr>
          <w:p>
            <w:pPr>
              <w:jc w:val="center"/>
              <w:ind w:right="86"/>
              <w:spacing w:after="0" w:line="300" w:lineRule="exact"/>
              <w:rPr>
                <w:sz w:val="20"/>
                <w:szCs w:val="20"/>
                <w:color w:val="auto"/>
              </w:rPr>
            </w:pPr>
            <w:r>
              <w:rPr>
                <w:rFonts w:ascii="Calibri" w:cs="Calibri" w:eastAsia="Calibri" w:hAnsi="Calibri"/>
                <w:sz w:val="32"/>
                <w:szCs w:val="32"/>
                <w:b w:val="1"/>
                <w:bCs w:val="1"/>
                <w:color w:val="auto"/>
                <w:vertAlign w:val="subscript"/>
              </w:rPr>
              <w:t>($)</w:t>
            </w:r>
            <w:r>
              <w:rPr>
                <w:rFonts w:ascii="Calibri" w:cs="Calibri" w:eastAsia="Calibri" w:hAnsi="Calibri"/>
                <w:sz w:val="12"/>
                <w:szCs w:val="12"/>
                <w:b w:val="1"/>
                <w:bCs w:val="1"/>
                <w:color w:val="auto"/>
              </w:rPr>
              <w:t xml:space="preserve"> (2)(3)</w:t>
            </w:r>
          </w:p>
        </w:tc>
      </w:tr>
      <w:tr>
        <w:trPr>
          <w:trHeight w:val="243"/>
        </w:trPr>
        <w:tc>
          <w:tcPr>
            <w:tcW w:w="26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Dr. Keh-Shew Lu</w:t>
            </w:r>
          </w:p>
        </w:tc>
        <w:tc>
          <w:tcPr>
            <w:tcW w:w="2840" w:type="dxa"/>
            <w:vAlign w:val="bottom"/>
            <w:shd w:val="clear" w:color="auto" w:fill="CFF0FC"/>
          </w:tcPr>
          <w:p>
            <w:pPr>
              <w:jc w:val="right"/>
              <w:ind w:right="121"/>
              <w:spacing w:after="0" w:line="234" w:lineRule="exact"/>
              <w:rPr>
                <w:sz w:val="20"/>
                <w:szCs w:val="20"/>
                <w:color w:val="auto"/>
              </w:rPr>
            </w:pPr>
            <w:r>
              <w:rPr>
                <w:rFonts w:ascii="Calibri" w:cs="Calibri" w:eastAsia="Calibri" w:hAnsi="Calibri"/>
                <w:sz w:val="20"/>
                <w:szCs w:val="20"/>
                <w:color w:val="auto"/>
              </w:rPr>
              <w:t>236,423</w:t>
            </w:r>
          </w:p>
        </w:tc>
        <w:tc>
          <w:tcPr>
            <w:tcW w:w="2060" w:type="dxa"/>
            <w:vAlign w:val="bottom"/>
            <w:shd w:val="clear" w:color="auto" w:fill="CFF0FC"/>
          </w:tcPr>
          <w:p>
            <w:pPr>
              <w:jc w:val="right"/>
              <w:ind w:right="205"/>
              <w:spacing w:after="0" w:line="234" w:lineRule="exact"/>
              <w:rPr>
                <w:sz w:val="20"/>
                <w:szCs w:val="20"/>
                <w:color w:val="auto"/>
              </w:rPr>
            </w:pPr>
            <w:r>
              <w:rPr>
                <w:rFonts w:ascii="Calibri" w:cs="Calibri" w:eastAsia="Calibri" w:hAnsi="Calibri"/>
                <w:sz w:val="20"/>
                <w:szCs w:val="20"/>
                <w:color w:val="auto"/>
              </w:rPr>
              <w:t>12,184,985</w:t>
            </w:r>
          </w:p>
        </w:tc>
        <w:tc>
          <w:tcPr>
            <w:tcW w:w="1980" w:type="dxa"/>
            <w:vAlign w:val="bottom"/>
            <w:shd w:val="clear" w:color="auto" w:fill="CFF0FC"/>
          </w:tcPr>
          <w:p>
            <w:pPr>
              <w:jc w:val="right"/>
              <w:ind w:right="241"/>
              <w:spacing w:after="0" w:line="234" w:lineRule="exact"/>
              <w:rPr>
                <w:sz w:val="20"/>
                <w:szCs w:val="20"/>
                <w:color w:val="auto"/>
              </w:rPr>
            </w:pPr>
            <w:r>
              <w:rPr>
                <w:rFonts w:ascii="Calibri" w:cs="Calibri" w:eastAsia="Calibri" w:hAnsi="Calibri"/>
                <w:sz w:val="20"/>
                <w:szCs w:val="20"/>
                <w:color w:val="auto"/>
              </w:rPr>
              <w:t>1,001,812</w:t>
            </w:r>
          </w:p>
        </w:tc>
        <w:tc>
          <w:tcPr>
            <w:tcW w:w="1700" w:type="dxa"/>
            <w:vAlign w:val="bottom"/>
            <w:shd w:val="clear" w:color="auto" w:fill="CFF0FC"/>
          </w:tcPr>
          <w:p>
            <w:pPr>
              <w:jc w:val="right"/>
              <w:ind w:right="26"/>
              <w:spacing w:after="0" w:line="234" w:lineRule="exact"/>
              <w:rPr>
                <w:sz w:val="20"/>
                <w:szCs w:val="20"/>
                <w:color w:val="auto"/>
              </w:rPr>
            </w:pPr>
            <w:r>
              <w:rPr>
                <w:rFonts w:ascii="Calibri" w:cs="Calibri" w:eastAsia="Calibri" w:hAnsi="Calibri"/>
                <w:sz w:val="20"/>
                <w:szCs w:val="20"/>
                <w:color w:val="auto"/>
              </w:rPr>
              <w:t>11,948,563</w:t>
            </w:r>
          </w:p>
        </w:tc>
      </w:tr>
      <w:tr>
        <w:trPr>
          <w:trHeight w:val="239"/>
        </w:trPr>
        <w:tc>
          <w:tcPr>
            <w:tcW w:w="266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Bret R. Whitmire</w:t>
            </w:r>
          </w:p>
        </w:tc>
        <w:tc>
          <w:tcPr>
            <w:tcW w:w="284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55,148</w:t>
            </w:r>
          </w:p>
        </w:tc>
        <w:tc>
          <w:tcPr>
            <w:tcW w:w="2060" w:type="dxa"/>
            <w:vAlign w:val="bottom"/>
          </w:tcPr>
          <w:p>
            <w:pPr>
              <w:jc w:val="right"/>
              <w:ind w:right="205"/>
              <w:spacing w:after="0" w:line="234" w:lineRule="exact"/>
              <w:rPr>
                <w:sz w:val="20"/>
                <w:szCs w:val="20"/>
                <w:color w:val="auto"/>
              </w:rPr>
            </w:pPr>
            <w:r>
              <w:rPr>
                <w:rFonts w:ascii="Calibri" w:cs="Calibri" w:eastAsia="Calibri" w:hAnsi="Calibri"/>
                <w:sz w:val="20"/>
                <w:szCs w:val="20"/>
                <w:color w:val="auto"/>
              </w:rPr>
              <w:t>2,599,035</w:t>
            </w:r>
          </w:p>
        </w:tc>
        <w:tc>
          <w:tcPr>
            <w:tcW w:w="198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55,148</w:t>
            </w:r>
          </w:p>
        </w:tc>
        <w:tc>
          <w:tcPr>
            <w:tcW w:w="1700" w:type="dxa"/>
            <w:vAlign w:val="bottom"/>
          </w:tcPr>
          <w:p>
            <w:pPr>
              <w:jc w:val="right"/>
              <w:ind w:right="26"/>
              <w:spacing w:after="0" w:line="234" w:lineRule="exact"/>
              <w:rPr>
                <w:sz w:val="20"/>
                <w:szCs w:val="20"/>
                <w:color w:val="auto"/>
              </w:rPr>
            </w:pPr>
            <w:r>
              <w:rPr>
                <w:rFonts w:ascii="Calibri" w:cs="Calibri" w:eastAsia="Calibri" w:hAnsi="Calibri"/>
                <w:sz w:val="20"/>
                <w:szCs w:val="20"/>
                <w:color w:val="auto"/>
              </w:rPr>
              <w:t>2,543,888</w:t>
            </w:r>
          </w:p>
        </w:tc>
      </w:tr>
      <w:tr>
        <w:trPr>
          <w:trHeight w:val="247"/>
        </w:trPr>
        <w:tc>
          <w:tcPr>
            <w:tcW w:w="2660" w:type="dxa"/>
            <w:vAlign w:val="bottom"/>
            <w:shd w:val="clear" w:color="auto" w:fill="CFF0FC"/>
          </w:tcPr>
          <w:p>
            <w:pPr>
              <w:ind w:left="20"/>
              <w:spacing w:after="0" w:line="239" w:lineRule="exact"/>
              <w:rPr>
                <w:sz w:val="20"/>
                <w:szCs w:val="20"/>
                <w:color w:val="auto"/>
              </w:rPr>
            </w:pPr>
            <w:r>
              <w:rPr>
                <w:rFonts w:ascii="Calibri" w:cs="Calibri" w:eastAsia="Calibri" w:hAnsi="Calibri"/>
                <w:sz w:val="20"/>
                <w:szCs w:val="20"/>
                <w:b w:val="1"/>
                <w:bCs w:val="1"/>
                <w:color w:val="auto"/>
              </w:rPr>
              <w:t>Gary Yu</w:t>
            </w:r>
          </w:p>
        </w:tc>
        <w:tc>
          <w:tcPr>
            <w:tcW w:w="2840" w:type="dxa"/>
            <w:vAlign w:val="bottom"/>
            <w:shd w:val="clear" w:color="auto" w:fill="CFF0FC"/>
          </w:tcPr>
          <w:p>
            <w:pPr>
              <w:jc w:val="right"/>
              <w:ind w:right="121"/>
              <w:spacing w:after="0" w:line="239" w:lineRule="exact"/>
              <w:rPr>
                <w:sz w:val="20"/>
                <w:szCs w:val="20"/>
                <w:color w:val="auto"/>
              </w:rPr>
            </w:pPr>
            <w:r>
              <w:rPr>
                <w:rFonts w:ascii="Calibri" w:cs="Calibri" w:eastAsia="Calibri" w:hAnsi="Calibri"/>
                <w:sz w:val="20"/>
                <w:szCs w:val="20"/>
                <w:color w:val="auto"/>
              </w:rPr>
              <w:t>187,209</w:t>
            </w:r>
          </w:p>
        </w:tc>
        <w:tc>
          <w:tcPr>
            <w:tcW w:w="2060" w:type="dxa"/>
            <w:vAlign w:val="bottom"/>
            <w:shd w:val="clear" w:color="auto" w:fill="CFF0FC"/>
          </w:tcPr>
          <w:p>
            <w:pPr>
              <w:jc w:val="right"/>
              <w:ind w:right="205"/>
              <w:spacing w:after="0" w:line="239" w:lineRule="exact"/>
              <w:rPr>
                <w:sz w:val="20"/>
                <w:szCs w:val="20"/>
                <w:color w:val="auto"/>
              </w:rPr>
            </w:pPr>
            <w:r>
              <w:rPr>
                <w:rFonts w:ascii="Calibri" w:cs="Calibri" w:eastAsia="Calibri" w:hAnsi="Calibri"/>
                <w:sz w:val="20"/>
                <w:szCs w:val="20"/>
                <w:color w:val="auto"/>
              </w:rPr>
              <w:t>5,406,033</w:t>
            </w:r>
          </w:p>
        </w:tc>
        <w:tc>
          <w:tcPr>
            <w:tcW w:w="1980" w:type="dxa"/>
            <w:vAlign w:val="bottom"/>
            <w:shd w:val="clear" w:color="auto" w:fill="CFF0FC"/>
          </w:tcPr>
          <w:p>
            <w:pPr>
              <w:jc w:val="right"/>
              <w:ind w:right="241"/>
              <w:spacing w:after="0" w:line="239" w:lineRule="exact"/>
              <w:rPr>
                <w:sz w:val="20"/>
                <w:szCs w:val="20"/>
                <w:color w:val="auto"/>
              </w:rPr>
            </w:pPr>
            <w:r>
              <w:rPr>
                <w:rFonts w:ascii="Calibri" w:cs="Calibri" w:eastAsia="Calibri" w:hAnsi="Calibri"/>
                <w:sz w:val="20"/>
                <w:szCs w:val="20"/>
                <w:color w:val="auto"/>
              </w:rPr>
              <w:t>187,209</w:t>
            </w:r>
          </w:p>
        </w:tc>
        <w:tc>
          <w:tcPr>
            <w:tcW w:w="1700" w:type="dxa"/>
            <w:vAlign w:val="bottom"/>
            <w:shd w:val="clear" w:color="auto" w:fill="CFF0FC"/>
          </w:tcPr>
          <w:p>
            <w:pPr>
              <w:jc w:val="right"/>
              <w:ind w:right="26"/>
              <w:spacing w:after="0" w:line="239" w:lineRule="exact"/>
              <w:rPr>
                <w:sz w:val="20"/>
                <w:szCs w:val="20"/>
                <w:color w:val="auto"/>
              </w:rPr>
            </w:pPr>
            <w:r>
              <w:rPr>
                <w:rFonts w:ascii="Calibri" w:cs="Calibri" w:eastAsia="Calibri" w:hAnsi="Calibri"/>
                <w:sz w:val="20"/>
                <w:szCs w:val="20"/>
                <w:color w:val="auto"/>
              </w:rPr>
              <w:t>5,218,824</w:t>
            </w:r>
          </w:p>
        </w:tc>
      </w:tr>
      <w:tr>
        <w:trPr>
          <w:trHeight w:val="239"/>
        </w:trPr>
        <w:tc>
          <w:tcPr>
            <w:tcW w:w="266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Francis Tang</w:t>
            </w:r>
          </w:p>
        </w:tc>
        <w:tc>
          <w:tcPr>
            <w:tcW w:w="284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98,942</w:t>
            </w:r>
          </w:p>
        </w:tc>
        <w:tc>
          <w:tcPr>
            <w:tcW w:w="2060" w:type="dxa"/>
            <w:vAlign w:val="bottom"/>
          </w:tcPr>
          <w:p>
            <w:pPr>
              <w:jc w:val="right"/>
              <w:ind w:right="205"/>
              <w:spacing w:after="0" w:line="234" w:lineRule="exact"/>
              <w:rPr>
                <w:sz w:val="20"/>
                <w:szCs w:val="20"/>
                <w:color w:val="auto"/>
              </w:rPr>
            </w:pPr>
            <w:r>
              <w:rPr>
                <w:rFonts w:ascii="Calibri" w:cs="Calibri" w:eastAsia="Calibri" w:hAnsi="Calibri"/>
                <w:sz w:val="20"/>
                <w:szCs w:val="20"/>
                <w:color w:val="auto"/>
              </w:rPr>
              <w:t>2,778,504</w:t>
            </w:r>
          </w:p>
        </w:tc>
        <w:tc>
          <w:tcPr>
            <w:tcW w:w="198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98,942</w:t>
            </w:r>
          </w:p>
        </w:tc>
        <w:tc>
          <w:tcPr>
            <w:tcW w:w="1700" w:type="dxa"/>
            <w:vAlign w:val="bottom"/>
          </w:tcPr>
          <w:p>
            <w:pPr>
              <w:jc w:val="right"/>
              <w:ind w:right="26"/>
              <w:spacing w:after="0" w:line="234" w:lineRule="exact"/>
              <w:rPr>
                <w:sz w:val="20"/>
                <w:szCs w:val="20"/>
                <w:color w:val="auto"/>
              </w:rPr>
            </w:pPr>
            <w:r>
              <w:rPr>
                <w:rFonts w:ascii="Calibri" w:cs="Calibri" w:eastAsia="Calibri" w:hAnsi="Calibri"/>
                <w:sz w:val="20"/>
                <w:szCs w:val="20"/>
                <w:color w:val="auto"/>
              </w:rPr>
              <w:t>2,679,562</w:t>
            </w:r>
          </w:p>
        </w:tc>
      </w:tr>
      <w:tr>
        <w:trPr>
          <w:trHeight w:val="243"/>
        </w:trPr>
        <w:tc>
          <w:tcPr>
            <w:tcW w:w="2660" w:type="dxa"/>
            <w:vAlign w:val="bottom"/>
            <w:tcBorders>
              <w:bottom w:val="single" w:sz="8" w:color="005CA9"/>
            </w:tcBorders>
            <w:shd w:val="clear" w:color="auto" w:fill="CFF0FC"/>
          </w:tcPr>
          <w:p>
            <w:pPr>
              <w:ind w:left="20"/>
              <w:spacing w:after="0" w:line="239" w:lineRule="exact"/>
              <w:rPr>
                <w:sz w:val="20"/>
                <w:szCs w:val="20"/>
                <w:color w:val="auto"/>
              </w:rPr>
            </w:pPr>
            <w:r>
              <w:rPr>
                <w:rFonts w:ascii="Calibri" w:cs="Calibri" w:eastAsia="Calibri" w:hAnsi="Calibri"/>
                <w:sz w:val="20"/>
                <w:szCs w:val="20"/>
                <w:b w:val="1"/>
                <w:bCs w:val="1"/>
                <w:color w:val="auto"/>
              </w:rPr>
              <w:t>Emily Yang</w:t>
            </w:r>
          </w:p>
        </w:tc>
        <w:tc>
          <w:tcPr>
            <w:tcW w:w="2840" w:type="dxa"/>
            <w:vAlign w:val="bottom"/>
            <w:tcBorders>
              <w:bottom w:val="single" w:sz="8" w:color="005CA9"/>
            </w:tcBorders>
            <w:shd w:val="clear" w:color="auto" w:fill="CFF0FC"/>
          </w:tcPr>
          <w:p>
            <w:pPr>
              <w:jc w:val="right"/>
              <w:ind w:right="121"/>
              <w:spacing w:after="0" w:line="239" w:lineRule="exact"/>
              <w:rPr>
                <w:sz w:val="20"/>
                <w:szCs w:val="20"/>
                <w:color w:val="auto"/>
              </w:rPr>
            </w:pPr>
            <w:r>
              <w:rPr>
                <w:rFonts w:ascii="Calibri" w:cs="Calibri" w:eastAsia="Calibri" w:hAnsi="Calibri"/>
                <w:sz w:val="20"/>
                <w:szCs w:val="20"/>
                <w:color w:val="auto"/>
              </w:rPr>
              <w:t>60,225</w:t>
            </w:r>
          </w:p>
        </w:tc>
        <w:tc>
          <w:tcPr>
            <w:tcW w:w="2060" w:type="dxa"/>
            <w:vAlign w:val="bottom"/>
            <w:tcBorders>
              <w:bottom w:val="single" w:sz="8" w:color="005CA9"/>
            </w:tcBorders>
            <w:shd w:val="clear" w:color="auto" w:fill="CFF0FC"/>
          </w:tcPr>
          <w:p>
            <w:pPr>
              <w:jc w:val="right"/>
              <w:ind w:right="205"/>
              <w:spacing w:after="0" w:line="239" w:lineRule="exact"/>
              <w:rPr>
                <w:sz w:val="20"/>
                <w:szCs w:val="20"/>
                <w:color w:val="auto"/>
              </w:rPr>
            </w:pPr>
            <w:r>
              <w:rPr>
                <w:rFonts w:ascii="Calibri" w:cs="Calibri" w:eastAsia="Calibri" w:hAnsi="Calibri"/>
                <w:sz w:val="20"/>
                <w:szCs w:val="20"/>
                <w:color w:val="auto"/>
              </w:rPr>
              <w:t>2,604,112</w:t>
            </w:r>
          </w:p>
        </w:tc>
        <w:tc>
          <w:tcPr>
            <w:tcW w:w="1980" w:type="dxa"/>
            <w:vAlign w:val="bottom"/>
            <w:tcBorders>
              <w:bottom w:val="single" w:sz="8" w:color="005CA9"/>
            </w:tcBorders>
            <w:shd w:val="clear" w:color="auto" w:fill="CFF0FC"/>
          </w:tcPr>
          <w:p>
            <w:pPr>
              <w:jc w:val="right"/>
              <w:ind w:right="241"/>
              <w:spacing w:after="0" w:line="239" w:lineRule="exact"/>
              <w:rPr>
                <w:sz w:val="20"/>
                <w:szCs w:val="20"/>
                <w:color w:val="auto"/>
              </w:rPr>
            </w:pPr>
            <w:r>
              <w:rPr>
                <w:rFonts w:ascii="Calibri" w:cs="Calibri" w:eastAsia="Calibri" w:hAnsi="Calibri"/>
                <w:sz w:val="20"/>
                <w:szCs w:val="20"/>
                <w:color w:val="auto"/>
              </w:rPr>
              <w:t>2,604,112</w:t>
            </w:r>
          </w:p>
        </w:tc>
        <w:tc>
          <w:tcPr>
            <w:tcW w:w="1700" w:type="dxa"/>
            <w:vAlign w:val="bottom"/>
            <w:tcBorders>
              <w:bottom w:val="single" w:sz="8" w:color="005CA9"/>
            </w:tcBorders>
            <w:shd w:val="clear" w:color="auto" w:fill="CFF0FC"/>
          </w:tcPr>
          <w:p>
            <w:pPr>
              <w:jc w:val="right"/>
              <w:ind w:right="26"/>
              <w:spacing w:after="0" w:line="239" w:lineRule="exact"/>
              <w:rPr>
                <w:sz w:val="20"/>
                <w:szCs w:val="20"/>
                <w:color w:val="auto"/>
              </w:rPr>
            </w:pPr>
            <w:r>
              <w:rPr>
                <w:rFonts w:ascii="Calibri" w:cs="Calibri" w:eastAsia="Calibri" w:hAnsi="Calibri"/>
                <w:sz w:val="20"/>
                <w:szCs w:val="20"/>
                <w:color w:val="auto"/>
              </w:rPr>
              <w:t>60,225</w:t>
            </w:r>
          </w:p>
        </w:tc>
      </w:tr>
    </w:tbl>
    <w:p>
      <w:pPr>
        <w:ind w:left="160" w:right="20" w:hanging="10"/>
        <w:spacing w:after="0" w:line="232" w:lineRule="auto"/>
        <w:tabs>
          <w:tab w:leader="none" w:pos="354" w:val="left"/>
        </w:tabs>
        <w:numPr>
          <w:ilvl w:val="0"/>
          <w:numId w:val="44"/>
        </w:numPr>
        <w:rPr>
          <w:rFonts w:ascii="Calibri" w:cs="Calibri" w:eastAsia="Calibri" w:hAnsi="Calibri"/>
          <w:sz w:val="14"/>
          <w:szCs w:val="14"/>
          <w:color w:val="auto"/>
        </w:rPr>
      </w:pPr>
      <w:r>
        <w:rPr>
          <w:rFonts w:ascii="Calibri" w:cs="Calibri" w:eastAsia="Calibri" w:hAnsi="Calibri"/>
          <w:sz w:val="14"/>
          <w:szCs w:val="14"/>
          <w:color w:val="auto"/>
        </w:rPr>
        <w:t>Such amounts do not include a $700,000 beneft for each NEO paid by the Company's life insurance policy upon death and do not include short- and long-term disability payments for the frst year and long-term disability payments for the second year paid by disability insurance policies.</w:t>
      </w:r>
    </w:p>
    <w:p>
      <w:pPr>
        <w:spacing w:after="0" w:line="6" w:lineRule="exact"/>
        <w:rPr>
          <w:rFonts w:ascii="Calibri" w:cs="Calibri" w:eastAsia="Calibri" w:hAnsi="Calibri"/>
          <w:sz w:val="14"/>
          <w:szCs w:val="14"/>
          <w:color w:val="auto"/>
        </w:rPr>
      </w:pPr>
    </w:p>
    <w:p>
      <w:pPr>
        <w:jc w:val="both"/>
        <w:ind w:left="160" w:hanging="10"/>
        <w:spacing w:after="0" w:line="245" w:lineRule="auto"/>
        <w:tabs>
          <w:tab w:leader="none" w:pos="361" w:val="left"/>
        </w:tabs>
        <w:numPr>
          <w:ilvl w:val="0"/>
          <w:numId w:val="44"/>
        </w:numPr>
        <w:rPr>
          <w:rFonts w:ascii="Calibri" w:cs="Calibri" w:eastAsia="Calibri" w:hAnsi="Calibri"/>
          <w:sz w:val="14"/>
          <w:szCs w:val="14"/>
          <w:color w:val="auto"/>
        </w:rPr>
      </w:pPr>
      <w:r>
        <w:rPr>
          <w:rFonts w:ascii="Calibri" w:cs="Calibri" w:eastAsia="Calibri" w:hAnsi="Calibri"/>
          <w:sz w:val="14"/>
          <w:szCs w:val="14"/>
          <w:color w:val="auto"/>
        </w:rPr>
        <w:t>Refects the estmate of the payments and benefts that each NEO would receive assuming the NEO's employment was terminated without "cause" (and for Dr. Lu if he terminated his employment with “good reason”) on December 31, 2024. These disclosed amounts are estmates only and do not necessarily refect the actual amounts that would be paid to the NEOs, which would only be known at the tme they become eligible for such payments.</w:t>
      </w:r>
    </w:p>
    <w:p>
      <w:pPr>
        <w:spacing w:after="0" w:line="2" w:lineRule="exact"/>
        <w:rPr>
          <w:rFonts w:ascii="Calibri" w:cs="Calibri" w:eastAsia="Calibri" w:hAnsi="Calibri"/>
          <w:sz w:val="14"/>
          <w:szCs w:val="14"/>
          <w:color w:val="auto"/>
        </w:rPr>
      </w:pPr>
    </w:p>
    <w:p>
      <w:pPr>
        <w:ind w:left="360" w:hanging="202"/>
        <w:spacing w:after="0"/>
        <w:tabs>
          <w:tab w:leader="none" w:pos="360" w:val="left"/>
        </w:tabs>
        <w:numPr>
          <w:ilvl w:val="0"/>
          <w:numId w:val="44"/>
        </w:numPr>
        <w:rPr>
          <w:rFonts w:ascii="Calibri" w:cs="Calibri" w:eastAsia="Calibri" w:hAnsi="Calibri"/>
          <w:sz w:val="14"/>
          <w:szCs w:val="14"/>
          <w:color w:val="auto"/>
        </w:rPr>
      </w:pPr>
      <w:r>
        <w:rPr>
          <w:rFonts w:ascii="Calibri" w:cs="Calibri" w:eastAsia="Calibri" w:hAnsi="Calibri"/>
          <w:sz w:val="14"/>
          <w:szCs w:val="14"/>
          <w:color w:val="auto"/>
        </w:rPr>
        <w:t>Represents the value of the contnued vestng of shares underlying RSUs and PSUs upon a death or disability on December 31, 2024.</w:t>
      </w:r>
    </w:p>
    <w:p>
      <w:pPr>
        <w:spacing w:after="0" w:line="94" w:lineRule="exact"/>
        <w:rPr>
          <w:sz w:val="20"/>
          <w:szCs w:val="20"/>
          <w:color w:val="auto"/>
        </w:rPr>
      </w:pPr>
    </w:p>
    <w:p>
      <w:pPr>
        <w:spacing w:after="0"/>
        <w:rPr>
          <w:sz w:val="20"/>
          <w:szCs w:val="20"/>
          <w:color w:val="auto"/>
        </w:rPr>
      </w:pPr>
      <w:r>
        <w:rPr>
          <w:rFonts w:ascii="Calibri" w:cs="Calibri" w:eastAsia="Calibri" w:hAnsi="Calibri"/>
          <w:sz w:val="20"/>
          <w:szCs w:val="20"/>
          <w:color w:val="auto"/>
        </w:rPr>
        <w:t>None of our NEOs have any outstanding stock optons.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table refects the estmate of the payments and benefts that each NEO would receive assuming the NEO's employment was terminated without "cause" (and for Dr. Lu if he terminated his employment for good reason) on December 31, 2024. These disclosed amounts are estmates only and do not necessarily refect the actual amounts that would be paid to the NEOs, which would only be known at the tme they become eligible for such payments.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80" w:type="dxa"/>
            <w:vAlign w:val="bottom"/>
            <w:tcBorders>
              <w:top w:val="single" w:sz="8" w:color="005CA9"/>
            </w:tcBorders>
          </w:tcPr>
          <w:p>
            <w:pPr>
              <w:spacing w:after="0"/>
              <w:rPr>
                <w:sz w:val="17"/>
                <w:szCs w:val="17"/>
                <w:color w:val="auto"/>
              </w:rPr>
            </w:pPr>
          </w:p>
        </w:tc>
        <w:tc>
          <w:tcPr>
            <w:tcW w:w="1580" w:type="dxa"/>
            <w:vAlign w:val="bottom"/>
            <w:tcBorders>
              <w:top w:val="single" w:sz="8" w:color="005CA9"/>
            </w:tcBorders>
          </w:tcPr>
          <w:p>
            <w:pPr>
              <w:spacing w:after="0"/>
              <w:rPr>
                <w:sz w:val="17"/>
                <w:szCs w:val="17"/>
                <w:color w:val="auto"/>
              </w:rPr>
            </w:pPr>
          </w:p>
        </w:tc>
        <w:tc>
          <w:tcPr>
            <w:tcW w:w="1300" w:type="dxa"/>
            <w:vAlign w:val="bottom"/>
            <w:tcBorders>
              <w:top w:val="single" w:sz="8" w:color="005CA9"/>
            </w:tcBorders>
          </w:tcPr>
          <w:p>
            <w:pPr>
              <w:spacing w:after="0"/>
              <w:rPr>
                <w:sz w:val="17"/>
                <w:szCs w:val="17"/>
                <w:color w:val="auto"/>
              </w:rPr>
            </w:pPr>
          </w:p>
        </w:tc>
        <w:tc>
          <w:tcPr>
            <w:tcW w:w="1400" w:type="dxa"/>
            <w:vAlign w:val="bottom"/>
            <w:tcBorders>
              <w:top w:val="single" w:sz="8" w:color="005CA9"/>
            </w:tcBorders>
          </w:tcPr>
          <w:p>
            <w:pPr>
              <w:spacing w:after="0"/>
              <w:rPr>
                <w:sz w:val="17"/>
                <w:szCs w:val="17"/>
                <w:color w:val="auto"/>
              </w:rPr>
            </w:pPr>
          </w:p>
        </w:tc>
        <w:tc>
          <w:tcPr>
            <w:tcW w:w="1160" w:type="dxa"/>
            <w:vAlign w:val="bottom"/>
            <w:tcBorders>
              <w:top w:val="single" w:sz="8" w:color="005CA9"/>
            </w:tcBorders>
          </w:tcPr>
          <w:p>
            <w:pPr>
              <w:spacing w:after="0"/>
              <w:rPr>
                <w:sz w:val="17"/>
                <w:szCs w:val="17"/>
                <w:color w:val="auto"/>
              </w:rPr>
            </w:pPr>
          </w:p>
        </w:tc>
        <w:tc>
          <w:tcPr>
            <w:tcW w:w="1360" w:type="dxa"/>
            <w:vAlign w:val="bottom"/>
            <w:tcBorders>
              <w:top w:val="single" w:sz="8" w:color="005CA9"/>
            </w:tcBorders>
          </w:tcPr>
          <w:p>
            <w:pPr>
              <w:jc w:val="center"/>
              <w:spacing w:after="0"/>
              <w:rPr>
                <w:sz w:val="20"/>
                <w:szCs w:val="20"/>
                <w:color w:val="auto"/>
              </w:rPr>
            </w:pPr>
            <w:r>
              <w:rPr>
                <w:rFonts w:ascii="Calibri" w:cs="Calibri" w:eastAsia="Calibri" w:hAnsi="Calibri"/>
                <w:sz w:val="16"/>
                <w:szCs w:val="16"/>
                <w:b w:val="1"/>
                <w:bCs w:val="1"/>
                <w:color w:val="auto"/>
              </w:rPr>
              <w:t>Life Insurance,</w:t>
            </w:r>
          </w:p>
        </w:tc>
        <w:tc>
          <w:tcPr>
            <w:tcW w:w="1540" w:type="dxa"/>
            <w:vAlign w:val="bottom"/>
            <w:tcBorders>
              <w:top w:val="single" w:sz="8" w:color="005CA9"/>
            </w:tcBorders>
          </w:tcPr>
          <w:p>
            <w:pPr>
              <w:jc w:val="center"/>
              <w:ind w:right="79"/>
              <w:spacing w:after="0"/>
              <w:rPr>
                <w:sz w:val="20"/>
                <w:szCs w:val="20"/>
                <w:color w:val="auto"/>
              </w:rPr>
            </w:pPr>
            <w:r>
              <w:rPr>
                <w:rFonts w:ascii="Calibri" w:cs="Calibri" w:eastAsia="Calibri" w:hAnsi="Calibri"/>
                <w:sz w:val="16"/>
                <w:szCs w:val="16"/>
                <w:b w:val="1"/>
                <w:bCs w:val="1"/>
                <w:color w:val="auto"/>
              </w:rPr>
              <w:t>Contnued</w:t>
            </w:r>
          </w:p>
        </w:tc>
        <w:tc>
          <w:tcPr>
            <w:tcW w:w="1220" w:type="dxa"/>
            <w:vAlign w:val="bottom"/>
            <w:tcBorders>
              <w:top w:val="single" w:sz="8" w:color="005CA9"/>
            </w:tcBorders>
          </w:tcPr>
          <w:p>
            <w:pPr>
              <w:spacing w:after="0"/>
              <w:rPr>
                <w:sz w:val="17"/>
                <w:szCs w:val="17"/>
                <w:color w:val="auto"/>
              </w:rPr>
            </w:pPr>
          </w:p>
        </w:tc>
      </w:tr>
      <w:tr>
        <w:trPr>
          <w:trHeight w:val="194"/>
        </w:trPr>
        <w:tc>
          <w:tcPr>
            <w:tcW w:w="1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Disability</w:t>
            </w:r>
          </w:p>
        </w:tc>
        <w:tc>
          <w:tcPr>
            <w:tcW w:w="1540" w:type="dxa"/>
            <w:vAlign w:val="bottom"/>
          </w:tcPr>
          <w:p>
            <w:pPr>
              <w:jc w:val="center"/>
              <w:ind w:right="79"/>
              <w:spacing w:after="0" w:line="193" w:lineRule="exact"/>
              <w:rPr>
                <w:sz w:val="20"/>
                <w:szCs w:val="20"/>
                <w:color w:val="auto"/>
              </w:rPr>
            </w:pPr>
            <w:r>
              <w:rPr>
                <w:rFonts w:ascii="Calibri" w:cs="Calibri" w:eastAsia="Calibri" w:hAnsi="Calibri"/>
                <w:sz w:val="16"/>
                <w:szCs w:val="16"/>
                <w:b w:val="1"/>
                <w:bCs w:val="1"/>
                <w:color w:val="auto"/>
              </w:rPr>
              <w:t>Vestng</w:t>
            </w:r>
          </w:p>
        </w:tc>
        <w:tc>
          <w:tcPr>
            <w:tcW w:w="1220" w:type="dxa"/>
            <w:vAlign w:val="bottom"/>
          </w:tcPr>
          <w:p>
            <w:pPr>
              <w:spacing w:after="0"/>
              <w:rPr>
                <w:sz w:val="16"/>
                <w:szCs w:val="16"/>
                <w:color w:val="auto"/>
              </w:rPr>
            </w:pPr>
          </w:p>
        </w:tc>
      </w:tr>
      <w:tr>
        <w:trPr>
          <w:trHeight w:val="203"/>
        </w:trPr>
        <w:tc>
          <w:tcPr>
            <w:tcW w:w="1680" w:type="dxa"/>
            <w:vAlign w:val="bottom"/>
          </w:tcPr>
          <w:p>
            <w:pPr>
              <w:spacing w:after="0"/>
              <w:rPr>
                <w:sz w:val="17"/>
                <w:szCs w:val="17"/>
                <w:color w:val="auto"/>
              </w:rPr>
            </w:pPr>
          </w:p>
        </w:tc>
        <w:tc>
          <w:tcPr>
            <w:tcW w:w="1580" w:type="dxa"/>
            <w:vAlign w:val="bottom"/>
          </w:tcPr>
          <w:p>
            <w:pPr>
              <w:jc w:val="center"/>
              <w:ind w:right="179"/>
              <w:spacing w:after="0"/>
              <w:rPr>
                <w:sz w:val="20"/>
                <w:szCs w:val="20"/>
                <w:color w:val="auto"/>
              </w:rPr>
            </w:pPr>
            <w:r>
              <w:rPr>
                <w:rFonts w:ascii="Calibri" w:cs="Calibri" w:eastAsia="Calibri" w:hAnsi="Calibri"/>
                <w:sz w:val="16"/>
                <w:szCs w:val="16"/>
                <w:b w:val="1"/>
                <w:bCs w:val="1"/>
                <w:color w:val="auto"/>
              </w:rPr>
              <w:t>Base</w:t>
            </w:r>
          </w:p>
        </w:tc>
        <w:tc>
          <w:tcPr>
            <w:tcW w:w="1300" w:type="dxa"/>
            <w:vAlign w:val="bottom"/>
          </w:tcPr>
          <w:p>
            <w:pPr>
              <w:spacing w:after="0"/>
              <w:rPr>
                <w:sz w:val="17"/>
                <w:szCs w:val="17"/>
                <w:color w:val="auto"/>
              </w:rPr>
            </w:pPr>
          </w:p>
        </w:tc>
        <w:tc>
          <w:tcPr>
            <w:tcW w:w="1400" w:type="dxa"/>
            <w:vAlign w:val="bottom"/>
          </w:tcPr>
          <w:p>
            <w:pPr>
              <w:jc w:val="center"/>
              <w:ind w:right="139"/>
              <w:spacing w:after="0"/>
              <w:rPr>
                <w:sz w:val="20"/>
                <w:szCs w:val="20"/>
                <w:color w:val="auto"/>
              </w:rPr>
            </w:pPr>
            <w:r>
              <w:rPr>
                <w:rFonts w:ascii="Calibri" w:cs="Calibri" w:eastAsia="Calibri" w:hAnsi="Calibri"/>
                <w:sz w:val="16"/>
                <w:szCs w:val="16"/>
                <w:b w:val="1"/>
                <w:bCs w:val="1"/>
                <w:color w:val="auto"/>
              </w:rPr>
              <w:t>Paid</w:t>
            </w:r>
          </w:p>
        </w:tc>
        <w:tc>
          <w:tcPr>
            <w:tcW w:w="1160" w:type="dxa"/>
            <w:vAlign w:val="bottom"/>
          </w:tcPr>
          <w:p>
            <w:pPr>
              <w:jc w:val="center"/>
              <w:ind w:right="99"/>
              <w:spacing w:after="0"/>
              <w:rPr>
                <w:sz w:val="20"/>
                <w:szCs w:val="20"/>
                <w:color w:val="auto"/>
              </w:rPr>
            </w:pPr>
            <w:r>
              <w:rPr>
                <w:rFonts w:ascii="Calibri" w:cs="Calibri" w:eastAsia="Calibri" w:hAnsi="Calibri"/>
                <w:sz w:val="16"/>
                <w:szCs w:val="16"/>
                <w:b w:val="1"/>
                <w:bCs w:val="1"/>
                <w:color w:val="auto"/>
              </w:rPr>
              <w:t>Medical</w:t>
            </w:r>
          </w:p>
        </w:tc>
        <w:tc>
          <w:tcPr>
            <w:tcW w:w="1360" w:type="dxa"/>
            <w:vAlign w:val="bottom"/>
          </w:tcPr>
          <w:p>
            <w:pPr>
              <w:jc w:val="center"/>
              <w:spacing w:after="0"/>
              <w:rPr>
                <w:sz w:val="20"/>
                <w:szCs w:val="20"/>
                <w:color w:val="auto"/>
              </w:rPr>
            </w:pPr>
            <w:r>
              <w:rPr>
                <w:rFonts w:ascii="Calibri" w:cs="Calibri" w:eastAsia="Calibri" w:hAnsi="Calibri"/>
                <w:sz w:val="16"/>
                <w:szCs w:val="16"/>
                <w:b w:val="1"/>
                <w:bCs w:val="1"/>
                <w:color w:val="auto"/>
              </w:rPr>
              <w:t>and AD&amp;D</w:t>
            </w:r>
          </w:p>
        </w:tc>
        <w:tc>
          <w:tcPr>
            <w:tcW w:w="1540" w:type="dxa"/>
            <w:vAlign w:val="bottom"/>
          </w:tcPr>
          <w:p>
            <w:pPr>
              <w:jc w:val="center"/>
              <w:ind w:right="59"/>
              <w:spacing w:after="0"/>
              <w:rPr>
                <w:sz w:val="20"/>
                <w:szCs w:val="20"/>
                <w:color w:val="auto"/>
              </w:rPr>
            </w:pPr>
            <w:r>
              <w:rPr>
                <w:rFonts w:ascii="Calibri" w:cs="Calibri" w:eastAsia="Calibri" w:hAnsi="Calibri"/>
                <w:sz w:val="16"/>
                <w:szCs w:val="16"/>
                <w:b w:val="1"/>
                <w:bCs w:val="1"/>
                <w:color w:val="auto"/>
              </w:rPr>
              <w:t>of Share-based</w:t>
            </w:r>
          </w:p>
        </w:tc>
        <w:tc>
          <w:tcPr>
            <w:tcW w:w="122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580" w:type="dxa"/>
            <w:vAlign w:val="bottom"/>
          </w:tcPr>
          <w:p>
            <w:pPr>
              <w:jc w:val="center"/>
              <w:ind w:right="139"/>
              <w:spacing w:after="0"/>
              <w:rPr>
                <w:sz w:val="20"/>
                <w:szCs w:val="20"/>
                <w:color w:val="auto"/>
              </w:rPr>
            </w:pPr>
            <w:r>
              <w:rPr>
                <w:rFonts w:ascii="Calibri" w:cs="Calibri" w:eastAsia="Calibri" w:hAnsi="Calibri"/>
                <w:sz w:val="16"/>
                <w:szCs w:val="16"/>
                <w:b w:val="1"/>
                <w:bCs w:val="1"/>
                <w:color w:val="auto"/>
                <w:w w:val="98"/>
              </w:rPr>
              <w:t>Salary</w:t>
            </w:r>
          </w:p>
        </w:tc>
        <w:tc>
          <w:tcPr>
            <w:tcW w:w="1300" w:type="dxa"/>
            <w:vAlign w:val="bottom"/>
          </w:tcPr>
          <w:p>
            <w:pPr>
              <w:jc w:val="center"/>
              <w:ind w:right="219"/>
              <w:spacing w:after="0"/>
              <w:rPr>
                <w:sz w:val="20"/>
                <w:szCs w:val="20"/>
                <w:color w:val="auto"/>
              </w:rPr>
            </w:pPr>
            <w:r>
              <w:rPr>
                <w:rFonts w:ascii="Calibri" w:cs="Calibri" w:eastAsia="Calibri" w:hAnsi="Calibri"/>
                <w:sz w:val="16"/>
                <w:szCs w:val="16"/>
                <w:b w:val="1"/>
                <w:bCs w:val="1"/>
                <w:color w:val="auto"/>
                <w:w w:val="97"/>
              </w:rPr>
              <w:t>Bonus</w:t>
            </w:r>
          </w:p>
        </w:tc>
        <w:tc>
          <w:tcPr>
            <w:tcW w:w="1400" w:type="dxa"/>
            <w:vAlign w:val="bottom"/>
          </w:tcPr>
          <w:p>
            <w:pPr>
              <w:jc w:val="center"/>
              <w:ind w:right="159"/>
              <w:spacing w:after="0"/>
              <w:rPr>
                <w:sz w:val="20"/>
                <w:szCs w:val="20"/>
                <w:color w:val="auto"/>
              </w:rPr>
            </w:pPr>
            <w:r>
              <w:rPr>
                <w:rFonts w:ascii="Calibri" w:cs="Calibri" w:eastAsia="Calibri" w:hAnsi="Calibri"/>
                <w:sz w:val="16"/>
                <w:szCs w:val="16"/>
                <w:b w:val="1"/>
                <w:bCs w:val="1"/>
                <w:color w:val="auto"/>
              </w:rPr>
              <w:t>Vacaton</w:t>
            </w:r>
          </w:p>
        </w:tc>
        <w:tc>
          <w:tcPr>
            <w:tcW w:w="1160" w:type="dxa"/>
            <w:vAlign w:val="bottom"/>
          </w:tcPr>
          <w:p>
            <w:pPr>
              <w:jc w:val="center"/>
              <w:ind w:right="99"/>
              <w:spacing w:after="0"/>
              <w:rPr>
                <w:sz w:val="20"/>
                <w:szCs w:val="20"/>
                <w:color w:val="auto"/>
              </w:rPr>
            </w:pPr>
            <w:r>
              <w:rPr>
                <w:rFonts w:ascii="Calibri" w:cs="Calibri" w:eastAsia="Calibri" w:hAnsi="Calibri"/>
                <w:sz w:val="16"/>
                <w:szCs w:val="16"/>
                <w:b w:val="1"/>
                <w:bCs w:val="1"/>
                <w:color w:val="auto"/>
              </w:rPr>
              <w:t>Benefts</w:t>
            </w:r>
          </w:p>
        </w:tc>
        <w:tc>
          <w:tcPr>
            <w:tcW w:w="1360" w:type="dxa"/>
            <w:vAlign w:val="bottom"/>
          </w:tcPr>
          <w:p>
            <w:pPr>
              <w:jc w:val="center"/>
              <w:spacing w:after="0"/>
              <w:rPr>
                <w:sz w:val="20"/>
                <w:szCs w:val="20"/>
                <w:color w:val="auto"/>
              </w:rPr>
            </w:pPr>
            <w:r>
              <w:rPr>
                <w:rFonts w:ascii="Calibri" w:cs="Calibri" w:eastAsia="Calibri" w:hAnsi="Calibri"/>
                <w:sz w:val="16"/>
                <w:szCs w:val="16"/>
                <w:b w:val="1"/>
                <w:bCs w:val="1"/>
                <w:color w:val="auto"/>
              </w:rPr>
              <w:t>Benefts</w:t>
            </w:r>
          </w:p>
        </w:tc>
        <w:tc>
          <w:tcPr>
            <w:tcW w:w="1540" w:type="dxa"/>
            <w:vAlign w:val="bottom"/>
          </w:tcPr>
          <w:p>
            <w:pPr>
              <w:jc w:val="center"/>
              <w:ind w:right="79"/>
              <w:spacing w:after="0"/>
              <w:rPr>
                <w:sz w:val="20"/>
                <w:szCs w:val="20"/>
                <w:color w:val="auto"/>
              </w:rPr>
            </w:pPr>
            <w:r>
              <w:rPr>
                <w:rFonts w:ascii="Calibri" w:cs="Calibri" w:eastAsia="Calibri" w:hAnsi="Calibri"/>
                <w:sz w:val="16"/>
                <w:szCs w:val="16"/>
                <w:b w:val="1"/>
                <w:bCs w:val="1"/>
                <w:color w:val="auto"/>
              </w:rPr>
              <w:t>Compensaton</w:t>
            </w:r>
          </w:p>
        </w:tc>
        <w:tc>
          <w:tcPr>
            <w:tcW w:w="1220" w:type="dxa"/>
            <w:vAlign w:val="bottom"/>
          </w:tcPr>
          <w:p>
            <w:pPr>
              <w:jc w:val="right"/>
              <w:ind w:right="459"/>
              <w:spacing w:after="0"/>
              <w:rPr>
                <w:sz w:val="20"/>
                <w:szCs w:val="20"/>
                <w:color w:val="auto"/>
              </w:rPr>
            </w:pPr>
            <w:r>
              <w:rPr>
                <w:rFonts w:ascii="Calibri" w:cs="Calibri" w:eastAsia="Calibri" w:hAnsi="Calibri"/>
                <w:sz w:val="16"/>
                <w:szCs w:val="16"/>
                <w:b w:val="1"/>
                <w:bCs w:val="1"/>
                <w:color w:val="auto"/>
              </w:rPr>
              <w:t>Total</w:t>
            </w:r>
          </w:p>
        </w:tc>
      </w:tr>
      <w:tr>
        <w:trPr>
          <w:trHeight w:val="203"/>
        </w:trPr>
        <w:tc>
          <w:tcPr>
            <w:tcW w:w="1680" w:type="dxa"/>
            <w:vAlign w:val="bottom"/>
          </w:tcPr>
          <w:p>
            <w:pPr>
              <w:ind w:left="20"/>
              <w:spacing w:after="0"/>
              <w:rPr>
                <w:sz w:val="20"/>
                <w:szCs w:val="20"/>
                <w:color w:val="auto"/>
              </w:rPr>
            </w:pPr>
            <w:r>
              <w:rPr>
                <w:rFonts w:ascii="Calibri" w:cs="Calibri" w:eastAsia="Calibri" w:hAnsi="Calibri"/>
                <w:sz w:val="16"/>
                <w:szCs w:val="16"/>
                <w:b w:val="1"/>
                <w:bCs w:val="1"/>
                <w:color w:val="auto"/>
              </w:rPr>
              <w:t>Name</w:t>
            </w:r>
          </w:p>
        </w:tc>
        <w:tc>
          <w:tcPr>
            <w:tcW w:w="1580" w:type="dxa"/>
            <w:vAlign w:val="bottom"/>
          </w:tcPr>
          <w:p>
            <w:pPr>
              <w:jc w:val="center"/>
              <w:ind w:right="119"/>
              <w:spacing w:after="0"/>
              <w:rPr>
                <w:sz w:val="20"/>
                <w:szCs w:val="20"/>
                <w:color w:val="auto"/>
              </w:rPr>
            </w:pPr>
            <w:r>
              <w:rPr>
                <w:rFonts w:ascii="Calibri" w:cs="Calibri" w:eastAsia="Calibri" w:hAnsi="Calibri"/>
                <w:sz w:val="16"/>
                <w:szCs w:val="16"/>
                <w:b w:val="1"/>
                <w:bCs w:val="1"/>
                <w:color w:val="auto"/>
                <w:w w:val="99"/>
              </w:rPr>
              <w:t>($)</w:t>
            </w:r>
          </w:p>
        </w:tc>
        <w:tc>
          <w:tcPr>
            <w:tcW w:w="1300" w:type="dxa"/>
            <w:vAlign w:val="bottom"/>
          </w:tcPr>
          <w:p>
            <w:pPr>
              <w:jc w:val="center"/>
              <w:ind w:right="219"/>
              <w:spacing w:after="0"/>
              <w:rPr>
                <w:sz w:val="20"/>
                <w:szCs w:val="20"/>
                <w:color w:val="auto"/>
              </w:rPr>
            </w:pPr>
            <w:r>
              <w:rPr>
                <w:rFonts w:ascii="Calibri" w:cs="Calibri" w:eastAsia="Calibri" w:hAnsi="Calibri"/>
                <w:sz w:val="16"/>
                <w:szCs w:val="16"/>
                <w:b w:val="1"/>
                <w:bCs w:val="1"/>
                <w:color w:val="auto"/>
              </w:rPr>
              <w:t>($)</w:t>
            </w:r>
          </w:p>
        </w:tc>
        <w:tc>
          <w:tcPr>
            <w:tcW w:w="1400" w:type="dxa"/>
            <w:vAlign w:val="bottom"/>
          </w:tcPr>
          <w:p>
            <w:pPr>
              <w:jc w:val="center"/>
              <w:ind w:right="139"/>
              <w:spacing w:after="0"/>
              <w:rPr>
                <w:sz w:val="20"/>
                <w:szCs w:val="20"/>
                <w:color w:val="auto"/>
              </w:rPr>
            </w:pPr>
            <w:r>
              <w:rPr>
                <w:rFonts w:ascii="Calibri" w:cs="Calibri" w:eastAsia="Calibri" w:hAnsi="Calibri"/>
                <w:sz w:val="16"/>
                <w:szCs w:val="16"/>
                <w:b w:val="1"/>
                <w:bCs w:val="1"/>
                <w:color w:val="auto"/>
                <w:w w:val="99"/>
              </w:rPr>
              <w:t>($)</w:t>
            </w:r>
          </w:p>
        </w:tc>
        <w:tc>
          <w:tcPr>
            <w:tcW w:w="1160" w:type="dxa"/>
            <w:vAlign w:val="bottom"/>
          </w:tcPr>
          <w:p>
            <w:pPr>
              <w:jc w:val="center"/>
              <w:ind w:right="99"/>
              <w:spacing w:after="0"/>
              <w:rPr>
                <w:sz w:val="20"/>
                <w:szCs w:val="20"/>
                <w:color w:val="auto"/>
              </w:rPr>
            </w:pPr>
            <w:r>
              <w:rPr>
                <w:rFonts w:ascii="Calibri" w:cs="Calibri" w:eastAsia="Calibri" w:hAnsi="Calibri"/>
                <w:sz w:val="16"/>
                <w:szCs w:val="16"/>
                <w:b w:val="1"/>
                <w:bCs w:val="1"/>
                <w:color w:val="auto"/>
                <w:w w:val="99"/>
              </w:rPr>
              <w:t>($)</w:t>
            </w:r>
          </w:p>
        </w:tc>
        <w:tc>
          <w:tcPr>
            <w:tcW w:w="136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w:t>
            </w:r>
          </w:p>
        </w:tc>
        <w:tc>
          <w:tcPr>
            <w:tcW w:w="1540" w:type="dxa"/>
            <w:vAlign w:val="bottom"/>
          </w:tcPr>
          <w:p>
            <w:pPr>
              <w:jc w:val="center"/>
              <w:ind w:right="79"/>
              <w:spacing w:after="0"/>
              <w:rPr>
                <w:sz w:val="20"/>
                <w:szCs w:val="20"/>
                <w:color w:val="auto"/>
              </w:rPr>
            </w:pPr>
            <w:r>
              <w:rPr>
                <w:rFonts w:ascii="Calibri" w:cs="Calibri" w:eastAsia="Calibri" w:hAnsi="Calibri"/>
                <w:sz w:val="16"/>
                <w:szCs w:val="16"/>
                <w:b w:val="1"/>
                <w:bCs w:val="1"/>
                <w:color w:val="auto"/>
                <w:w w:val="99"/>
              </w:rPr>
              <w:t>($)</w:t>
            </w:r>
          </w:p>
        </w:tc>
        <w:tc>
          <w:tcPr>
            <w:tcW w:w="122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w:t>
            </w:r>
          </w:p>
        </w:tc>
      </w:tr>
      <w:tr>
        <w:trPr>
          <w:trHeight w:val="203"/>
        </w:trPr>
        <w:tc>
          <w:tcPr>
            <w:tcW w:w="1680" w:type="dxa"/>
            <w:vAlign w:val="bottom"/>
          </w:tcPr>
          <w:p>
            <w:pPr>
              <w:ind w:left="20"/>
              <w:spacing w:after="0"/>
              <w:rPr>
                <w:sz w:val="20"/>
                <w:szCs w:val="20"/>
                <w:color w:val="auto"/>
              </w:rPr>
            </w:pPr>
            <w:r>
              <w:rPr>
                <w:rFonts w:ascii="Calibri" w:cs="Calibri" w:eastAsia="Calibri" w:hAnsi="Calibri"/>
                <w:sz w:val="16"/>
                <w:szCs w:val="16"/>
                <w:b w:val="1"/>
                <w:bCs w:val="1"/>
                <w:color w:val="auto"/>
              </w:rPr>
              <w:t>(a)</w:t>
            </w:r>
          </w:p>
        </w:tc>
        <w:tc>
          <w:tcPr>
            <w:tcW w:w="1580" w:type="dxa"/>
            <w:vAlign w:val="bottom"/>
          </w:tcPr>
          <w:p>
            <w:pPr>
              <w:jc w:val="center"/>
              <w:ind w:right="119"/>
              <w:spacing w:after="0"/>
              <w:rPr>
                <w:sz w:val="20"/>
                <w:szCs w:val="20"/>
                <w:color w:val="auto"/>
              </w:rPr>
            </w:pPr>
            <w:r>
              <w:rPr>
                <w:rFonts w:ascii="Calibri" w:cs="Calibri" w:eastAsia="Calibri" w:hAnsi="Calibri"/>
                <w:sz w:val="16"/>
                <w:szCs w:val="16"/>
                <w:b w:val="1"/>
                <w:bCs w:val="1"/>
                <w:color w:val="auto"/>
                <w:w w:val="96"/>
              </w:rPr>
              <w:t>(b)</w:t>
            </w:r>
          </w:p>
        </w:tc>
        <w:tc>
          <w:tcPr>
            <w:tcW w:w="1300" w:type="dxa"/>
            <w:vAlign w:val="bottom"/>
          </w:tcPr>
          <w:p>
            <w:pPr>
              <w:jc w:val="center"/>
              <w:ind w:right="219"/>
              <w:spacing w:after="0"/>
              <w:rPr>
                <w:sz w:val="20"/>
                <w:szCs w:val="20"/>
                <w:color w:val="auto"/>
              </w:rPr>
            </w:pPr>
            <w:r>
              <w:rPr>
                <w:rFonts w:ascii="Calibri" w:cs="Calibri" w:eastAsia="Calibri" w:hAnsi="Calibri"/>
                <w:sz w:val="16"/>
                <w:szCs w:val="16"/>
                <w:b w:val="1"/>
                <w:bCs w:val="1"/>
                <w:color w:val="auto"/>
                <w:w w:val="95"/>
              </w:rPr>
              <w:t>(c)</w:t>
            </w:r>
          </w:p>
        </w:tc>
        <w:tc>
          <w:tcPr>
            <w:tcW w:w="1400" w:type="dxa"/>
            <w:vAlign w:val="bottom"/>
          </w:tcPr>
          <w:p>
            <w:pPr>
              <w:jc w:val="center"/>
              <w:ind w:right="139"/>
              <w:spacing w:after="0"/>
              <w:rPr>
                <w:sz w:val="20"/>
                <w:szCs w:val="20"/>
                <w:color w:val="auto"/>
              </w:rPr>
            </w:pPr>
            <w:r>
              <w:rPr>
                <w:rFonts w:ascii="Calibri" w:cs="Calibri" w:eastAsia="Calibri" w:hAnsi="Calibri"/>
                <w:sz w:val="16"/>
                <w:szCs w:val="16"/>
                <w:b w:val="1"/>
                <w:bCs w:val="1"/>
                <w:color w:val="auto"/>
                <w:w w:val="96"/>
              </w:rPr>
              <w:t>(d)</w:t>
            </w:r>
          </w:p>
        </w:tc>
        <w:tc>
          <w:tcPr>
            <w:tcW w:w="1160" w:type="dxa"/>
            <w:vAlign w:val="bottom"/>
          </w:tcPr>
          <w:p>
            <w:pPr>
              <w:jc w:val="center"/>
              <w:ind w:right="99"/>
              <w:spacing w:after="0"/>
              <w:rPr>
                <w:sz w:val="20"/>
                <w:szCs w:val="20"/>
                <w:color w:val="auto"/>
              </w:rPr>
            </w:pPr>
            <w:r>
              <w:rPr>
                <w:rFonts w:ascii="Calibri" w:cs="Calibri" w:eastAsia="Calibri" w:hAnsi="Calibri"/>
                <w:sz w:val="16"/>
                <w:szCs w:val="16"/>
                <w:b w:val="1"/>
                <w:bCs w:val="1"/>
                <w:color w:val="auto"/>
                <w:w w:val="99"/>
              </w:rPr>
              <w:t>(e)</w:t>
            </w:r>
          </w:p>
        </w:tc>
        <w:tc>
          <w:tcPr>
            <w:tcW w:w="1360" w:type="dxa"/>
            <w:vAlign w:val="bottom"/>
          </w:tcPr>
          <w:p>
            <w:pPr>
              <w:jc w:val="center"/>
              <w:spacing w:after="0"/>
              <w:rPr>
                <w:sz w:val="20"/>
                <w:szCs w:val="20"/>
                <w:color w:val="auto"/>
              </w:rPr>
            </w:pPr>
            <w:r>
              <w:rPr>
                <w:rFonts w:ascii="Calibri" w:cs="Calibri" w:eastAsia="Calibri" w:hAnsi="Calibri"/>
                <w:sz w:val="16"/>
                <w:szCs w:val="16"/>
                <w:b w:val="1"/>
                <w:bCs w:val="1"/>
                <w:color w:val="auto"/>
                <w:w w:val="92"/>
              </w:rPr>
              <w:t>(f)</w:t>
            </w:r>
          </w:p>
        </w:tc>
        <w:tc>
          <w:tcPr>
            <w:tcW w:w="1540" w:type="dxa"/>
            <w:vAlign w:val="bottom"/>
          </w:tcPr>
          <w:p>
            <w:pPr>
              <w:jc w:val="center"/>
              <w:ind w:right="79"/>
              <w:spacing w:after="0"/>
              <w:rPr>
                <w:sz w:val="20"/>
                <w:szCs w:val="20"/>
                <w:color w:val="auto"/>
              </w:rPr>
            </w:pPr>
            <w:r>
              <w:rPr>
                <w:rFonts w:ascii="Calibri" w:cs="Calibri" w:eastAsia="Calibri" w:hAnsi="Calibri"/>
                <w:sz w:val="16"/>
                <w:szCs w:val="16"/>
                <w:b w:val="1"/>
                <w:bCs w:val="1"/>
                <w:color w:val="auto"/>
              </w:rPr>
              <w:t>(g)</w:t>
            </w:r>
          </w:p>
        </w:tc>
        <w:tc>
          <w:tcPr>
            <w:tcW w:w="122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(h)</w:t>
            </w:r>
          </w:p>
        </w:tc>
      </w:tr>
      <w:tr>
        <w:trPr>
          <w:trHeight w:val="48"/>
        </w:trPr>
        <w:tc>
          <w:tcPr>
            <w:tcW w:w="1680" w:type="dxa"/>
            <w:vAlign w:val="bottom"/>
            <w:tcBorders>
              <w:bottom w:val="single" w:sz="8" w:color="005CA9"/>
            </w:tcBorders>
          </w:tcPr>
          <w:p>
            <w:pPr>
              <w:spacing w:after="0"/>
              <w:rPr>
                <w:sz w:val="4"/>
                <w:szCs w:val="4"/>
                <w:color w:val="auto"/>
              </w:rPr>
            </w:pPr>
          </w:p>
        </w:tc>
        <w:tc>
          <w:tcPr>
            <w:tcW w:w="1580" w:type="dxa"/>
            <w:vAlign w:val="bottom"/>
            <w:tcBorders>
              <w:bottom w:val="single" w:sz="8" w:color="005CA9"/>
            </w:tcBorders>
          </w:tcPr>
          <w:p>
            <w:pPr>
              <w:spacing w:after="0"/>
              <w:rPr>
                <w:sz w:val="4"/>
                <w:szCs w:val="4"/>
                <w:color w:val="auto"/>
              </w:rPr>
            </w:pPr>
          </w:p>
        </w:tc>
        <w:tc>
          <w:tcPr>
            <w:tcW w:w="1300" w:type="dxa"/>
            <w:vAlign w:val="bottom"/>
            <w:tcBorders>
              <w:bottom w:val="single" w:sz="8" w:color="005CA9"/>
            </w:tcBorders>
          </w:tcPr>
          <w:p>
            <w:pPr>
              <w:spacing w:after="0"/>
              <w:rPr>
                <w:sz w:val="4"/>
                <w:szCs w:val="4"/>
                <w:color w:val="auto"/>
              </w:rPr>
            </w:pPr>
          </w:p>
        </w:tc>
        <w:tc>
          <w:tcPr>
            <w:tcW w:w="1400" w:type="dxa"/>
            <w:vAlign w:val="bottom"/>
            <w:tcBorders>
              <w:bottom w:val="single" w:sz="8" w:color="005CA9"/>
            </w:tcBorders>
          </w:tcPr>
          <w:p>
            <w:pPr>
              <w:spacing w:after="0"/>
              <w:rPr>
                <w:sz w:val="4"/>
                <w:szCs w:val="4"/>
                <w:color w:val="auto"/>
              </w:rPr>
            </w:pPr>
          </w:p>
        </w:tc>
        <w:tc>
          <w:tcPr>
            <w:tcW w:w="1160" w:type="dxa"/>
            <w:vAlign w:val="bottom"/>
            <w:tcBorders>
              <w:bottom w:val="single" w:sz="8" w:color="005CA9"/>
            </w:tcBorders>
          </w:tcPr>
          <w:p>
            <w:pPr>
              <w:spacing w:after="0"/>
              <w:rPr>
                <w:sz w:val="4"/>
                <w:szCs w:val="4"/>
                <w:color w:val="auto"/>
              </w:rPr>
            </w:pPr>
          </w:p>
        </w:tc>
        <w:tc>
          <w:tcPr>
            <w:tcW w:w="1360" w:type="dxa"/>
            <w:vAlign w:val="bottom"/>
            <w:tcBorders>
              <w:bottom w:val="single" w:sz="8" w:color="005CA9"/>
            </w:tcBorders>
          </w:tcPr>
          <w:p>
            <w:pPr>
              <w:spacing w:after="0"/>
              <w:rPr>
                <w:sz w:val="4"/>
                <w:szCs w:val="4"/>
                <w:color w:val="auto"/>
              </w:rPr>
            </w:pPr>
          </w:p>
        </w:tc>
        <w:tc>
          <w:tcPr>
            <w:tcW w:w="1540" w:type="dxa"/>
            <w:vAlign w:val="bottom"/>
            <w:tcBorders>
              <w:bottom w:val="single" w:sz="8" w:color="005CA9"/>
            </w:tcBorders>
          </w:tcPr>
          <w:p>
            <w:pPr>
              <w:spacing w:after="0"/>
              <w:rPr>
                <w:sz w:val="4"/>
                <w:szCs w:val="4"/>
                <w:color w:val="auto"/>
              </w:rPr>
            </w:pPr>
          </w:p>
        </w:tc>
        <w:tc>
          <w:tcPr>
            <w:tcW w:w="1220" w:type="dxa"/>
            <w:vAlign w:val="bottom"/>
            <w:tcBorders>
              <w:bottom w:val="single" w:sz="8" w:color="005CA9"/>
            </w:tcBorders>
          </w:tcPr>
          <w:p>
            <w:pPr>
              <w:spacing w:after="0"/>
              <w:rPr>
                <w:sz w:val="4"/>
                <w:szCs w:val="4"/>
                <w:color w:val="auto"/>
              </w:rPr>
            </w:pPr>
          </w:p>
        </w:tc>
      </w:tr>
      <w:tr>
        <w:trPr>
          <w:trHeight w:val="203"/>
        </w:trPr>
        <w:tc>
          <w:tcPr>
            <w:tcW w:w="168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Dr. Keh-Shew Lu</w:t>
            </w:r>
          </w:p>
        </w:tc>
        <w:tc>
          <w:tcPr>
            <w:tcW w:w="1580" w:type="dxa"/>
            <w:vAlign w:val="bottom"/>
            <w:shd w:val="clear" w:color="auto" w:fill="CFF0FC"/>
          </w:tcPr>
          <w:p>
            <w:pPr>
              <w:jc w:val="right"/>
              <w:ind w:right="219"/>
              <w:spacing w:after="0" w:line="193" w:lineRule="exact"/>
              <w:rPr>
                <w:sz w:val="20"/>
                <w:szCs w:val="20"/>
                <w:color w:val="auto"/>
              </w:rPr>
            </w:pPr>
            <w:r>
              <w:rPr>
                <w:rFonts w:ascii="Calibri" w:cs="Calibri" w:eastAsia="Calibri" w:hAnsi="Calibri"/>
                <w:sz w:val="16"/>
                <w:szCs w:val="16"/>
                <w:color w:val="auto"/>
              </w:rPr>
              <w:t>740,000</w:t>
            </w:r>
          </w:p>
        </w:tc>
        <w:tc>
          <w:tcPr>
            <w:tcW w:w="1300" w:type="dxa"/>
            <w:vAlign w:val="bottom"/>
            <w:shd w:val="clear" w:color="auto" w:fill="CFF0FC"/>
          </w:tcPr>
          <w:p>
            <w:pPr>
              <w:jc w:val="right"/>
              <w:ind w:right="199"/>
              <w:spacing w:after="0" w:line="193" w:lineRule="exact"/>
              <w:rPr>
                <w:sz w:val="20"/>
                <w:szCs w:val="20"/>
                <w:color w:val="auto"/>
              </w:rPr>
            </w:pPr>
            <w:r>
              <w:rPr>
                <w:rFonts w:ascii="Calibri" w:cs="Calibri" w:eastAsia="Calibri" w:hAnsi="Calibri"/>
                <w:sz w:val="16"/>
                <w:szCs w:val="16"/>
                <w:color w:val="auto"/>
              </w:rPr>
              <w:t>165,269</w:t>
            </w:r>
          </w:p>
        </w:tc>
        <w:tc>
          <w:tcPr>
            <w:tcW w:w="1400" w:type="dxa"/>
            <w:vAlign w:val="bottom"/>
            <w:shd w:val="clear" w:color="auto" w:fill="CFF0FC"/>
          </w:tcPr>
          <w:p>
            <w:pPr>
              <w:jc w:val="right"/>
              <w:ind w:right="139"/>
              <w:spacing w:after="0" w:line="193" w:lineRule="exact"/>
              <w:rPr>
                <w:sz w:val="20"/>
                <w:szCs w:val="20"/>
                <w:color w:val="auto"/>
              </w:rPr>
            </w:pPr>
            <w:r>
              <w:rPr>
                <w:rFonts w:ascii="Calibri" w:cs="Calibri" w:eastAsia="Calibri" w:hAnsi="Calibri"/>
                <w:sz w:val="16"/>
                <w:szCs w:val="16"/>
                <w:color w:val="auto"/>
              </w:rPr>
              <w:t>71,154</w:t>
            </w:r>
          </w:p>
        </w:tc>
        <w:tc>
          <w:tcPr>
            <w:tcW w:w="1160" w:type="dxa"/>
            <w:vAlign w:val="bottom"/>
            <w:shd w:val="clear" w:color="auto" w:fill="CFF0FC"/>
          </w:tcPr>
          <w:p>
            <w:pPr>
              <w:jc w:val="right"/>
              <w:ind w:right="119"/>
              <w:spacing w:after="0" w:line="193" w:lineRule="exact"/>
              <w:rPr>
                <w:sz w:val="20"/>
                <w:szCs w:val="20"/>
                <w:color w:val="auto"/>
              </w:rPr>
            </w:pPr>
            <w:r>
              <w:rPr>
                <w:rFonts w:ascii="Calibri" w:cs="Calibri" w:eastAsia="Calibri" w:hAnsi="Calibri"/>
                <w:sz w:val="16"/>
                <w:szCs w:val="16"/>
                <w:color w:val="auto"/>
              </w:rPr>
              <w:t>25,389</w:t>
            </w:r>
          </w:p>
        </w:tc>
        <w:tc>
          <w:tcPr>
            <w:tcW w:w="1360" w:type="dxa"/>
            <w:vAlign w:val="bottom"/>
            <w:shd w:val="clear" w:color="auto" w:fill="CFF0FC"/>
          </w:tcPr>
          <w:p>
            <w:pPr>
              <w:jc w:val="center"/>
              <w:spacing w:after="0" w:line="193" w:lineRule="exact"/>
              <w:rPr>
                <w:sz w:val="20"/>
                <w:szCs w:val="20"/>
                <w:color w:val="auto"/>
              </w:rPr>
            </w:pPr>
            <w:r>
              <w:rPr>
                <w:rFonts w:ascii="Calibri" w:cs="Calibri" w:eastAsia="Calibri" w:hAnsi="Calibri"/>
                <w:sz w:val="16"/>
                <w:szCs w:val="16"/>
                <w:color w:val="auto"/>
                <w:w w:val="96"/>
              </w:rPr>
              <w:t>—</w:t>
            </w:r>
          </w:p>
        </w:tc>
        <w:tc>
          <w:tcPr>
            <w:tcW w:w="1540" w:type="dxa"/>
            <w:vAlign w:val="bottom"/>
            <w:shd w:val="clear" w:color="auto" w:fill="CFF0FC"/>
          </w:tcPr>
          <w:p>
            <w:pPr>
              <w:jc w:val="center"/>
              <w:ind w:right="79"/>
              <w:spacing w:after="0" w:line="193" w:lineRule="exact"/>
              <w:rPr>
                <w:sz w:val="20"/>
                <w:szCs w:val="20"/>
                <w:color w:val="auto"/>
              </w:rPr>
            </w:pPr>
            <w:r>
              <w:rPr>
                <w:rFonts w:ascii="Calibri" w:cs="Calibri" w:eastAsia="Calibri" w:hAnsi="Calibri"/>
                <w:sz w:val="16"/>
                <w:szCs w:val="16"/>
                <w:color w:val="auto"/>
                <w:w w:val="96"/>
              </w:rPr>
              <w:t>—</w:t>
            </w:r>
          </w:p>
        </w:tc>
        <w:tc>
          <w:tcPr>
            <w:tcW w:w="1220" w:type="dxa"/>
            <w:vAlign w:val="bottom"/>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1,001,812</w:t>
            </w:r>
          </w:p>
        </w:tc>
      </w:tr>
      <w:tr>
        <w:trPr>
          <w:trHeight w:val="198"/>
        </w:trPr>
        <w:tc>
          <w:tcPr>
            <w:tcW w:w="168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Bret R. Whitmire</w:t>
            </w:r>
          </w:p>
        </w:tc>
        <w:tc>
          <w:tcPr>
            <w:tcW w:w="1580" w:type="dxa"/>
            <w:vAlign w:val="bottom"/>
          </w:tcPr>
          <w:p>
            <w:pPr>
              <w:jc w:val="right"/>
              <w:ind w:right="219"/>
              <w:spacing w:after="0" w:line="193" w:lineRule="exact"/>
              <w:rPr>
                <w:sz w:val="20"/>
                <w:szCs w:val="20"/>
                <w:color w:val="auto"/>
              </w:rPr>
            </w:pPr>
            <w:r>
              <w:rPr>
                <w:rFonts w:ascii="Calibri" w:cs="Calibri" w:eastAsia="Calibri" w:hAnsi="Calibri"/>
                <w:sz w:val="16"/>
                <w:szCs w:val="16"/>
                <w:color w:val="auto"/>
              </w:rPr>
              <w:t>—</w:t>
            </w:r>
          </w:p>
        </w:tc>
        <w:tc>
          <w:tcPr>
            <w:tcW w:w="1300" w:type="dxa"/>
            <w:vAlign w:val="bottom"/>
          </w:tcPr>
          <w:p>
            <w:pPr>
              <w:jc w:val="right"/>
              <w:ind w:right="199"/>
              <w:spacing w:after="0" w:line="193" w:lineRule="exact"/>
              <w:rPr>
                <w:sz w:val="20"/>
                <w:szCs w:val="20"/>
                <w:color w:val="auto"/>
              </w:rPr>
            </w:pPr>
            <w:r>
              <w:rPr>
                <w:rFonts w:ascii="Calibri" w:cs="Calibri" w:eastAsia="Calibri" w:hAnsi="Calibri"/>
                <w:sz w:val="16"/>
                <w:szCs w:val="16"/>
                <w:color w:val="auto"/>
              </w:rPr>
              <w:t>28,494</w:t>
            </w:r>
          </w:p>
        </w:tc>
        <w:tc>
          <w:tcPr>
            <w:tcW w:w="140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rPr>
              <w:t>26,654</w:t>
            </w:r>
          </w:p>
        </w:tc>
        <w:tc>
          <w:tcPr>
            <w:tcW w:w="116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6"/>
              </w:rPr>
              <w:t>—</w:t>
            </w:r>
          </w:p>
        </w:tc>
        <w:tc>
          <w:tcPr>
            <w:tcW w:w="1540" w:type="dxa"/>
            <w:vAlign w:val="bottom"/>
          </w:tcPr>
          <w:p>
            <w:pPr>
              <w:jc w:val="center"/>
              <w:ind w:right="79"/>
              <w:spacing w:after="0" w:line="193" w:lineRule="exact"/>
              <w:rPr>
                <w:sz w:val="20"/>
                <w:szCs w:val="20"/>
                <w:color w:val="auto"/>
              </w:rPr>
            </w:pPr>
            <w:r>
              <w:rPr>
                <w:rFonts w:ascii="Calibri" w:cs="Calibri" w:eastAsia="Calibri" w:hAnsi="Calibri"/>
                <w:sz w:val="16"/>
                <w:szCs w:val="16"/>
                <w:color w:val="auto"/>
                <w:w w:val="96"/>
              </w:rPr>
              <w:t>—</w:t>
            </w:r>
          </w:p>
        </w:tc>
        <w:tc>
          <w:tcPr>
            <w:tcW w:w="12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55,148</w:t>
            </w:r>
          </w:p>
        </w:tc>
      </w:tr>
      <w:tr>
        <w:trPr>
          <w:trHeight w:val="207"/>
        </w:trPr>
        <w:tc>
          <w:tcPr>
            <w:tcW w:w="1680" w:type="dxa"/>
            <w:vAlign w:val="bottom"/>
            <w:shd w:val="clear" w:color="auto" w:fill="CFF0FC"/>
          </w:tcPr>
          <w:p>
            <w:pPr>
              <w:ind w:left="20"/>
              <w:spacing w:after="0"/>
              <w:rPr>
                <w:sz w:val="20"/>
                <w:szCs w:val="20"/>
                <w:color w:val="auto"/>
              </w:rPr>
            </w:pPr>
            <w:r>
              <w:rPr>
                <w:rFonts w:ascii="Calibri" w:cs="Calibri" w:eastAsia="Calibri" w:hAnsi="Calibri"/>
                <w:sz w:val="16"/>
                <w:szCs w:val="16"/>
                <w:b w:val="1"/>
                <w:bCs w:val="1"/>
                <w:color w:val="auto"/>
              </w:rPr>
              <w:t>Gary Yu</w:t>
            </w:r>
          </w:p>
        </w:tc>
        <w:tc>
          <w:tcPr>
            <w:tcW w:w="1580" w:type="dxa"/>
            <w:vAlign w:val="bottom"/>
            <w:shd w:val="clear" w:color="auto" w:fill="CFF0FC"/>
          </w:tcPr>
          <w:p>
            <w:pPr>
              <w:jc w:val="right"/>
              <w:ind w:right="219"/>
              <w:spacing w:after="0"/>
              <w:rPr>
                <w:sz w:val="20"/>
                <w:szCs w:val="20"/>
                <w:color w:val="auto"/>
              </w:rPr>
            </w:pPr>
            <w:r>
              <w:rPr>
                <w:rFonts w:ascii="Calibri" w:cs="Calibri" w:eastAsia="Calibri" w:hAnsi="Calibri"/>
                <w:sz w:val="16"/>
                <w:szCs w:val="16"/>
                <w:color w:val="auto"/>
              </w:rPr>
              <w:t>—</w:t>
            </w:r>
          </w:p>
        </w:tc>
        <w:tc>
          <w:tcPr>
            <w:tcW w:w="1300" w:type="dxa"/>
            <w:vAlign w:val="bottom"/>
            <w:shd w:val="clear" w:color="auto" w:fill="CFF0FC"/>
          </w:tcPr>
          <w:p>
            <w:pPr>
              <w:jc w:val="right"/>
              <w:ind w:right="199"/>
              <w:spacing w:after="0"/>
              <w:rPr>
                <w:sz w:val="20"/>
                <w:szCs w:val="20"/>
                <w:color w:val="auto"/>
              </w:rPr>
            </w:pPr>
            <w:r>
              <w:rPr>
                <w:rFonts w:ascii="Calibri" w:cs="Calibri" w:eastAsia="Calibri" w:hAnsi="Calibri"/>
                <w:sz w:val="16"/>
                <w:szCs w:val="16"/>
                <w:color w:val="auto"/>
              </w:rPr>
              <w:t>126,632</w:t>
            </w:r>
          </w:p>
        </w:tc>
        <w:tc>
          <w:tcPr>
            <w:tcW w:w="1400" w:type="dxa"/>
            <w:vAlign w:val="bottom"/>
            <w:shd w:val="clear" w:color="auto" w:fill="CFF0FC"/>
          </w:tcPr>
          <w:p>
            <w:pPr>
              <w:jc w:val="right"/>
              <w:ind w:right="139"/>
              <w:spacing w:after="0"/>
              <w:rPr>
                <w:sz w:val="20"/>
                <w:szCs w:val="20"/>
                <w:color w:val="auto"/>
              </w:rPr>
            </w:pPr>
            <w:r>
              <w:rPr>
                <w:rFonts w:ascii="Calibri" w:cs="Calibri" w:eastAsia="Calibri" w:hAnsi="Calibri"/>
                <w:sz w:val="16"/>
                <w:szCs w:val="16"/>
                <w:color w:val="auto"/>
              </w:rPr>
              <w:t>60,577</w:t>
            </w:r>
          </w:p>
        </w:tc>
        <w:tc>
          <w:tcPr>
            <w:tcW w:w="1160" w:type="dxa"/>
            <w:vAlign w:val="bottom"/>
            <w:shd w:val="clear" w:color="auto" w:fill="CFF0FC"/>
          </w:tcPr>
          <w:p>
            <w:pPr>
              <w:jc w:val="right"/>
              <w:ind w:right="119"/>
              <w:spacing w:after="0"/>
              <w:rPr>
                <w:sz w:val="20"/>
                <w:szCs w:val="20"/>
                <w:color w:val="auto"/>
              </w:rPr>
            </w:pPr>
            <w:r>
              <w:rPr>
                <w:rFonts w:ascii="Calibri" w:cs="Calibri" w:eastAsia="Calibri" w:hAnsi="Calibri"/>
                <w:sz w:val="16"/>
                <w:szCs w:val="16"/>
                <w:color w:val="auto"/>
              </w:rPr>
              <w:t>―</w:t>
            </w:r>
          </w:p>
        </w:tc>
        <w:tc>
          <w:tcPr>
            <w:tcW w:w="1360" w:type="dxa"/>
            <w:vAlign w:val="bottom"/>
            <w:shd w:val="clear" w:color="auto" w:fill="CFF0FC"/>
          </w:tcPr>
          <w:p>
            <w:pPr>
              <w:jc w:val="center"/>
              <w:spacing w:after="0"/>
              <w:rPr>
                <w:sz w:val="20"/>
                <w:szCs w:val="20"/>
                <w:color w:val="auto"/>
              </w:rPr>
            </w:pPr>
            <w:r>
              <w:rPr>
                <w:rFonts w:ascii="Calibri" w:cs="Calibri" w:eastAsia="Calibri" w:hAnsi="Calibri"/>
                <w:sz w:val="16"/>
                <w:szCs w:val="16"/>
                <w:color w:val="auto"/>
                <w:w w:val="96"/>
              </w:rPr>
              <w:t>—</w:t>
            </w:r>
          </w:p>
        </w:tc>
        <w:tc>
          <w:tcPr>
            <w:tcW w:w="1540" w:type="dxa"/>
            <w:vAlign w:val="bottom"/>
            <w:shd w:val="clear" w:color="auto" w:fill="CFF0FC"/>
          </w:tcPr>
          <w:p>
            <w:pPr>
              <w:jc w:val="center"/>
              <w:ind w:right="79"/>
              <w:spacing w:after="0"/>
              <w:rPr>
                <w:sz w:val="20"/>
                <w:szCs w:val="20"/>
                <w:color w:val="auto"/>
              </w:rPr>
            </w:pPr>
            <w:r>
              <w:rPr>
                <w:rFonts w:ascii="Calibri" w:cs="Calibri" w:eastAsia="Calibri" w:hAnsi="Calibri"/>
                <w:sz w:val="16"/>
                <w:szCs w:val="16"/>
                <w:color w:val="auto"/>
                <w:w w:val="96"/>
              </w:rPr>
              <w:t>—</w:t>
            </w:r>
          </w:p>
        </w:tc>
        <w:tc>
          <w:tcPr>
            <w:tcW w:w="1220" w:type="dxa"/>
            <w:vAlign w:val="bottom"/>
            <w:shd w:val="clear" w:color="auto" w:fill="CFF0FC"/>
          </w:tcPr>
          <w:p>
            <w:pPr>
              <w:jc w:val="right"/>
              <w:ind w:right="39"/>
              <w:spacing w:after="0"/>
              <w:rPr>
                <w:sz w:val="20"/>
                <w:szCs w:val="20"/>
                <w:color w:val="auto"/>
              </w:rPr>
            </w:pPr>
            <w:r>
              <w:rPr>
                <w:rFonts w:ascii="Calibri" w:cs="Calibri" w:eastAsia="Calibri" w:hAnsi="Calibri"/>
                <w:sz w:val="16"/>
                <w:szCs w:val="16"/>
                <w:color w:val="auto"/>
              </w:rPr>
              <w:t>187,209</w:t>
            </w:r>
          </w:p>
        </w:tc>
      </w:tr>
      <w:tr>
        <w:trPr>
          <w:trHeight w:val="198"/>
        </w:trPr>
        <w:tc>
          <w:tcPr>
            <w:tcW w:w="168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Francis Tang</w:t>
            </w:r>
          </w:p>
        </w:tc>
        <w:tc>
          <w:tcPr>
            <w:tcW w:w="1580" w:type="dxa"/>
            <w:vAlign w:val="bottom"/>
          </w:tcPr>
          <w:p>
            <w:pPr>
              <w:jc w:val="right"/>
              <w:ind w:right="219"/>
              <w:spacing w:after="0" w:line="193" w:lineRule="exact"/>
              <w:rPr>
                <w:sz w:val="20"/>
                <w:szCs w:val="20"/>
                <w:color w:val="auto"/>
              </w:rPr>
            </w:pPr>
            <w:r>
              <w:rPr>
                <w:rFonts w:ascii="Calibri" w:cs="Calibri" w:eastAsia="Calibri" w:hAnsi="Calibri"/>
                <w:sz w:val="16"/>
                <w:szCs w:val="16"/>
                <w:color w:val="auto"/>
              </w:rPr>
              <w:t>—</w:t>
            </w:r>
          </w:p>
        </w:tc>
        <w:tc>
          <w:tcPr>
            <w:tcW w:w="1300" w:type="dxa"/>
            <w:vAlign w:val="bottom"/>
          </w:tcPr>
          <w:p>
            <w:pPr>
              <w:jc w:val="right"/>
              <w:ind w:right="199"/>
              <w:spacing w:after="0" w:line="193" w:lineRule="exact"/>
              <w:rPr>
                <w:sz w:val="20"/>
                <w:szCs w:val="20"/>
                <w:color w:val="auto"/>
              </w:rPr>
            </w:pPr>
            <w:r>
              <w:rPr>
                <w:rFonts w:ascii="Calibri" w:cs="Calibri" w:eastAsia="Calibri" w:hAnsi="Calibri"/>
                <w:sz w:val="16"/>
                <w:szCs w:val="16"/>
                <w:color w:val="auto"/>
              </w:rPr>
              <w:t>59,519</w:t>
            </w:r>
          </w:p>
        </w:tc>
        <w:tc>
          <w:tcPr>
            <w:tcW w:w="140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rPr>
              <w:t>39,423</w:t>
            </w:r>
          </w:p>
        </w:tc>
        <w:tc>
          <w:tcPr>
            <w:tcW w:w="116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6"/>
              </w:rPr>
              <w:t>—</w:t>
            </w:r>
          </w:p>
        </w:tc>
        <w:tc>
          <w:tcPr>
            <w:tcW w:w="1540" w:type="dxa"/>
            <w:vAlign w:val="bottom"/>
          </w:tcPr>
          <w:p>
            <w:pPr>
              <w:jc w:val="center"/>
              <w:ind w:right="79"/>
              <w:spacing w:after="0" w:line="193" w:lineRule="exact"/>
              <w:rPr>
                <w:sz w:val="20"/>
                <w:szCs w:val="20"/>
                <w:color w:val="auto"/>
              </w:rPr>
            </w:pPr>
            <w:r>
              <w:rPr>
                <w:rFonts w:ascii="Calibri" w:cs="Calibri" w:eastAsia="Calibri" w:hAnsi="Calibri"/>
                <w:sz w:val="16"/>
                <w:szCs w:val="16"/>
                <w:color w:val="auto"/>
                <w:w w:val="96"/>
              </w:rPr>
              <w:t>—</w:t>
            </w:r>
          </w:p>
        </w:tc>
        <w:tc>
          <w:tcPr>
            <w:tcW w:w="12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98,942</w:t>
            </w:r>
          </w:p>
        </w:tc>
      </w:tr>
      <w:tr>
        <w:trPr>
          <w:trHeight w:val="203"/>
        </w:trPr>
        <w:tc>
          <w:tcPr>
            <w:tcW w:w="1680" w:type="dxa"/>
            <w:vAlign w:val="bottom"/>
            <w:tcBorders>
              <w:bottom w:val="single" w:sz="8" w:color="005CA9"/>
            </w:tcBorders>
            <w:shd w:val="clear" w:color="auto" w:fill="CFF0FC"/>
          </w:tcPr>
          <w:p>
            <w:pPr>
              <w:ind w:left="20"/>
              <w:spacing w:after="0"/>
              <w:rPr>
                <w:sz w:val="20"/>
                <w:szCs w:val="20"/>
                <w:color w:val="auto"/>
              </w:rPr>
            </w:pPr>
            <w:r>
              <w:rPr>
                <w:rFonts w:ascii="Calibri" w:cs="Calibri" w:eastAsia="Calibri" w:hAnsi="Calibri"/>
                <w:sz w:val="16"/>
                <w:szCs w:val="16"/>
                <w:b w:val="1"/>
                <w:bCs w:val="1"/>
                <w:color w:val="auto"/>
              </w:rPr>
              <w:t>Emily Yang</w:t>
            </w:r>
          </w:p>
        </w:tc>
        <w:tc>
          <w:tcPr>
            <w:tcW w:w="1580" w:type="dxa"/>
            <w:vAlign w:val="bottom"/>
            <w:tcBorders>
              <w:bottom w:val="single" w:sz="8" w:color="005CA9"/>
            </w:tcBorders>
            <w:shd w:val="clear" w:color="auto" w:fill="CFF0FC"/>
          </w:tcPr>
          <w:p>
            <w:pPr>
              <w:jc w:val="right"/>
              <w:ind w:right="219"/>
              <w:spacing w:after="0"/>
              <w:rPr>
                <w:sz w:val="20"/>
                <w:szCs w:val="20"/>
                <w:color w:val="auto"/>
              </w:rPr>
            </w:pPr>
            <w:r>
              <w:rPr>
                <w:rFonts w:ascii="Calibri" w:cs="Calibri" w:eastAsia="Calibri" w:hAnsi="Calibri"/>
                <w:sz w:val="16"/>
                <w:szCs w:val="16"/>
                <w:color w:val="auto"/>
              </w:rPr>
              <w:t>—</w:t>
            </w:r>
          </w:p>
        </w:tc>
        <w:tc>
          <w:tcPr>
            <w:tcW w:w="1300" w:type="dxa"/>
            <w:vAlign w:val="bottom"/>
            <w:tcBorders>
              <w:bottom w:val="single" w:sz="8" w:color="005CA9"/>
            </w:tcBorders>
            <w:shd w:val="clear" w:color="auto" w:fill="CFF0FC"/>
          </w:tcPr>
          <w:p>
            <w:pPr>
              <w:jc w:val="right"/>
              <w:ind w:right="199"/>
              <w:spacing w:after="0"/>
              <w:rPr>
                <w:sz w:val="20"/>
                <w:szCs w:val="20"/>
                <w:color w:val="auto"/>
              </w:rPr>
            </w:pPr>
            <w:r>
              <w:rPr>
                <w:rFonts w:ascii="Calibri" w:cs="Calibri" w:eastAsia="Calibri" w:hAnsi="Calibri"/>
                <w:sz w:val="16"/>
                <w:szCs w:val="16"/>
                <w:color w:val="auto"/>
              </w:rPr>
              <w:t>28,494</w:t>
            </w:r>
          </w:p>
        </w:tc>
        <w:tc>
          <w:tcPr>
            <w:tcW w:w="1400" w:type="dxa"/>
            <w:vAlign w:val="bottom"/>
            <w:tcBorders>
              <w:bottom w:val="single" w:sz="8" w:color="005CA9"/>
            </w:tcBorders>
            <w:shd w:val="clear" w:color="auto" w:fill="CFF0FC"/>
          </w:tcPr>
          <w:p>
            <w:pPr>
              <w:jc w:val="right"/>
              <w:ind w:right="139"/>
              <w:spacing w:after="0"/>
              <w:rPr>
                <w:sz w:val="20"/>
                <w:szCs w:val="20"/>
                <w:color w:val="auto"/>
              </w:rPr>
            </w:pPr>
            <w:r>
              <w:rPr>
                <w:rFonts w:ascii="Calibri" w:cs="Calibri" w:eastAsia="Calibri" w:hAnsi="Calibri"/>
                <w:sz w:val="16"/>
                <w:szCs w:val="16"/>
                <w:color w:val="auto"/>
              </w:rPr>
              <w:t>31,731</w:t>
            </w:r>
          </w:p>
        </w:tc>
        <w:tc>
          <w:tcPr>
            <w:tcW w:w="1160" w:type="dxa"/>
            <w:vAlign w:val="bottom"/>
            <w:tcBorders>
              <w:bottom w:val="single" w:sz="8" w:color="005CA9"/>
            </w:tcBorders>
            <w:shd w:val="clear" w:color="auto" w:fill="CFF0FC"/>
          </w:tcPr>
          <w:p>
            <w:pPr>
              <w:jc w:val="right"/>
              <w:ind w:right="119"/>
              <w:spacing w:after="0"/>
              <w:rPr>
                <w:sz w:val="20"/>
                <w:szCs w:val="20"/>
                <w:color w:val="auto"/>
              </w:rPr>
            </w:pPr>
            <w:r>
              <w:rPr>
                <w:rFonts w:ascii="Calibri" w:cs="Calibri" w:eastAsia="Calibri" w:hAnsi="Calibri"/>
                <w:sz w:val="16"/>
                <w:szCs w:val="16"/>
                <w:color w:val="auto"/>
              </w:rPr>
              <w:t>―</w:t>
            </w:r>
          </w:p>
        </w:tc>
        <w:tc>
          <w:tcPr>
            <w:tcW w:w="1360" w:type="dxa"/>
            <w:vAlign w:val="bottom"/>
            <w:tcBorders>
              <w:bottom w:val="single" w:sz="8" w:color="005CA9"/>
            </w:tcBorders>
            <w:shd w:val="clear" w:color="auto" w:fill="CFF0FC"/>
          </w:tcPr>
          <w:p>
            <w:pPr>
              <w:jc w:val="center"/>
              <w:spacing w:after="0"/>
              <w:rPr>
                <w:sz w:val="20"/>
                <w:szCs w:val="20"/>
                <w:color w:val="auto"/>
              </w:rPr>
            </w:pPr>
            <w:r>
              <w:rPr>
                <w:rFonts w:ascii="Calibri" w:cs="Calibri" w:eastAsia="Calibri" w:hAnsi="Calibri"/>
                <w:sz w:val="16"/>
                <w:szCs w:val="16"/>
                <w:color w:val="auto"/>
                <w:w w:val="96"/>
              </w:rPr>
              <w:t>—</w:t>
            </w:r>
          </w:p>
        </w:tc>
        <w:tc>
          <w:tcPr>
            <w:tcW w:w="1540" w:type="dxa"/>
            <w:vAlign w:val="bottom"/>
            <w:tcBorders>
              <w:bottom w:val="single" w:sz="8" w:color="005CA9"/>
            </w:tcBorders>
            <w:shd w:val="clear" w:color="auto" w:fill="CFF0FC"/>
          </w:tcPr>
          <w:p>
            <w:pPr>
              <w:jc w:val="center"/>
              <w:ind w:right="79"/>
              <w:spacing w:after="0"/>
              <w:rPr>
                <w:sz w:val="20"/>
                <w:szCs w:val="20"/>
                <w:color w:val="auto"/>
              </w:rPr>
            </w:pPr>
            <w:r>
              <w:rPr>
                <w:rFonts w:ascii="Calibri" w:cs="Calibri" w:eastAsia="Calibri" w:hAnsi="Calibri"/>
                <w:sz w:val="16"/>
                <w:szCs w:val="16"/>
                <w:color w:val="auto"/>
                <w:w w:val="96"/>
              </w:rPr>
              <w:t>—</w:t>
            </w:r>
          </w:p>
        </w:tc>
        <w:tc>
          <w:tcPr>
            <w:tcW w:w="1220" w:type="dxa"/>
            <w:vAlign w:val="bottom"/>
            <w:tcBorders>
              <w:bottom w:val="single" w:sz="8" w:color="005CA9"/>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60,225</w:t>
            </w:r>
          </w:p>
        </w:tc>
      </w:tr>
    </w:tbl>
    <w:p>
      <w:pPr>
        <w:spacing w:after="0" w:line="39" w:lineRule="exact"/>
        <w:rPr>
          <w:sz w:val="20"/>
          <w:szCs w:val="20"/>
          <w:color w:val="auto"/>
        </w:rPr>
      </w:pPr>
    </w:p>
    <w:p>
      <w:pPr>
        <w:ind w:left="340" w:hanging="190"/>
        <w:spacing w:after="0"/>
        <w:tabs>
          <w:tab w:leader="none" w:pos="340"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For purposes of determining this amount, Dr. Lu would receive his current base salary for one-year following the terminaton.</w:t>
      </w:r>
    </w:p>
    <w:p>
      <w:pPr>
        <w:spacing w:after="0" w:line="5" w:lineRule="exact"/>
        <w:rPr>
          <w:rFonts w:ascii="Calibri" w:cs="Calibri" w:eastAsia="Calibri" w:hAnsi="Calibri"/>
          <w:sz w:val="14"/>
          <w:szCs w:val="14"/>
          <w:color w:val="auto"/>
        </w:rPr>
      </w:pPr>
    </w:p>
    <w:p>
      <w:pPr>
        <w:ind w:left="160" w:right="20" w:hanging="10"/>
        <w:spacing w:after="0" w:line="245" w:lineRule="auto"/>
        <w:tabs>
          <w:tab w:leader="none" w:pos="342"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Any bonus amount would be prorated based on days employed in 2024 and calculated using actual 2023 results per the performance criteria in accordance with the Company's executve bonus plan.</w:t>
      </w:r>
    </w:p>
    <w:p>
      <w:pPr>
        <w:spacing w:after="0" w:line="1" w:lineRule="exact"/>
        <w:rPr>
          <w:rFonts w:ascii="Calibri" w:cs="Calibri" w:eastAsia="Calibri" w:hAnsi="Calibri"/>
          <w:sz w:val="14"/>
          <w:szCs w:val="14"/>
          <w:color w:val="auto"/>
        </w:rPr>
      </w:pPr>
    </w:p>
    <w:p>
      <w:pPr>
        <w:ind w:left="340" w:hanging="190"/>
        <w:spacing w:after="0"/>
        <w:tabs>
          <w:tab w:leader="none" w:pos="340"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Refects the estmated lump sum value of 18-month accrual of paid vacatons.</w:t>
      </w:r>
    </w:p>
    <w:p>
      <w:pPr>
        <w:spacing w:after="0" w:line="4" w:lineRule="exact"/>
        <w:rPr>
          <w:rFonts w:ascii="Calibri" w:cs="Calibri" w:eastAsia="Calibri" w:hAnsi="Calibri"/>
          <w:sz w:val="14"/>
          <w:szCs w:val="14"/>
          <w:color w:val="auto"/>
        </w:rPr>
      </w:pPr>
    </w:p>
    <w:p>
      <w:pPr>
        <w:ind w:left="340" w:hanging="190"/>
        <w:spacing w:after="0"/>
        <w:tabs>
          <w:tab w:leader="none" w:pos="340"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Refects the estmated lump sum value of premiums to be paid on behalf of the executve under the medical beneft plans for 18 months for Dr. Lu.</w:t>
      </w:r>
    </w:p>
    <w:p>
      <w:pPr>
        <w:spacing w:after="0" w:line="4" w:lineRule="exact"/>
        <w:rPr>
          <w:rFonts w:ascii="Calibri" w:cs="Calibri" w:eastAsia="Calibri" w:hAnsi="Calibri"/>
          <w:sz w:val="14"/>
          <w:szCs w:val="14"/>
          <w:color w:val="auto"/>
        </w:rPr>
      </w:pPr>
    </w:p>
    <w:p>
      <w:pPr>
        <w:ind w:left="320" w:hanging="170"/>
        <w:spacing w:after="0"/>
        <w:tabs>
          <w:tab w:leader="none" w:pos="320"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In the event of terminaton without cause, the Company does not contnue to provide benefts under the life, disability, and accidental death and dismemberment insurance plans.</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59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62" w:name="page63"/>
    <w:bookmarkEnd w:id="62"/>
    <w:p>
      <w:pPr>
        <w:ind w:left="40"/>
        <w:spacing w:after="0"/>
        <w:rPr>
          <w:sz w:val="20"/>
          <w:szCs w:val="20"/>
          <w:color w:val="auto"/>
        </w:rPr>
      </w:pPr>
      <w:r>
        <w:rPr>
          <w:rFonts w:ascii="Calibri" w:cs="Calibri" w:eastAsia="Calibri" w:hAnsi="Calibri"/>
          <w:sz w:val="20"/>
          <w:szCs w:val="20"/>
          <w:color w:val="auto"/>
        </w:rPr>
        <w:t>The table below details the number of RSUs and PSUs, currently unvested, that would vest upon a change in control:</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00" w:type="dxa"/>
            <w:vAlign w:val="bottom"/>
            <w:tcBorders>
              <w:top w:val="single" w:sz="8" w:color="005CA9"/>
            </w:tcBorders>
          </w:tcPr>
          <w:p>
            <w:pPr>
              <w:spacing w:after="0"/>
              <w:rPr>
                <w:sz w:val="17"/>
                <w:szCs w:val="17"/>
                <w:color w:val="auto"/>
              </w:rPr>
            </w:pPr>
          </w:p>
        </w:tc>
        <w:tc>
          <w:tcPr>
            <w:tcW w:w="2880" w:type="dxa"/>
            <w:vAlign w:val="bottom"/>
            <w:tcBorders>
              <w:top w:val="single" w:sz="8" w:color="005CA9"/>
            </w:tcBorders>
          </w:tcPr>
          <w:p>
            <w:pPr>
              <w:jc w:val="center"/>
              <w:ind w:left="919"/>
              <w:spacing w:after="0"/>
              <w:rPr>
                <w:sz w:val="20"/>
                <w:szCs w:val="20"/>
                <w:color w:val="auto"/>
              </w:rPr>
            </w:pPr>
            <w:r>
              <w:rPr>
                <w:rFonts w:ascii="Calibri" w:cs="Calibri" w:eastAsia="Calibri" w:hAnsi="Calibri"/>
                <w:sz w:val="16"/>
                <w:szCs w:val="16"/>
                <w:b w:val="1"/>
                <w:bCs w:val="1"/>
                <w:color w:val="auto"/>
                <w:w w:val="99"/>
              </w:rPr>
              <w:t>Stock</w:t>
            </w:r>
          </w:p>
        </w:tc>
        <w:tc>
          <w:tcPr>
            <w:tcW w:w="2120" w:type="dxa"/>
            <w:vAlign w:val="bottom"/>
            <w:tcBorders>
              <w:top w:val="single" w:sz="8" w:color="005CA9"/>
            </w:tcBorders>
          </w:tcPr>
          <w:p>
            <w:pPr>
              <w:spacing w:after="0"/>
              <w:rPr>
                <w:sz w:val="17"/>
                <w:szCs w:val="17"/>
                <w:color w:val="auto"/>
              </w:rPr>
            </w:pPr>
          </w:p>
        </w:tc>
        <w:tc>
          <w:tcPr>
            <w:tcW w:w="1820" w:type="dxa"/>
            <w:vAlign w:val="bottom"/>
            <w:tcBorders>
              <w:top w:val="single" w:sz="8" w:color="005CA9"/>
            </w:tcBorders>
          </w:tcPr>
          <w:p>
            <w:pPr>
              <w:spacing w:after="0"/>
              <w:rPr>
                <w:sz w:val="17"/>
                <w:szCs w:val="17"/>
                <w:color w:val="auto"/>
              </w:rPr>
            </w:pPr>
          </w:p>
        </w:tc>
        <w:tc>
          <w:tcPr>
            <w:tcW w:w="1520" w:type="dxa"/>
            <w:vAlign w:val="bottom"/>
            <w:tcBorders>
              <w:top w:val="single" w:sz="8" w:color="005CA9"/>
            </w:tcBorders>
          </w:tcPr>
          <w:p>
            <w:pPr>
              <w:spacing w:after="0"/>
              <w:rPr>
                <w:sz w:val="17"/>
                <w:szCs w:val="17"/>
                <w:color w:val="auto"/>
              </w:rPr>
            </w:pPr>
          </w:p>
        </w:tc>
      </w:tr>
      <w:tr>
        <w:trPr>
          <w:trHeight w:val="193"/>
        </w:trPr>
        <w:tc>
          <w:tcPr>
            <w:tcW w:w="2900" w:type="dxa"/>
            <w:vAlign w:val="bottom"/>
          </w:tcPr>
          <w:p>
            <w:pPr>
              <w:spacing w:after="0"/>
              <w:rPr>
                <w:sz w:val="16"/>
                <w:szCs w:val="16"/>
                <w:color w:val="auto"/>
              </w:rPr>
            </w:pPr>
          </w:p>
        </w:tc>
        <w:tc>
          <w:tcPr>
            <w:tcW w:w="2880" w:type="dxa"/>
            <w:vAlign w:val="bottom"/>
          </w:tcPr>
          <w:p>
            <w:pPr>
              <w:jc w:val="center"/>
              <w:ind w:left="919"/>
              <w:spacing w:after="0" w:line="193" w:lineRule="exact"/>
              <w:rPr>
                <w:sz w:val="20"/>
                <w:szCs w:val="20"/>
                <w:color w:val="auto"/>
              </w:rPr>
            </w:pPr>
            <w:r>
              <w:rPr>
                <w:rFonts w:ascii="Calibri" w:cs="Calibri" w:eastAsia="Calibri" w:hAnsi="Calibri"/>
                <w:sz w:val="16"/>
                <w:szCs w:val="16"/>
                <w:b w:val="1"/>
                <w:bCs w:val="1"/>
                <w:color w:val="auto"/>
              </w:rPr>
              <w:t>Optons</w:t>
            </w:r>
          </w:p>
        </w:tc>
        <w:tc>
          <w:tcPr>
            <w:tcW w:w="2120" w:type="dxa"/>
            <w:vAlign w:val="bottom"/>
          </w:tcPr>
          <w:p>
            <w:pPr>
              <w:jc w:val="right"/>
              <w:ind w:right="1019"/>
              <w:spacing w:after="0" w:line="193" w:lineRule="exact"/>
              <w:rPr>
                <w:sz w:val="20"/>
                <w:szCs w:val="20"/>
                <w:color w:val="auto"/>
              </w:rPr>
            </w:pPr>
            <w:r>
              <w:rPr>
                <w:rFonts w:ascii="Calibri" w:cs="Calibri" w:eastAsia="Calibri" w:hAnsi="Calibri"/>
                <w:sz w:val="16"/>
                <w:szCs w:val="16"/>
                <w:b w:val="1"/>
                <w:bCs w:val="1"/>
                <w:color w:val="auto"/>
              </w:rPr>
              <w:t>RSUs</w:t>
            </w:r>
          </w:p>
        </w:tc>
        <w:tc>
          <w:tcPr>
            <w:tcW w:w="1820" w:type="dxa"/>
            <w:vAlign w:val="bottom"/>
          </w:tcPr>
          <w:p>
            <w:pPr>
              <w:jc w:val="right"/>
              <w:ind w:right="999"/>
              <w:spacing w:after="0" w:line="193" w:lineRule="exact"/>
              <w:rPr>
                <w:sz w:val="20"/>
                <w:szCs w:val="20"/>
                <w:color w:val="auto"/>
              </w:rPr>
            </w:pPr>
            <w:r>
              <w:rPr>
                <w:rFonts w:ascii="Calibri" w:cs="Calibri" w:eastAsia="Calibri" w:hAnsi="Calibri"/>
                <w:sz w:val="16"/>
                <w:szCs w:val="16"/>
                <w:b w:val="1"/>
                <w:bCs w:val="1"/>
                <w:color w:val="auto"/>
              </w:rPr>
              <w:t>PSU</w:t>
            </w:r>
          </w:p>
        </w:tc>
        <w:tc>
          <w:tcPr>
            <w:tcW w:w="1520" w:type="dxa"/>
            <w:vAlign w:val="bottom"/>
          </w:tcPr>
          <w:p>
            <w:pPr>
              <w:jc w:val="right"/>
              <w:ind w:right="659"/>
              <w:spacing w:after="0" w:line="193" w:lineRule="exact"/>
              <w:rPr>
                <w:sz w:val="20"/>
                <w:szCs w:val="20"/>
                <w:color w:val="auto"/>
              </w:rPr>
            </w:pPr>
            <w:r>
              <w:rPr>
                <w:rFonts w:ascii="Calibri" w:cs="Calibri" w:eastAsia="Calibri" w:hAnsi="Calibri"/>
                <w:sz w:val="16"/>
                <w:szCs w:val="16"/>
                <w:b w:val="1"/>
                <w:bCs w:val="1"/>
                <w:color w:val="auto"/>
              </w:rPr>
              <w:t>Total</w:t>
            </w:r>
          </w:p>
        </w:tc>
      </w:tr>
      <w:tr>
        <w:trPr>
          <w:trHeight w:val="203"/>
        </w:trPr>
        <w:tc>
          <w:tcPr>
            <w:tcW w:w="2900" w:type="dxa"/>
            <w:vAlign w:val="bottom"/>
          </w:tcPr>
          <w:p>
            <w:pPr>
              <w:ind w:left="20"/>
              <w:spacing w:after="0"/>
              <w:rPr>
                <w:sz w:val="20"/>
                <w:szCs w:val="20"/>
                <w:color w:val="auto"/>
              </w:rPr>
            </w:pPr>
            <w:r>
              <w:rPr>
                <w:rFonts w:ascii="Calibri" w:cs="Calibri" w:eastAsia="Calibri" w:hAnsi="Calibri"/>
                <w:sz w:val="16"/>
                <w:szCs w:val="16"/>
                <w:b w:val="1"/>
                <w:bCs w:val="1"/>
                <w:color w:val="auto"/>
              </w:rPr>
              <w:t>Name</w:t>
            </w:r>
          </w:p>
        </w:tc>
        <w:tc>
          <w:tcPr>
            <w:tcW w:w="2880" w:type="dxa"/>
            <w:vAlign w:val="bottom"/>
          </w:tcPr>
          <w:p>
            <w:pPr>
              <w:jc w:val="center"/>
              <w:ind w:left="939"/>
              <w:spacing w:after="0"/>
              <w:rPr>
                <w:sz w:val="20"/>
                <w:szCs w:val="20"/>
                <w:color w:val="auto"/>
              </w:rPr>
            </w:pPr>
            <w:r>
              <w:rPr>
                <w:rFonts w:ascii="Calibri" w:cs="Calibri" w:eastAsia="Calibri" w:hAnsi="Calibri"/>
                <w:sz w:val="16"/>
                <w:szCs w:val="16"/>
                <w:b w:val="1"/>
                <w:bCs w:val="1"/>
                <w:color w:val="auto"/>
                <w:w w:val="99"/>
              </w:rPr>
              <w:t>(#)</w:t>
            </w:r>
          </w:p>
        </w:tc>
        <w:tc>
          <w:tcPr>
            <w:tcW w:w="2120" w:type="dxa"/>
            <w:vAlign w:val="bottom"/>
          </w:tcPr>
          <w:p>
            <w:pPr>
              <w:jc w:val="right"/>
              <w:ind w:right="1099"/>
              <w:spacing w:after="0"/>
              <w:rPr>
                <w:sz w:val="20"/>
                <w:szCs w:val="20"/>
                <w:color w:val="auto"/>
              </w:rPr>
            </w:pPr>
            <w:r>
              <w:rPr>
                <w:rFonts w:ascii="Calibri" w:cs="Calibri" w:eastAsia="Calibri" w:hAnsi="Calibri"/>
                <w:sz w:val="16"/>
                <w:szCs w:val="16"/>
                <w:b w:val="1"/>
                <w:bCs w:val="1"/>
                <w:color w:val="auto"/>
              </w:rPr>
              <w:t>(#)</w:t>
            </w:r>
          </w:p>
        </w:tc>
        <w:tc>
          <w:tcPr>
            <w:tcW w:w="1820" w:type="dxa"/>
            <w:vAlign w:val="bottom"/>
          </w:tcPr>
          <w:p>
            <w:pPr>
              <w:jc w:val="right"/>
              <w:ind w:right="1039"/>
              <w:spacing w:after="0"/>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ind w:right="739"/>
              <w:spacing w:after="0"/>
              <w:rPr>
                <w:sz w:val="20"/>
                <w:szCs w:val="20"/>
                <w:color w:val="auto"/>
              </w:rPr>
            </w:pPr>
            <w:r>
              <w:rPr>
                <w:rFonts w:ascii="Calibri" w:cs="Calibri" w:eastAsia="Calibri" w:hAnsi="Calibri"/>
                <w:sz w:val="16"/>
                <w:szCs w:val="16"/>
                <w:b w:val="1"/>
                <w:bCs w:val="1"/>
                <w:color w:val="auto"/>
              </w:rPr>
              <w:t>(#)</w:t>
            </w:r>
          </w:p>
        </w:tc>
      </w:tr>
      <w:tr>
        <w:trPr>
          <w:trHeight w:val="48"/>
        </w:trPr>
        <w:tc>
          <w:tcPr>
            <w:tcW w:w="2900" w:type="dxa"/>
            <w:vAlign w:val="bottom"/>
            <w:tcBorders>
              <w:bottom w:val="single" w:sz="8" w:color="005CA9"/>
            </w:tcBorders>
          </w:tcPr>
          <w:p>
            <w:pPr>
              <w:spacing w:after="0"/>
              <w:rPr>
                <w:sz w:val="4"/>
                <w:szCs w:val="4"/>
                <w:color w:val="auto"/>
              </w:rPr>
            </w:pPr>
          </w:p>
        </w:tc>
        <w:tc>
          <w:tcPr>
            <w:tcW w:w="2880" w:type="dxa"/>
            <w:vAlign w:val="bottom"/>
            <w:tcBorders>
              <w:bottom w:val="single" w:sz="8" w:color="005CA9"/>
            </w:tcBorders>
          </w:tcPr>
          <w:p>
            <w:pPr>
              <w:spacing w:after="0"/>
              <w:rPr>
                <w:sz w:val="4"/>
                <w:szCs w:val="4"/>
                <w:color w:val="auto"/>
              </w:rPr>
            </w:pPr>
          </w:p>
        </w:tc>
        <w:tc>
          <w:tcPr>
            <w:tcW w:w="2120" w:type="dxa"/>
            <w:vAlign w:val="bottom"/>
            <w:tcBorders>
              <w:bottom w:val="single" w:sz="8" w:color="005CA9"/>
            </w:tcBorders>
          </w:tcPr>
          <w:p>
            <w:pPr>
              <w:spacing w:after="0"/>
              <w:rPr>
                <w:sz w:val="4"/>
                <w:szCs w:val="4"/>
                <w:color w:val="auto"/>
              </w:rPr>
            </w:pPr>
          </w:p>
        </w:tc>
        <w:tc>
          <w:tcPr>
            <w:tcW w:w="1820" w:type="dxa"/>
            <w:vAlign w:val="bottom"/>
            <w:tcBorders>
              <w:bottom w:val="single" w:sz="8" w:color="005CA9"/>
            </w:tcBorders>
          </w:tcPr>
          <w:p>
            <w:pPr>
              <w:spacing w:after="0"/>
              <w:rPr>
                <w:sz w:val="4"/>
                <w:szCs w:val="4"/>
                <w:color w:val="auto"/>
              </w:rPr>
            </w:pPr>
          </w:p>
        </w:tc>
        <w:tc>
          <w:tcPr>
            <w:tcW w:w="1520" w:type="dxa"/>
            <w:vAlign w:val="bottom"/>
            <w:tcBorders>
              <w:bottom w:val="single" w:sz="8" w:color="005CA9"/>
            </w:tcBorders>
          </w:tcPr>
          <w:p>
            <w:pPr>
              <w:spacing w:after="0"/>
              <w:rPr>
                <w:sz w:val="4"/>
                <w:szCs w:val="4"/>
                <w:color w:val="auto"/>
              </w:rPr>
            </w:pPr>
          </w:p>
        </w:tc>
      </w:tr>
      <w:tr>
        <w:trPr>
          <w:trHeight w:val="203"/>
        </w:trPr>
        <w:tc>
          <w:tcPr>
            <w:tcW w:w="290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Dr. Keh-Shew Lu</w:t>
            </w:r>
          </w:p>
        </w:tc>
        <w:tc>
          <w:tcPr>
            <w:tcW w:w="2880" w:type="dxa"/>
            <w:vAlign w:val="bottom"/>
            <w:shd w:val="clear" w:color="auto" w:fill="CFF0FC"/>
          </w:tcPr>
          <w:p>
            <w:pPr>
              <w:jc w:val="center"/>
              <w:ind w:left="919"/>
              <w:spacing w:after="0" w:line="193" w:lineRule="exact"/>
              <w:rPr>
                <w:sz w:val="20"/>
                <w:szCs w:val="20"/>
                <w:color w:val="auto"/>
              </w:rPr>
            </w:pPr>
            <w:r>
              <w:rPr>
                <w:rFonts w:ascii="Calibri" w:cs="Calibri" w:eastAsia="Calibri" w:hAnsi="Calibri"/>
                <w:sz w:val="16"/>
                <w:szCs w:val="16"/>
                <w:color w:val="auto"/>
              </w:rPr>
              <w:t>—</w:t>
            </w:r>
          </w:p>
        </w:tc>
        <w:tc>
          <w:tcPr>
            <w:tcW w:w="2120" w:type="dxa"/>
            <w:vAlign w:val="bottom"/>
            <w:shd w:val="clear" w:color="auto" w:fill="CFF0FC"/>
          </w:tcPr>
          <w:p>
            <w:pPr>
              <w:jc w:val="right"/>
              <w:ind w:right="379"/>
              <w:spacing w:after="0" w:line="193" w:lineRule="exact"/>
              <w:rPr>
                <w:sz w:val="20"/>
                <w:szCs w:val="20"/>
                <w:color w:val="auto"/>
              </w:rPr>
            </w:pPr>
            <w:r>
              <w:rPr>
                <w:rFonts w:ascii="Calibri" w:cs="Calibri" w:eastAsia="Calibri" w:hAnsi="Calibri"/>
                <w:sz w:val="16"/>
                <w:szCs w:val="16"/>
                <w:color w:val="auto"/>
              </w:rPr>
              <w:t>94,750</w:t>
            </w:r>
          </w:p>
        </w:tc>
        <w:tc>
          <w:tcPr>
            <w:tcW w:w="1820" w:type="dxa"/>
            <w:vAlign w:val="bottom"/>
            <w:shd w:val="clear" w:color="auto" w:fill="CFF0FC"/>
          </w:tcPr>
          <w:p>
            <w:pPr>
              <w:jc w:val="right"/>
              <w:ind w:right="359"/>
              <w:spacing w:after="0" w:line="193" w:lineRule="exact"/>
              <w:rPr>
                <w:sz w:val="20"/>
                <w:szCs w:val="20"/>
                <w:color w:val="auto"/>
              </w:rPr>
            </w:pPr>
            <w:r>
              <w:rPr>
                <w:rFonts w:ascii="Calibri" w:cs="Calibri" w:eastAsia="Calibri" w:hAnsi="Calibri"/>
                <w:sz w:val="16"/>
                <w:szCs w:val="16"/>
                <w:color w:val="auto"/>
              </w:rPr>
              <w:t>99,000</w:t>
            </w:r>
          </w:p>
        </w:tc>
        <w:tc>
          <w:tcPr>
            <w:tcW w:w="1520" w:type="dxa"/>
            <w:vAlign w:val="bottom"/>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193,750</w:t>
            </w:r>
          </w:p>
        </w:tc>
      </w:tr>
      <w:tr>
        <w:trPr>
          <w:trHeight w:val="198"/>
        </w:trPr>
        <w:tc>
          <w:tcPr>
            <w:tcW w:w="29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Bret R. Whitmire</w:t>
            </w:r>
          </w:p>
        </w:tc>
        <w:tc>
          <w:tcPr>
            <w:tcW w:w="2880" w:type="dxa"/>
            <w:vAlign w:val="bottom"/>
          </w:tcPr>
          <w:p>
            <w:pPr>
              <w:jc w:val="center"/>
              <w:ind w:left="919"/>
              <w:spacing w:after="0" w:line="193" w:lineRule="exact"/>
              <w:rPr>
                <w:sz w:val="20"/>
                <w:szCs w:val="20"/>
                <w:color w:val="auto"/>
              </w:rPr>
            </w:pPr>
            <w:r>
              <w:rPr>
                <w:rFonts w:ascii="Calibri" w:cs="Calibri" w:eastAsia="Calibri" w:hAnsi="Calibri"/>
                <w:sz w:val="16"/>
                <w:szCs w:val="16"/>
                <w:color w:val="auto"/>
              </w:rPr>
              <w:t>—</w:t>
            </w:r>
          </w:p>
        </w:tc>
        <w:tc>
          <w:tcPr>
            <w:tcW w:w="2120" w:type="dxa"/>
            <w:vAlign w:val="bottom"/>
          </w:tcPr>
          <w:p>
            <w:pPr>
              <w:jc w:val="right"/>
              <w:ind w:right="379"/>
              <w:spacing w:after="0" w:line="193" w:lineRule="exact"/>
              <w:rPr>
                <w:sz w:val="20"/>
                <w:szCs w:val="20"/>
                <w:color w:val="auto"/>
              </w:rPr>
            </w:pPr>
            <w:r>
              <w:rPr>
                <w:rFonts w:ascii="Calibri" w:cs="Calibri" w:eastAsia="Calibri" w:hAnsi="Calibri"/>
                <w:sz w:val="16"/>
                <w:szCs w:val="16"/>
                <w:color w:val="auto"/>
              </w:rPr>
              <w:t>18,550</w:t>
            </w:r>
          </w:p>
        </w:tc>
        <w:tc>
          <w:tcPr>
            <w:tcW w:w="1820" w:type="dxa"/>
            <w:vAlign w:val="bottom"/>
          </w:tcPr>
          <w:p>
            <w:pPr>
              <w:jc w:val="right"/>
              <w:ind w:right="359"/>
              <w:spacing w:after="0" w:line="193" w:lineRule="exact"/>
              <w:rPr>
                <w:sz w:val="20"/>
                <w:szCs w:val="20"/>
                <w:color w:val="auto"/>
              </w:rPr>
            </w:pPr>
            <w:r>
              <w:rPr>
                <w:rFonts w:ascii="Calibri" w:cs="Calibri" w:eastAsia="Calibri" w:hAnsi="Calibri"/>
                <w:sz w:val="16"/>
                <w:szCs w:val="16"/>
                <w:color w:val="auto"/>
              </w:rPr>
              <w:t>22,700</w:t>
            </w:r>
          </w:p>
        </w:tc>
        <w:tc>
          <w:tcPr>
            <w:tcW w:w="15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41,250</w:t>
            </w:r>
          </w:p>
        </w:tc>
      </w:tr>
      <w:tr>
        <w:trPr>
          <w:trHeight w:val="207"/>
        </w:trPr>
        <w:tc>
          <w:tcPr>
            <w:tcW w:w="2900" w:type="dxa"/>
            <w:vAlign w:val="bottom"/>
            <w:shd w:val="clear" w:color="auto" w:fill="CFF0FC"/>
          </w:tcPr>
          <w:p>
            <w:pPr>
              <w:ind w:left="20"/>
              <w:spacing w:after="0"/>
              <w:rPr>
                <w:sz w:val="20"/>
                <w:szCs w:val="20"/>
                <w:color w:val="auto"/>
              </w:rPr>
            </w:pPr>
            <w:r>
              <w:rPr>
                <w:rFonts w:ascii="Calibri" w:cs="Calibri" w:eastAsia="Calibri" w:hAnsi="Calibri"/>
                <w:sz w:val="16"/>
                <w:szCs w:val="16"/>
                <w:b w:val="1"/>
                <w:bCs w:val="1"/>
                <w:color w:val="auto"/>
              </w:rPr>
              <w:t>Gary Yu</w:t>
            </w:r>
          </w:p>
        </w:tc>
        <w:tc>
          <w:tcPr>
            <w:tcW w:w="2880" w:type="dxa"/>
            <w:vAlign w:val="bottom"/>
            <w:shd w:val="clear" w:color="auto" w:fill="CFF0FC"/>
          </w:tcPr>
          <w:p>
            <w:pPr>
              <w:jc w:val="center"/>
              <w:ind w:left="919"/>
              <w:spacing w:after="0"/>
              <w:rPr>
                <w:sz w:val="20"/>
                <w:szCs w:val="20"/>
                <w:color w:val="auto"/>
              </w:rPr>
            </w:pPr>
            <w:r>
              <w:rPr>
                <w:rFonts w:ascii="Calibri" w:cs="Calibri" w:eastAsia="Calibri" w:hAnsi="Calibri"/>
                <w:sz w:val="16"/>
                <w:szCs w:val="16"/>
                <w:color w:val="auto"/>
              </w:rPr>
              <w:t>—</w:t>
            </w:r>
          </w:p>
        </w:tc>
        <w:tc>
          <w:tcPr>
            <w:tcW w:w="2120" w:type="dxa"/>
            <w:vAlign w:val="bottom"/>
            <w:shd w:val="clear" w:color="auto" w:fill="CFF0FC"/>
          </w:tcPr>
          <w:p>
            <w:pPr>
              <w:jc w:val="right"/>
              <w:ind w:right="379"/>
              <w:spacing w:after="0"/>
              <w:rPr>
                <w:sz w:val="20"/>
                <w:szCs w:val="20"/>
                <w:color w:val="auto"/>
              </w:rPr>
            </w:pPr>
            <w:r>
              <w:rPr>
                <w:rFonts w:ascii="Calibri" w:cs="Calibri" w:eastAsia="Calibri" w:hAnsi="Calibri"/>
                <w:sz w:val="16"/>
                <w:szCs w:val="16"/>
                <w:color w:val="auto"/>
              </w:rPr>
              <w:t>41,125</w:t>
            </w:r>
          </w:p>
        </w:tc>
        <w:tc>
          <w:tcPr>
            <w:tcW w:w="1820" w:type="dxa"/>
            <w:vAlign w:val="bottom"/>
            <w:shd w:val="clear" w:color="auto" w:fill="CFF0FC"/>
          </w:tcPr>
          <w:p>
            <w:pPr>
              <w:jc w:val="right"/>
              <w:ind w:right="359"/>
              <w:spacing w:after="0"/>
              <w:rPr>
                <w:sz w:val="20"/>
                <w:szCs w:val="20"/>
                <w:color w:val="auto"/>
              </w:rPr>
            </w:pPr>
            <w:r>
              <w:rPr>
                <w:rFonts w:ascii="Calibri" w:cs="Calibri" w:eastAsia="Calibri" w:hAnsi="Calibri"/>
                <w:sz w:val="16"/>
                <w:szCs w:val="16"/>
                <w:color w:val="auto"/>
              </w:rPr>
              <w:t>43,500</w:t>
            </w:r>
          </w:p>
        </w:tc>
        <w:tc>
          <w:tcPr>
            <w:tcW w:w="1520" w:type="dxa"/>
            <w:vAlign w:val="bottom"/>
            <w:shd w:val="clear" w:color="auto" w:fill="CFF0FC"/>
          </w:tcPr>
          <w:p>
            <w:pPr>
              <w:jc w:val="right"/>
              <w:ind w:right="39"/>
              <w:spacing w:after="0"/>
              <w:rPr>
                <w:sz w:val="20"/>
                <w:szCs w:val="20"/>
                <w:color w:val="auto"/>
              </w:rPr>
            </w:pPr>
            <w:r>
              <w:rPr>
                <w:rFonts w:ascii="Calibri" w:cs="Calibri" w:eastAsia="Calibri" w:hAnsi="Calibri"/>
                <w:sz w:val="16"/>
                <w:szCs w:val="16"/>
                <w:color w:val="auto"/>
              </w:rPr>
              <w:t>84,625</w:t>
            </w:r>
          </w:p>
        </w:tc>
      </w:tr>
      <w:tr>
        <w:trPr>
          <w:trHeight w:val="198"/>
        </w:trPr>
        <w:tc>
          <w:tcPr>
            <w:tcW w:w="29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Francis Tang</w:t>
            </w:r>
          </w:p>
        </w:tc>
        <w:tc>
          <w:tcPr>
            <w:tcW w:w="2880" w:type="dxa"/>
            <w:vAlign w:val="bottom"/>
          </w:tcPr>
          <w:p>
            <w:pPr>
              <w:jc w:val="center"/>
              <w:ind w:left="919"/>
              <w:spacing w:after="0" w:line="193" w:lineRule="exact"/>
              <w:rPr>
                <w:sz w:val="20"/>
                <w:szCs w:val="20"/>
                <w:color w:val="auto"/>
              </w:rPr>
            </w:pPr>
            <w:r>
              <w:rPr>
                <w:rFonts w:ascii="Calibri" w:cs="Calibri" w:eastAsia="Calibri" w:hAnsi="Calibri"/>
                <w:sz w:val="16"/>
                <w:szCs w:val="16"/>
                <w:color w:val="auto"/>
              </w:rPr>
              <w:t>—</w:t>
            </w:r>
          </w:p>
        </w:tc>
        <w:tc>
          <w:tcPr>
            <w:tcW w:w="2120" w:type="dxa"/>
            <w:vAlign w:val="bottom"/>
          </w:tcPr>
          <w:p>
            <w:pPr>
              <w:jc w:val="right"/>
              <w:ind w:right="379"/>
              <w:spacing w:after="0" w:line="193" w:lineRule="exact"/>
              <w:rPr>
                <w:sz w:val="20"/>
                <w:szCs w:val="20"/>
                <w:color w:val="auto"/>
              </w:rPr>
            </w:pPr>
            <w:r>
              <w:rPr>
                <w:rFonts w:ascii="Calibri" w:cs="Calibri" w:eastAsia="Calibri" w:hAnsi="Calibri"/>
                <w:sz w:val="16"/>
                <w:szCs w:val="16"/>
                <w:color w:val="auto"/>
              </w:rPr>
              <w:t>19,650</w:t>
            </w:r>
          </w:p>
        </w:tc>
        <w:tc>
          <w:tcPr>
            <w:tcW w:w="1820" w:type="dxa"/>
            <w:vAlign w:val="bottom"/>
          </w:tcPr>
          <w:p>
            <w:pPr>
              <w:jc w:val="right"/>
              <w:ind w:right="359"/>
              <w:spacing w:after="0" w:line="193" w:lineRule="exact"/>
              <w:rPr>
                <w:sz w:val="20"/>
                <w:szCs w:val="20"/>
                <w:color w:val="auto"/>
              </w:rPr>
            </w:pPr>
            <w:r>
              <w:rPr>
                <w:rFonts w:ascii="Calibri" w:cs="Calibri" w:eastAsia="Calibri" w:hAnsi="Calibri"/>
                <w:sz w:val="16"/>
                <w:szCs w:val="16"/>
                <w:color w:val="auto"/>
              </w:rPr>
              <w:t>23,800</w:t>
            </w:r>
          </w:p>
        </w:tc>
        <w:tc>
          <w:tcPr>
            <w:tcW w:w="15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43,450</w:t>
            </w:r>
          </w:p>
        </w:tc>
      </w:tr>
      <w:tr>
        <w:trPr>
          <w:trHeight w:val="203"/>
        </w:trPr>
        <w:tc>
          <w:tcPr>
            <w:tcW w:w="2900" w:type="dxa"/>
            <w:vAlign w:val="bottom"/>
            <w:tcBorders>
              <w:bottom w:val="single" w:sz="8" w:color="005CA9"/>
            </w:tcBorders>
            <w:shd w:val="clear" w:color="auto" w:fill="CFF0FC"/>
          </w:tcPr>
          <w:p>
            <w:pPr>
              <w:ind w:left="20"/>
              <w:spacing w:after="0"/>
              <w:rPr>
                <w:sz w:val="20"/>
                <w:szCs w:val="20"/>
                <w:color w:val="auto"/>
              </w:rPr>
            </w:pPr>
            <w:r>
              <w:rPr>
                <w:rFonts w:ascii="Calibri" w:cs="Calibri" w:eastAsia="Calibri" w:hAnsi="Calibri"/>
                <w:sz w:val="16"/>
                <w:szCs w:val="16"/>
                <w:b w:val="1"/>
                <w:bCs w:val="1"/>
                <w:color w:val="auto"/>
              </w:rPr>
              <w:t>Emily Yang</w:t>
            </w:r>
          </w:p>
        </w:tc>
        <w:tc>
          <w:tcPr>
            <w:tcW w:w="2880" w:type="dxa"/>
            <w:vAlign w:val="bottom"/>
            <w:tcBorders>
              <w:bottom w:val="single" w:sz="8" w:color="005CA9"/>
            </w:tcBorders>
            <w:shd w:val="clear" w:color="auto" w:fill="CFF0FC"/>
          </w:tcPr>
          <w:p>
            <w:pPr>
              <w:jc w:val="center"/>
              <w:ind w:left="919"/>
              <w:spacing w:after="0"/>
              <w:rPr>
                <w:sz w:val="20"/>
                <w:szCs w:val="20"/>
                <w:color w:val="auto"/>
              </w:rPr>
            </w:pPr>
            <w:r>
              <w:rPr>
                <w:rFonts w:ascii="Calibri" w:cs="Calibri" w:eastAsia="Calibri" w:hAnsi="Calibri"/>
                <w:sz w:val="16"/>
                <w:szCs w:val="16"/>
                <w:color w:val="auto"/>
              </w:rPr>
              <w:t>—</w:t>
            </w:r>
          </w:p>
        </w:tc>
        <w:tc>
          <w:tcPr>
            <w:tcW w:w="2120" w:type="dxa"/>
            <w:vAlign w:val="bottom"/>
            <w:tcBorders>
              <w:bottom w:val="single" w:sz="8" w:color="005CA9"/>
            </w:tcBorders>
            <w:shd w:val="clear" w:color="auto" w:fill="CFF0FC"/>
          </w:tcPr>
          <w:p>
            <w:pPr>
              <w:jc w:val="right"/>
              <w:ind w:right="379"/>
              <w:spacing w:after="0"/>
              <w:rPr>
                <w:sz w:val="20"/>
                <w:szCs w:val="20"/>
                <w:color w:val="auto"/>
              </w:rPr>
            </w:pPr>
            <w:r>
              <w:rPr>
                <w:rFonts w:ascii="Calibri" w:cs="Calibri" w:eastAsia="Calibri" w:hAnsi="Calibri"/>
                <w:sz w:val="16"/>
                <w:szCs w:val="16"/>
                <w:color w:val="auto"/>
              </w:rPr>
              <w:t>18,550</w:t>
            </w:r>
          </w:p>
        </w:tc>
        <w:tc>
          <w:tcPr>
            <w:tcW w:w="1820" w:type="dxa"/>
            <w:vAlign w:val="bottom"/>
            <w:tcBorders>
              <w:bottom w:val="single" w:sz="8" w:color="005CA9"/>
            </w:tcBorders>
            <w:shd w:val="clear" w:color="auto" w:fill="CFF0FC"/>
          </w:tcPr>
          <w:p>
            <w:pPr>
              <w:jc w:val="right"/>
              <w:ind w:right="359"/>
              <w:spacing w:after="0"/>
              <w:rPr>
                <w:sz w:val="20"/>
                <w:szCs w:val="20"/>
                <w:color w:val="auto"/>
              </w:rPr>
            </w:pPr>
            <w:r>
              <w:rPr>
                <w:rFonts w:ascii="Calibri" w:cs="Calibri" w:eastAsia="Calibri" w:hAnsi="Calibri"/>
                <w:sz w:val="16"/>
                <w:szCs w:val="16"/>
                <w:color w:val="auto"/>
              </w:rPr>
              <w:t>22,700</w:t>
            </w:r>
          </w:p>
        </w:tc>
        <w:tc>
          <w:tcPr>
            <w:tcW w:w="1520" w:type="dxa"/>
            <w:vAlign w:val="bottom"/>
            <w:tcBorders>
              <w:bottom w:val="single" w:sz="8" w:color="005CA9"/>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41,250</w:t>
            </w:r>
          </w:p>
        </w:tc>
      </w:tr>
    </w:tbl>
    <w:p>
      <w:pPr>
        <w:spacing w:after="0" w:line="13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005CA9"/>
        </w:rPr>
        <w:t>Pay versus Performance Disclosure</w:t>
      </w:r>
    </w:p>
    <w:p>
      <w:pPr>
        <w:spacing w:after="0" w:line="1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We are required by SEC rules to disclose the following informaton regarding compensaton paid to our NEOs (including our principal executve ofcer (“PEO”), also referred to herein as our “CEO”) as compared to the Company's performance. The amounts set forth below under the headings “Compensaton Actually Paid to PEO” and “Average Compensaton Actually Paid to Non-PEO NEOs” have been calculated in a manner consistent with Item 402(v) of Regulaton S-K. Footnotes (2) and (3) below discuss the adjustments from the Total Compensaton for each NEO reported in the Summary Compensaton Table above to derive the "compensaton actually paid" ("CAP") to each NEO. The following table sets forth additonal compensaton informaton of our PEO and our non-PEO NEOs along with total shareholder return ("TSR"), net income, and net sales performance results for fscal years 2020, 2021, 2022, 2023, and 2024:</w:t>
      </w:r>
    </w:p>
    <w:p>
      <w:pPr>
        <w:spacing w:after="0" w:line="144" w:lineRule="exact"/>
        <w:rPr>
          <w:sz w:val="20"/>
          <w:szCs w:val="20"/>
          <w:color w:val="auto"/>
        </w:rPr>
      </w:pPr>
    </w:p>
    <w:p>
      <w:pPr>
        <w:jc w:val="center"/>
        <w:ind w:right="100"/>
        <w:spacing w:after="0"/>
        <w:rPr>
          <w:sz w:val="20"/>
          <w:szCs w:val="20"/>
          <w:color w:val="auto"/>
        </w:rPr>
      </w:pPr>
      <w:r>
        <w:rPr>
          <w:rFonts w:ascii="Calibri" w:cs="Calibri" w:eastAsia="Calibri" w:hAnsi="Calibri"/>
          <w:sz w:val="14"/>
          <w:szCs w:val="14"/>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right"/>
              <w:ind w:right="288"/>
              <w:spacing w:after="0"/>
              <w:rPr>
                <w:sz w:val="20"/>
                <w:szCs w:val="20"/>
                <w:color w:val="auto"/>
              </w:rPr>
            </w:pPr>
            <w:r>
              <w:rPr>
                <w:rFonts w:ascii="Calibri" w:cs="Calibri" w:eastAsia="Calibri" w:hAnsi="Calibri"/>
                <w:sz w:val="14"/>
                <w:szCs w:val="14"/>
                <w:b w:val="1"/>
                <w:bCs w:val="1"/>
                <w:color w:val="auto"/>
              </w:rPr>
              <w:t>Value of Inital Fixed $100</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3"/>
          </w:tcPr>
          <w:p>
            <w:pPr>
              <w:jc w:val="right"/>
              <w:ind w:right="388"/>
              <w:spacing w:after="0"/>
              <w:rPr>
                <w:sz w:val="20"/>
                <w:szCs w:val="20"/>
                <w:color w:val="auto"/>
              </w:rPr>
            </w:pPr>
            <w:r>
              <w:rPr>
                <w:rFonts w:ascii="Calibri" w:cs="Calibri" w:eastAsia="Calibri" w:hAnsi="Calibri"/>
                <w:sz w:val="14"/>
                <w:szCs w:val="14"/>
                <w:b w:val="1"/>
                <w:bCs w:val="1"/>
                <w:color w:val="auto"/>
              </w:rPr>
              <w:t>Investment Based On:</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40"/>
        </w:trPr>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Borders>
              <w:bottom w:val="single" w:sz="8" w:color="005CA9"/>
            </w:tcBorders>
          </w:tcPr>
          <w:p>
            <w:pPr>
              <w:spacing w:after="0"/>
              <w:rPr>
                <w:sz w:val="3"/>
                <w:szCs w:val="3"/>
                <w:color w:val="auto"/>
              </w:rPr>
            </w:pPr>
          </w:p>
        </w:tc>
        <w:tc>
          <w:tcPr>
            <w:tcW w:w="940" w:type="dxa"/>
            <w:vAlign w:val="bottom"/>
            <w:tcBorders>
              <w:bottom w:val="single" w:sz="8" w:color="005CA9"/>
            </w:tcBorders>
          </w:tcPr>
          <w:p>
            <w:pPr>
              <w:spacing w:after="0"/>
              <w:rPr>
                <w:sz w:val="3"/>
                <w:szCs w:val="3"/>
                <w:color w:val="auto"/>
              </w:rPr>
            </w:pPr>
          </w:p>
        </w:tc>
        <w:tc>
          <w:tcPr>
            <w:tcW w:w="160" w:type="dxa"/>
            <w:vAlign w:val="bottom"/>
            <w:tcBorders>
              <w:bottom w:val="single" w:sz="8" w:color="005CA9"/>
            </w:tcBorders>
          </w:tcPr>
          <w:p>
            <w:pPr>
              <w:spacing w:after="0"/>
              <w:rPr>
                <w:sz w:val="3"/>
                <w:szCs w:val="3"/>
                <w:color w:val="auto"/>
              </w:rPr>
            </w:pPr>
          </w:p>
        </w:tc>
        <w:tc>
          <w:tcPr>
            <w:tcW w:w="960" w:type="dxa"/>
            <w:vAlign w:val="bottom"/>
            <w:tcBorders>
              <w:bottom w:val="single" w:sz="8" w:color="005CA9"/>
            </w:tcBorders>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1"/>
        </w:trPr>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68"/>
              <w:spacing w:after="0" w:line="161" w:lineRule="exact"/>
              <w:rPr>
                <w:sz w:val="20"/>
                <w:szCs w:val="20"/>
                <w:color w:val="auto"/>
              </w:rPr>
            </w:pPr>
            <w:r>
              <w:rPr>
                <w:rFonts w:ascii="Calibri" w:cs="Calibri" w:eastAsia="Calibri" w:hAnsi="Calibri"/>
                <w:sz w:val="14"/>
                <w:szCs w:val="14"/>
                <w:b w:val="1"/>
                <w:bCs w:val="1"/>
                <w:color w:val="auto"/>
              </w:rPr>
              <w:t>Peer Group</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88"/>
              <w:spacing w:after="0"/>
              <w:rPr>
                <w:sz w:val="20"/>
                <w:szCs w:val="20"/>
                <w:color w:val="auto"/>
              </w:rPr>
            </w:pPr>
            <w:r>
              <w:rPr>
                <w:rFonts w:ascii="Calibri" w:cs="Calibri" w:eastAsia="Calibri" w:hAnsi="Calibri"/>
                <w:sz w:val="14"/>
                <w:szCs w:val="14"/>
                <w:b w:val="1"/>
                <w:bCs w:val="1"/>
                <w:color w:val="auto"/>
              </w:rPr>
              <w:t>Summary</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128"/>
              <w:spacing w:after="0"/>
              <w:rPr>
                <w:sz w:val="20"/>
                <w:szCs w:val="20"/>
                <w:color w:val="auto"/>
              </w:rPr>
            </w:pPr>
            <w:r>
              <w:rPr>
                <w:rFonts w:ascii="Calibri" w:cs="Calibri" w:eastAsia="Calibri" w:hAnsi="Calibri"/>
                <w:sz w:val="14"/>
                <w:szCs w:val="14"/>
                <w:b w:val="1"/>
                <w:bCs w:val="1"/>
                <w:color w:val="auto"/>
              </w:rPr>
              <w:t>Average Summary</w:t>
            </w:r>
          </w:p>
        </w:tc>
        <w:tc>
          <w:tcPr>
            <w:tcW w:w="160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Average Compensaton</w:t>
            </w:r>
          </w:p>
        </w:tc>
        <w:tc>
          <w:tcPr>
            <w:tcW w:w="10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Calibri" w:cs="Calibri" w:eastAsia="Calibri" w:hAnsi="Calibri"/>
                <w:sz w:val="14"/>
                <w:szCs w:val="14"/>
                <w:b w:val="1"/>
                <w:bCs w:val="1"/>
                <w:color w:val="auto"/>
              </w:rPr>
              <w:t>Total</w:t>
            </w:r>
          </w:p>
        </w:tc>
        <w:tc>
          <w:tcPr>
            <w:tcW w:w="160" w:type="dxa"/>
            <w:vAlign w:val="bottom"/>
          </w:tcPr>
          <w:p>
            <w:pPr>
              <w:spacing w:after="0"/>
              <w:rPr>
                <w:sz w:val="14"/>
                <w:szCs w:val="14"/>
                <w:color w:val="auto"/>
              </w:rPr>
            </w:pPr>
          </w:p>
        </w:tc>
        <w:tc>
          <w:tcPr>
            <w:tcW w:w="960" w:type="dxa"/>
            <w:vAlign w:val="bottom"/>
          </w:tcPr>
          <w:p>
            <w:pPr>
              <w:jc w:val="center"/>
              <w:ind w:right="148"/>
              <w:spacing w:after="0"/>
              <w:rPr>
                <w:sz w:val="20"/>
                <w:szCs w:val="20"/>
                <w:color w:val="auto"/>
              </w:rPr>
            </w:pPr>
            <w:r>
              <w:rPr>
                <w:rFonts w:ascii="Calibri" w:cs="Calibri" w:eastAsia="Calibri" w:hAnsi="Calibri"/>
                <w:sz w:val="14"/>
                <w:szCs w:val="14"/>
                <w:b w:val="1"/>
                <w:bCs w:val="1"/>
                <w:color w:val="auto"/>
              </w:rPr>
              <w:t>Total</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54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Compensaton Table</w:t>
            </w:r>
          </w:p>
        </w:tc>
        <w:tc>
          <w:tcPr>
            <w:tcW w:w="200" w:type="dxa"/>
            <w:vAlign w:val="bottom"/>
          </w:tcPr>
          <w:p>
            <w:pPr>
              <w:spacing w:after="0"/>
              <w:rPr>
                <w:sz w:val="15"/>
                <w:szCs w:val="15"/>
                <w:color w:val="auto"/>
              </w:rPr>
            </w:pPr>
          </w:p>
        </w:tc>
        <w:tc>
          <w:tcPr>
            <w:tcW w:w="1280" w:type="dxa"/>
            <w:vAlign w:val="bottom"/>
          </w:tcPr>
          <w:p>
            <w:pPr>
              <w:jc w:val="center"/>
              <w:ind w:right="208"/>
              <w:spacing w:after="0"/>
              <w:rPr>
                <w:sz w:val="20"/>
                <w:szCs w:val="20"/>
                <w:color w:val="auto"/>
              </w:rPr>
            </w:pPr>
            <w:r>
              <w:rPr>
                <w:rFonts w:ascii="Calibri" w:cs="Calibri" w:eastAsia="Calibri" w:hAnsi="Calibri"/>
                <w:sz w:val="14"/>
                <w:szCs w:val="14"/>
                <w:b w:val="1"/>
                <w:bCs w:val="1"/>
                <w:color w:val="auto"/>
              </w:rPr>
              <w:t>Compensaton</w:t>
            </w:r>
          </w:p>
        </w:tc>
        <w:tc>
          <w:tcPr>
            <w:tcW w:w="120" w:type="dxa"/>
            <w:vAlign w:val="bottom"/>
          </w:tcPr>
          <w:p>
            <w:pPr>
              <w:spacing w:after="0"/>
              <w:rPr>
                <w:sz w:val="15"/>
                <w:szCs w:val="15"/>
                <w:color w:val="auto"/>
              </w:rPr>
            </w:pPr>
          </w:p>
        </w:tc>
        <w:tc>
          <w:tcPr>
            <w:tcW w:w="1960" w:type="dxa"/>
            <w:vAlign w:val="bottom"/>
          </w:tcPr>
          <w:p>
            <w:pPr>
              <w:jc w:val="center"/>
              <w:ind w:right="108"/>
              <w:spacing w:after="0"/>
              <w:rPr>
                <w:sz w:val="20"/>
                <w:szCs w:val="20"/>
                <w:color w:val="auto"/>
              </w:rPr>
            </w:pPr>
            <w:r>
              <w:rPr>
                <w:rFonts w:ascii="Calibri" w:cs="Calibri" w:eastAsia="Calibri" w:hAnsi="Calibri"/>
                <w:sz w:val="14"/>
                <w:szCs w:val="14"/>
                <w:b w:val="1"/>
                <w:bCs w:val="1"/>
                <w:color w:val="auto"/>
              </w:rPr>
              <w:t>Compensaton</w:t>
            </w:r>
          </w:p>
        </w:tc>
        <w:tc>
          <w:tcPr>
            <w:tcW w:w="140" w:type="dxa"/>
            <w:vAlign w:val="bottom"/>
          </w:tcPr>
          <w:p>
            <w:pPr>
              <w:spacing w:after="0"/>
              <w:rPr>
                <w:sz w:val="15"/>
                <w:szCs w:val="15"/>
                <w:color w:val="auto"/>
              </w:rPr>
            </w:pPr>
          </w:p>
        </w:tc>
        <w:tc>
          <w:tcPr>
            <w:tcW w:w="1460" w:type="dxa"/>
            <w:vAlign w:val="bottom"/>
          </w:tcPr>
          <w:p>
            <w:pPr>
              <w:jc w:val="center"/>
              <w:ind w:right="108"/>
              <w:spacing w:after="0"/>
              <w:rPr>
                <w:sz w:val="20"/>
                <w:szCs w:val="20"/>
                <w:color w:val="auto"/>
              </w:rPr>
            </w:pPr>
            <w:r>
              <w:rPr>
                <w:rFonts w:ascii="Calibri" w:cs="Calibri" w:eastAsia="Calibri" w:hAnsi="Calibri"/>
                <w:sz w:val="14"/>
                <w:szCs w:val="14"/>
                <w:b w:val="1"/>
                <w:bCs w:val="1"/>
                <w:color w:val="auto"/>
              </w:rPr>
              <w:t>Actually Paid to Non-</w:t>
            </w:r>
          </w:p>
        </w:tc>
        <w:tc>
          <w:tcPr>
            <w:tcW w:w="100" w:type="dxa"/>
            <w:vAlign w:val="bottom"/>
          </w:tcPr>
          <w:p>
            <w:pPr>
              <w:spacing w:after="0"/>
              <w:rPr>
                <w:sz w:val="15"/>
                <w:szCs w:val="15"/>
                <w:color w:val="auto"/>
              </w:rPr>
            </w:pPr>
          </w:p>
        </w:tc>
        <w:tc>
          <w:tcPr>
            <w:tcW w:w="940" w:type="dxa"/>
            <w:vAlign w:val="bottom"/>
          </w:tcPr>
          <w:p>
            <w:pPr>
              <w:jc w:val="center"/>
              <w:ind w:right="88"/>
              <w:spacing w:after="0"/>
              <w:rPr>
                <w:sz w:val="20"/>
                <w:szCs w:val="20"/>
                <w:color w:val="auto"/>
              </w:rPr>
            </w:pPr>
            <w:r>
              <w:rPr>
                <w:rFonts w:ascii="Calibri" w:cs="Calibri" w:eastAsia="Calibri" w:hAnsi="Calibri"/>
                <w:sz w:val="14"/>
                <w:szCs w:val="14"/>
                <w:b w:val="1"/>
                <w:bCs w:val="1"/>
                <w:color w:val="auto"/>
              </w:rPr>
              <w:t>Shareholder</w:t>
            </w:r>
          </w:p>
        </w:tc>
        <w:tc>
          <w:tcPr>
            <w:tcW w:w="160" w:type="dxa"/>
            <w:vAlign w:val="bottom"/>
          </w:tcPr>
          <w:p>
            <w:pPr>
              <w:spacing w:after="0"/>
              <w:rPr>
                <w:sz w:val="15"/>
                <w:szCs w:val="15"/>
                <w:color w:val="auto"/>
              </w:rPr>
            </w:pPr>
          </w:p>
        </w:tc>
        <w:tc>
          <w:tcPr>
            <w:tcW w:w="960" w:type="dxa"/>
            <w:vAlign w:val="bottom"/>
          </w:tcPr>
          <w:p>
            <w:pPr>
              <w:jc w:val="center"/>
              <w:ind w:right="148"/>
              <w:spacing w:after="0"/>
              <w:rPr>
                <w:sz w:val="20"/>
                <w:szCs w:val="20"/>
                <w:color w:val="auto"/>
              </w:rPr>
            </w:pPr>
            <w:r>
              <w:rPr>
                <w:rFonts w:ascii="Calibri" w:cs="Calibri" w:eastAsia="Calibri" w:hAnsi="Calibri"/>
                <w:sz w:val="14"/>
                <w:szCs w:val="14"/>
                <w:b w:val="1"/>
                <w:bCs w:val="1"/>
                <w:color w:val="auto"/>
              </w:rPr>
              <w:t>Shareholder</w:t>
            </w:r>
          </w:p>
        </w:tc>
        <w:tc>
          <w:tcPr>
            <w:tcW w:w="84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Net Income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54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Year</w:t>
            </w:r>
          </w:p>
        </w:tc>
        <w:tc>
          <w:tcPr>
            <w:tcW w:w="240" w:type="dxa"/>
            <w:vAlign w:val="bottom"/>
          </w:tcPr>
          <w:p>
            <w:pPr>
              <w:spacing w:after="0"/>
              <w:rPr>
                <w:sz w:val="17"/>
                <w:szCs w:val="17"/>
                <w:color w:val="auto"/>
              </w:rPr>
            </w:pPr>
          </w:p>
        </w:tc>
        <w:tc>
          <w:tcPr>
            <w:tcW w:w="1160" w:type="dxa"/>
            <w:vAlign w:val="bottom"/>
          </w:tcPr>
          <w:p>
            <w:pPr>
              <w:jc w:val="center"/>
              <w:ind w:right="168"/>
              <w:spacing w:after="0"/>
              <w:rPr>
                <w:sz w:val="20"/>
                <w:szCs w:val="20"/>
                <w:color w:val="auto"/>
              </w:rPr>
            </w:pPr>
            <w:r>
              <w:rPr>
                <w:rFonts w:ascii="Calibri" w:cs="Calibri" w:eastAsia="Calibri" w:hAnsi="Calibri"/>
                <w:sz w:val="14"/>
                <w:szCs w:val="14"/>
                <w:b w:val="1"/>
                <w:bCs w:val="1"/>
                <w:color w:val="auto"/>
              </w:rPr>
              <w:t>Total for PEO</w:t>
            </w:r>
          </w:p>
        </w:tc>
        <w:tc>
          <w:tcPr>
            <w:tcW w:w="148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Actually Paid to PEO</w:t>
            </w:r>
          </w:p>
        </w:tc>
        <w:tc>
          <w:tcPr>
            <w:tcW w:w="120" w:type="dxa"/>
            <w:vAlign w:val="bottom"/>
          </w:tcPr>
          <w:p>
            <w:pPr>
              <w:spacing w:after="0"/>
              <w:rPr>
                <w:sz w:val="17"/>
                <w:szCs w:val="17"/>
                <w:color w:val="auto"/>
              </w:rPr>
            </w:pPr>
          </w:p>
        </w:tc>
        <w:tc>
          <w:tcPr>
            <w:tcW w:w="1960" w:type="dxa"/>
            <w:vAlign w:val="bottom"/>
          </w:tcPr>
          <w:p>
            <w:pPr>
              <w:jc w:val="right"/>
              <w:ind w:right="88"/>
              <w:spacing w:after="0"/>
              <w:rPr>
                <w:sz w:val="20"/>
                <w:szCs w:val="20"/>
                <w:color w:val="auto"/>
              </w:rPr>
            </w:pPr>
            <w:r>
              <w:rPr>
                <w:rFonts w:ascii="Calibri" w:cs="Calibri" w:eastAsia="Calibri" w:hAnsi="Calibri"/>
                <w:sz w:val="14"/>
                <w:szCs w:val="14"/>
                <w:b w:val="1"/>
                <w:bCs w:val="1"/>
                <w:color w:val="auto"/>
              </w:rPr>
              <w:t>Table Total for Non-PEO NEOs</w:t>
            </w:r>
          </w:p>
        </w:tc>
        <w:tc>
          <w:tcPr>
            <w:tcW w:w="140" w:type="dxa"/>
            <w:vAlign w:val="bottom"/>
          </w:tcPr>
          <w:p>
            <w:pPr>
              <w:spacing w:after="0"/>
              <w:rPr>
                <w:sz w:val="17"/>
                <w:szCs w:val="17"/>
                <w:color w:val="auto"/>
              </w:rPr>
            </w:pPr>
          </w:p>
        </w:tc>
        <w:tc>
          <w:tcPr>
            <w:tcW w:w="1460" w:type="dxa"/>
            <w:vAlign w:val="bottom"/>
          </w:tcPr>
          <w:p>
            <w:pPr>
              <w:jc w:val="center"/>
              <w:ind w:right="108"/>
              <w:spacing w:after="0"/>
              <w:rPr>
                <w:sz w:val="20"/>
                <w:szCs w:val="20"/>
                <w:color w:val="auto"/>
              </w:rPr>
            </w:pPr>
            <w:r>
              <w:rPr>
                <w:rFonts w:ascii="Calibri" w:cs="Calibri" w:eastAsia="Calibri" w:hAnsi="Calibri"/>
                <w:sz w:val="14"/>
                <w:szCs w:val="14"/>
                <w:b w:val="1"/>
                <w:bCs w:val="1"/>
                <w:color w:val="auto"/>
              </w:rPr>
              <w:t>PEO NEOs</w:t>
            </w:r>
          </w:p>
        </w:tc>
        <w:tc>
          <w:tcPr>
            <w:tcW w:w="100" w:type="dxa"/>
            <w:vAlign w:val="bottom"/>
          </w:tcPr>
          <w:p>
            <w:pPr>
              <w:spacing w:after="0"/>
              <w:rPr>
                <w:sz w:val="17"/>
                <w:szCs w:val="17"/>
                <w:color w:val="auto"/>
              </w:rPr>
            </w:pPr>
          </w:p>
        </w:tc>
        <w:tc>
          <w:tcPr>
            <w:tcW w:w="94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Return</w:t>
            </w:r>
          </w:p>
        </w:tc>
        <w:tc>
          <w:tcPr>
            <w:tcW w:w="160" w:type="dxa"/>
            <w:vAlign w:val="bottom"/>
          </w:tcPr>
          <w:p>
            <w:pPr>
              <w:spacing w:after="0"/>
              <w:rPr>
                <w:sz w:val="17"/>
                <w:szCs w:val="17"/>
                <w:color w:val="auto"/>
              </w:rPr>
            </w:pPr>
          </w:p>
        </w:tc>
        <w:tc>
          <w:tcPr>
            <w:tcW w:w="960" w:type="dxa"/>
            <w:vAlign w:val="bottom"/>
          </w:tcPr>
          <w:p>
            <w:pPr>
              <w:jc w:val="center"/>
              <w:ind w:right="148"/>
              <w:spacing w:after="0"/>
              <w:rPr>
                <w:sz w:val="20"/>
                <w:szCs w:val="20"/>
                <w:color w:val="auto"/>
              </w:rPr>
            </w:pPr>
            <w:r>
              <w:rPr>
                <w:rFonts w:ascii="Calibri" w:cs="Calibri" w:eastAsia="Calibri" w:hAnsi="Calibri"/>
                <w:sz w:val="14"/>
                <w:szCs w:val="14"/>
                <w:b w:val="1"/>
                <w:bCs w:val="1"/>
                <w:color w:val="auto"/>
              </w:rPr>
              <w:t>Return</w:t>
            </w:r>
          </w:p>
        </w:tc>
        <w:tc>
          <w:tcPr>
            <w:tcW w:w="16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(000)</w:t>
            </w:r>
          </w:p>
        </w:tc>
        <w:tc>
          <w:tcPr>
            <w:tcW w:w="114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Net Sales (000)</w:t>
            </w:r>
          </w:p>
        </w:tc>
      </w:tr>
      <w:tr>
        <w:trPr>
          <w:trHeight w:val="196"/>
        </w:trPr>
        <w:tc>
          <w:tcPr>
            <w:tcW w:w="540" w:type="dxa"/>
            <w:vAlign w:val="bottom"/>
            <w:tcBorders>
              <w:bottom w:val="single" w:sz="8" w:color="005CA9"/>
            </w:tcBorders>
          </w:tcPr>
          <w:p>
            <w:pPr>
              <w:jc w:val="right"/>
              <w:ind w:right="68"/>
              <w:spacing w:after="0"/>
              <w:rPr>
                <w:sz w:val="20"/>
                <w:szCs w:val="20"/>
                <w:color w:val="auto"/>
              </w:rPr>
            </w:pPr>
            <w:r>
              <w:rPr>
                <w:rFonts w:ascii="Calibri" w:cs="Calibri" w:eastAsia="Calibri" w:hAnsi="Calibri"/>
                <w:sz w:val="14"/>
                <w:szCs w:val="14"/>
                <w:b w:val="1"/>
                <w:bCs w:val="1"/>
                <w:color w:val="auto"/>
              </w:rPr>
              <w:t>(a)</w:t>
            </w:r>
          </w:p>
        </w:tc>
        <w:tc>
          <w:tcPr>
            <w:tcW w:w="240" w:type="dxa"/>
            <w:vAlign w:val="bottom"/>
            <w:tcBorders>
              <w:bottom w:val="single" w:sz="8" w:color="005CA9"/>
            </w:tcBorders>
          </w:tcPr>
          <w:p>
            <w:pPr>
              <w:spacing w:after="0"/>
              <w:rPr>
                <w:sz w:val="17"/>
                <w:szCs w:val="17"/>
                <w:color w:val="auto"/>
              </w:rPr>
            </w:pPr>
          </w:p>
        </w:tc>
        <w:tc>
          <w:tcPr>
            <w:tcW w:w="1160" w:type="dxa"/>
            <w:vAlign w:val="bottom"/>
            <w:tcBorders>
              <w:bottom w:val="single" w:sz="8" w:color="005CA9"/>
            </w:tcBorders>
          </w:tcPr>
          <w:p>
            <w:pPr>
              <w:jc w:val="center"/>
              <w:ind w:right="168"/>
              <w:spacing w:after="0" w:line="175" w:lineRule="exact"/>
              <w:rPr>
                <w:sz w:val="20"/>
                <w:szCs w:val="20"/>
                <w:color w:val="auto"/>
              </w:rPr>
            </w:pPr>
            <w:r>
              <w:rPr>
                <w:rFonts w:ascii="Calibri" w:cs="Calibri" w:eastAsia="Calibri" w:hAnsi="Calibri"/>
                <w:sz w:val="14"/>
                <w:szCs w:val="14"/>
                <w:b w:val="1"/>
                <w:bCs w:val="1"/>
                <w:color w:val="auto"/>
                <w:w w:val="94"/>
              </w:rPr>
              <w:t xml:space="preserve">(b) </w:t>
            </w:r>
            <w:r>
              <w:rPr>
                <w:rFonts w:ascii="Calibri" w:cs="Calibri" w:eastAsia="Calibri" w:hAnsi="Calibri"/>
                <w:sz w:val="19"/>
                <w:szCs w:val="19"/>
                <w:b w:val="1"/>
                <w:bCs w:val="1"/>
                <w:color w:val="auto"/>
                <w:w w:val="94"/>
                <w:vertAlign w:val="superscript"/>
              </w:rPr>
              <w:t>(1)</w:t>
            </w:r>
          </w:p>
        </w:tc>
        <w:tc>
          <w:tcPr>
            <w:tcW w:w="200" w:type="dxa"/>
            <w:vAlign w:val="bottom"/>
            <w:tcBorders>
              <w:bottom w:val="single" w:sz="8" w:color="005CA9"/>
            </w:tcBorders>
          </w:tcPr>
          <w:p>
            <w:pPr>
              <w:spacing w:after="0"/>
              <w:rPr>
                <w:sz w:val="17"/>
                <w:szCs w:val="17"/>
                <w:color w:val="auto"/>
              </w:rPr>
            </w:pPr>
          </w:p>
        </w:tc>
        <w:tc>
          <w:tcPr>
            <w:tcW w:w="1280" w:type="dxa"/>
            <w:vAlign w:val="bottom"/>
            <w:tcBorders>
              <w:bottom w:val="single" w:sz="8" w:color="005CA9"/>
            </w:tcBorders>
          </w:tcPr>
          <w:p>
            <w:pPr>
              <w:jc w:val="center"/>
              <w:ind w:right="188"/>
              <w:spacing w:after="0" w:line="175" w:lineRule="exact"/>
              <w:rPr>
                <w:sz w:val="20"/>
                <w:szCs w:val="20"/>
                <w:color w:val="auto"/>
              </w:rPr>
            </w:pPr>
            <w:r>
              <w:rPr>
                <w:rFonts w:ascii="Calibri" w:cs="Calibri" w:eastAsia="Calibri" w:hAnsi="Calibri"/>
                <w:sz w:val="14"/>
                <w:szCs w:val="14"/>
                <w:b w:val="1"/>
                <w:bCs w:val="1"/>
                <w:color w:val="auto"/>
                <w:w w:val="93"/>
              </w:rPr>
              <w:t xml:space="preserve">(c) </w:t>
            </w:r>
            <w:r>
              <w:rPr>
                <w:rFonts w:ascii="Calibri" w:cs="Calibri" w:eastAsia="Calibri" w:hAnsi="Calibri"/>
                <w:sz w:val="19"/>
                <w:szCs w:val="19"/>
                <w:b w:val="1"/>
                <w:bCs w:val="1"/>
                <w:color w:val="auto"/>
                <w:w w:val="93"/>
                <w:vertAlign w:val="superscript"/>
              </w:rPr>
              <w:t>(2)</w:t>
            </w:r>
          </w:p>
        </w:tc>
        <w:tc>
          <w:tcPr>
            <w:tcW w:w="120" w:type="dxa"/>
            <w:vAlign w:val="bottom"/>
            <w:tcBorders>
              <w:bottom w:val="single" w:sz="8" w:color="005CA9"/>
            </w:tcBorders>
          </w:tcPr>
          <w:p>
            <w:pPr>
              <w:spacing w:after="0"/>
              <w:rPr>
                <w:sz w:val="17"/>
                <w:szCs w:val="17"/>
                <w:color w:val="auto"/>
              </w:rPr>
            </w:pPr>
          </w:p>
        </w:tc>
        <w:tc>
          <w:tcPr>
            <w:tcW w:w="1960" w:type="dxa"/>
            <w:vAlign w:val="bottom"/>
            <w:tcBorders>
              <w:bottom w:val="single" w:sz="8" w:color="005CA9"/>
            </w:tcBorders>
          </w:tcPr>
          <w:p>
            <w:pPr>
              <w:jc w:val="center"/>
              <w:ind w:right="88"/>
              <w:spacing w:after="0"/>
              <w:rPr>
                <w:sz w:val="20"/>
                <w:szCs w:val="20"/>
                <w:color w:val="auto"/>
              </w:rPr>
            </w:pPr>
            <w:r>
              <w:rPr>
                <w:rFonts w:ascii="Calibri" w:cs="Calibri" w:eastAsia="Calibri" w:hAnsi="Calibri"/>
                <w:sz w:val="14"/>
                <w:szCs w:val="14"/>
                <w:b w:val="1"/>
                <w:bCs w:val="1"/>
                <w:color w:val="auto"/>
                <w:w w:val="98"/>
              </w:rPr>
              <w:t>(d)</w:t>
            </w:r>
          </w:p>
        </w:tc>
        <w:tc>
          <w:tcPr>
            <w:tcW w:w="140" w:type="dxa"/>
            <w:vAlign w:val="bottom"/>
            <w:tcBorders>
              <w:bottom w:val="single" w:sz="8" w:color="005CA9"/>
            </w:tcBorders>
          </w:tcPr>
          <w:p>
            <w:pPr>
              <w:spacing w:after="0"/>
              <w:rPr>
                <w:sz w:val="17"/>
                <w:szCs w:val="17"/>
                <w:color w:val="auto"/>
              </w:rPr>
            </w:pPr>
          </w:p>
        </w:tc>
        <w:tc>
          <w:tcPr>
            <w:tcW w:w="1460" w:type="dxa"/>
            <w:vAlign w:val="bottom"/>
            <w:tcBorders>
              <w:bottom w:val="single" w:sz="8" w:color="005CA9"/>
            </w:tcBorders>
          </w:tcPr>
          <w:p>
            <w:pPr>
              <w:jc w:val="center"/>
              <w:ind w:right="108"/>
              <w:spacing w:after="0" w:line="175" w:lineRule="exact"/>
              <w:rPr>
                <w:sz w:val="20"/>
                <w:szCs w:val="20"/>
                <w:color w:val="auto"/>
              </w:rPr>
            </w:pPr>
            <w:r>
              <w:rPr>
                <w:rFonts w:ascii="Calibri" w:cs="Calibri" w:eastAsia="Calibri" w:hAnsi="Calibri"/>
                <w:sz w:val="14"/>
                <w:szCs w:val="14"/>
                <w:b w:val="1"/>
                <w:bCs w:val="1"/>
                <w:color w:val="auto"/>
                <w:w w:val="96"/>
              </w:rPr>
              <w:t xml:space="preserve">(e) </w:t>
            </w:r>
            <w:r>
              <w:rPr>
                <w:rFonts w:ascii="Calibri" w:cs="Calibri" w:eastAsia="Calibri" w:hAnsi="Calibri"/>
                <w:sz w:val="19"/>
                <w:szCs w:val="19"/>
                <w:b w:val="1"/>
                <w:bCs w:val="1"/>
                <w:color w:val="auto"/>
                <w:w w:val="96"/>
                <w:vertAlign w:val="superscript"/>
              </w:rPr>
              <w:t>(3)</w:t>
            </w:r>
          </w:p>
        </w:tc>
        <w:tc>
          <w:tcPr>
            <w:tcW w:w="100" w:type="dxa"/>
            <w:vAlign w:val="bottom"/>
            <w:tcBorders>
              <w:bottom w:val="single" w:sz="8" w:color="005CA9"/>
            </w:tcBorders>
          </w:tcPr>
          <w:p>
            <w:pPr>
              <w:spacing w:after="0"/>
              <w:rPr>
                <w:sz w:val="17"/>
                <w:szCs w:val="17"/>
                <w:color w:val="auto"/>
              </w:rPr>
            </w:pPr>
          </w:p>
        </w:tc>
        <w:tc>
          <w:tcPr>
            <w:tcW w:w="940" w:type="dxa"/>
            <w:vAlign w:val="bottom"/>
            <w:tcBorders>
              <w:bottom w:val="single" w:sz="8" w:color="005CA9"/>
            </w:tcBorders>
          </w:tcPr>
          <w:p>
            <w:pPr>
              <w:jc w:val="center"/>
              <w:ind w:right="68"/>
              <w:spacing w:after="0"/>
              <w:rPr>
                <w:sz w:val="20"/>
                <w:szCs w:val="20"/>
                <w:color w:val="auto"/>
              </w:rPr>
            </w:pPr>
            <w:r>
              <w:rPr>
                <w:rFonts w:ascii="Calibri" w:cs="Calibri" w:eastAsia="Calibri" w:hAnsi="Calibri"/>
                <w:sz w:val="14"/>
                <w:szCs w:val="14"/>
                <w:b w:val="1"/>
                <w:bCs w:val="1"/>
                <w:color w:val="auto"/>
                <w:w w:val="90"/>
              </w:rPr>
              <w:t>(f)</w:t>
            </w:r>
          </w:p>
        </w:tc>
        <w:tc>
          <w:tcPr>
            <w:tcW w:w="160" w:type="dxa"/>
            <w:vAlign w:val="bottom"/>
            <w:tcBorders>
              <w:bottom w:val="single" w:sz="8" w:color="005CA9"/>
            </w:tcBorders>
          </w:tcPr>
          <w:p>
            <w:pPr>
              <w:spacing w:after="0"/>
              <w:rPr>
                <w:sz w:val="17"/>
                <w:szCs w:val="17"/>
                <w:color w:val="auto"/>
              </w:rPr>
            </w:pPr>
          </w:p>
        </w:tc>
        <w:tc>
          <w:tcPr>
            <w:tcW w:w="960" w:type="dxa"/>
            <w:vAlign w:val="bottom"/>
            <w:tcBorders>
              <w:bottom w:val="single" w:sz="8" w:color="005CA9"/>
            </w:tcBorders>
          </w:tcPr>
          <w:p>
            <w:pPr>
              <w:jc w:val="center"/>
              <w:ind w:right="108"/>
              <w:spacing w:after="0" w:line="175" w:lineRule="exact"/>
              <w:rPr>
                <w:sz w:val="20"/>
                <w:szCs w:val="20"/>
                <w:color w:val="auto"/>
              </w:rPr>
            </w:pPr>
            <w:r>
              <w:rPr>
                <w:rFonts w:ascii="Calibri" w:cs="Calibri" w:eastAsia="Calibri" w:hAnsi="Calibri"/>
                <w:sz w:val="14"/>
                <w:szCs w:val="14"/>
                <w:b w:val="1"/>
                <w:bCs w:val="1"/>
                <w:color w:val="auto"/>
                <w:w w:val="91"/>
              </w:rPr>
              <w:t xml:space="preserve">(g) </w:t>
            </w:r>
            <w:r>
              <w:rPr>
                <w:rFonts w:ascii="Calibri" w:cs="Calibri" w:eastAsia="Calibri" w:hAnsi="Calibri"/>
                <w:sz w:val="19"/>
                <w:szCs w:val="19"/>
                <w:b w:val="1"/>
                <w:bCs w:val="1"/>
                <w:color w:val="auto"/>
                <w:w w:val="91"/>
                <w:vertAlign w:val="superscript"/>
              </w:rPr>
              <w:t>(4)</w:t>
            </w:r>
          </w:p>
        </w:tc>
        <w:tc>
          <w:tcPr>
            <w:tcW w:w="160" w:type="dxa"/>
            <w:vAlign w:val="bottom"/>
            <w:tcBorders>
              <w:bottom w:val="single" w:sz="8" w:color="005CA9"/>
            </w:tcBorders>
          </w:tcPr>
          <w:p>
            <w:pPr>
              <w:spacing w:after="0"/>
              <w:rPr>
                <w:sz w:val="17"/>
                <w:szCs w:val="17"/>
                <w:color w:val="auto"/>
              </w:rPr>
            </w:pPr>
          </w:p>
        </w:tc>
        <w:tc>
          <w:tcPr>
            <w:tcW w:w="680" w:type="dxa"/>
            <w:vAlign w:val="bottom"/>
            <w:tcBorders>
              <w:bottom w:val="single" w:sz="8" w:color="005CA9"/>
            </w:tcBorders>
          </w:tcPr>
          <w:p>
            <w:pPr>
              <w:jc w:val="right"/>
              <w:ind w:right="288"/>
              <w:spacing w:after="0"/>
              <w:rPr>
                <w:sz w:val="20"/>
                <w:szCs w:val="20"/>
                <w:color w:val="auto"/>
              </w:rPr>
            </w:pPr>
            <w:r>
              <w:rPr>
                <w:rFonts w:ascii="Calibri" w:cs="Calibri" w:eastAsia="Calibri" w:hAnsi="Calibri"/>
                <w:sz w:val="14"/>
                <w:szCs w:val="14"/>
                <w:b w:val="1"/>
                <w:bCs w:val="1"/>
                <w:color w:val="auto"/>
              </w:rPr>
              <w:t>(h)</w:t>
            </w:r>
          </w:p>
        </w:tc>
        <w:tc>
          <w:tcPr>
            <w:tcW w:w="280" w:type="dxa"/>
            <w:vAlign w:val="bottom"/>
            <w:tcBorders>
              <w:bottom w:val="single" w:sz="8" w:color="005CA9"/>
            </w:tcBorders>
          </w:tcPr>
          <w:p>
            <w:pPr>
              <w:spacing w:after="0"/>
              <w:rPr>
                <w:sz w:val="17"/>
                <w:szCs w:val="17"/>
                <w:color w:val="auto"/>
              </w:rPr>
            </w:pPr>
          </w:p>
        </w:tc>
        <w:tc>
          <w:tcPr>
            <w:tcW w:w="860" w:type="dxa"/>
            <w:vAlign w:val="bottom"/>
            <w:tcBorders>
              <w:bottom w:val="single" w:sz="8" w:color="005CA9"/>
            </w:tcBorders>
          </w:tcPr>
          <w:p>
            <w:pPr>
              <w:jc w:val="right"/>
              <w:ind w:right="472"/>
              <w:spacing w:after="0" w:line="114" w:lineRule="exact"/>
              <w:rPr>
                <w:sz w:val="20"/>
                <w:szCs w:val="20"/>
                <w:color w:val="auto"/>
              </w:rPr>
            </w:pPr>
            <w:r>
              <w:rPr>
                <w:rFonts w:ascii="Calibri" w:cs="Calibri" w:eastAsia="Calibri" w:hAnsi="Calibri"/>
                <w:sz w:val="10"/>
                <w:szCs w:val="10"/>
                <w:b w:val="1"/>
                <w:bCs w:val="1"/>
                <w:color w:val="auto"/>
              </w:rPr>
              <w:t>(5)</w:t>
            </w:r>
          </w:p>
        </w:tc>
      </w:tr>
      <w:tr>
        <w:trPr>
          <w:trHeight w:val="176"/>
        </w:trPr>
        <w:tc>
          <w:tcPr>
            <w:tcW w:w="540" w:type="dxa"/>
            <w:vAlign w:val="bottom"/>
            <w:shd w:val="clear" w:color="auto" w:fill="CFF0FC"/>
          </w:tcPr>
          <w:p>
            <w:pPr>
              <w:jc w:val="right"/>
              <w:ind w:right="88"/>
              <w:spacing w:after="0"/>
              <w:rPr>
                <w:sz w:val="20"/>
                <w:szCs w:val="20"/>
                <w:color w:val="auto"/>
              </w:rPr>
            </w:pPr>
            <w:r>
              <w:rPr>
                <w:rFonts w:ascii="Calibri" w:cs="Calibri" w:eastAsia="Calibri" w:hAnsi="Calibri"/>
                <w:sz w:val="14"/>
                <w:szCs w:val="14"/>
                <w:b w:val="1"/>
                <w:bCs w:val="1"/>
                <w:color w:val="auto"/>
              </w:rPr>
              <w:t>2024</w:t>
            </w:r>
          </w:p>
        </w:tc>
        <w:tc>
          <w:tcPr>
            <w:tcW w:w="240" w:type="dxa"/>
            <w:vAlign w:val="bottom"/>
            <w:shd w:val="clear" w:color="auto" w:fill="CFF0FC"/>
          </w:tcPr>
          <w:p>
            <w:pPr>
              <w:ind w:left="80"/>
              <w:spacing w:after="0"/>
              <w:rPr>
                <w:sz w:val="20"/>
                <w:szCs w:val="20"/>
                <w:color w:val="auto"/>
              </w:rPr>
            </w:pPr>
            <w:r>
              <w:rPr>
                <w:rFonts w:ascii="Calibri" w:cs="Calibri" w:eastAsia="Calibri" w:hAnsi="Calibri"/>
                <w:sz w:val="14"/>
                <w:szCs w:val="14"/>
                <w:b w:val="1"/>
                <w:bCs w:val="1"/>
                <w:color w:val="auto"/>
              </w:rPr>
              <w:t>$</w:t>
            </w:r>
          </w:p>
        </w:tc>
        <w:tc>
          <w:tcPr>
            <w:tcW w:w="1160" w:type="dxa"/>
            <w:vAlign w:val="bottom"/>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rPr>
              <w:t>4,823,227</w:t>
            </w:r>
          </w:p>
        </w:tc>
        <w:tc>
          <w:tcPr>
            <w:tcW w:w="2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128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(3,676,973 )</w:t>
            </w:r>
          </w:p>
        </w:tc>
        <w:tc>
          <w:tcPr>
            <w:tcW w:w="12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1960" w:type="dxa"/>
            <w:vAlign w:val="bottom"/>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rPr>
              <w:t>1,978,444</w:t>
            </w:r>
          </w:p>
        </w:tc>
        <w:tc>
          <w:tcPr>
            <w:tcW w:w="140" w:type="dxa"/>
            <w:vAlign w:val="bottom"/>
            <w:shd w:val="clear" w:color="auto" w:fill="CFF0FC"/>
          </w:tcPr>
          <w:p>
            <w:pPr>
              <w:ind w:left="80"/>
              <w:spacing w:after="0"/>
              <w:rPr>
                <w:sz w:val="20"/>
                <w:szCs w:val="20"/>
                <w:color w:val="auto"/>
              </w:rPr>
            </w:pPr>
            <w:r>
              <w:rPr>
                <w:rFonts w:ascii="Calibri" w:cs="Calibri" w:eastAsia="Calibri" w:hAnsi="Calibri"/>
                <w:sz w:val="11"/>
                <w:szCs w:val="11"/>
                <w:b w:val="1"/>
                <w:bCs w:val="1"/>
                <w:color w:val="auto"/>
                <w:w w:val="70"/>
              </w:rPr>
              <w:t>$</w:t>
            </w:r>
          </w:p>
        </w:tc>
        <w:tc>
          <w:tcPr>
            <w:tcW w:w="14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b w:val="1"/>
                <w:bCs w:val="1"/>
                <w:color w:val="auto"/>
              </w:rPr>
              <w:t>2,341,331</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9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109</w:t>
            </w:r>
          </w:p>
        </w:tc>
        <w:tc>
          <w:tcPr>
            <w:tcW w:w="1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9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b w:val="1"/>
                <w:bCs w:val="1"/>
                <w:color w:val="auto"/>
              </w:rPr>
              <w:t>170</w:t>
            </w:r>
          </w:p>
        </w:tc>
        <w:tc>
          <w:tcPr>
            <w:tcW w:w="16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w:t>
            </w:r>
          </w:p>
        </w:tc>
        <w:tc>
          <w:tcPr>
            <w:tcW w:w="680" w:type="dxa"/>
            <w:vAlign w:val="bottom"/>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rPr>
              <w:t>44,024</w:t>
            </w:r>
          </w:p>
        </w:tc>
        <w:tc>
          <w:tcPr>
            <w:tcW w:w="280" w:type="dxa"/>
            <w:vAlign w:val="bottom"/>
            <w:shd w:val="clear" w:color="auto" w:fill="CFF0FC"/>
          </w:tcPr>
          <w:p>
            <w:pPr>
              <w:ind w:left="60"/>
              <w:spacing w:after="0"/>
              <w:rPr>
                <w:sz w:val="20"/>
                <w:szCs w:val="20"/>
                <w:color w:val="auto"/>
              </w:rPr>
            </w:pPr>
            <w:r>
              <w:rPr>
                <w:rFonts w:ascii="Calibri" w:cs="Calibri" w:eastAsia="Calibri" w:hAnsi="Calibri"/>
                <w:sz w:val="14"/>
                <w:szCs w:val="14"/>
                <w:b w:val="1"/>
                <w:bCs w:val="1"/>
                <w:color w:val="auto"/>
              </w:rPr>
              <w:t>$</w:t>
            </w:r>
          </w:p>
        </w:tc>
        <w:tc>
          <w:tcPr>
            <w:tcW w:w="860" w:type="dxa"/>
            <w:vAlign w:val="bottom"/>
            <w:shd w:val="clear" w:color="auto" w:fill="CFF0FC"/>
          </w:tcPr>
          <w:p>
            <w:pPr>
              <w:jc w:val="right"/>
              <w:ind w:right="52"/>
              <w:spacing w:after="0"/>
              <w:rPr>
                <w:sz w:val="20"/>
                <w:szCs w:val="20"/>
                <w:color w:val="auto"/>
              </w:rPr>
            </w:pPr>
            <w:r>
              <w:rPr>
                <w:rFonts w:ascii="Calibri" w:cs="Calibri" w:eastAsia="Calibri" w:hAnsi="Calibri"/>
                <w:sz w:val="14"/>
                <w:szCs w:val="14"/>
                <w:b w:val="1"/>
                <w:bCs w:val="1"/>
                <w:color w:val="auto"/>
              </w:rPr>
              <w:t>1,311,120</w:t>
            </w:r>
          </w:p>
        </w:tc>
      </w:tr>
      <w:tr>
        <w:trPr>
          <w:trHeight w:val="173"/>
        </w:trPr>
        <w:tc>
          <w:tcPr>
            <w:tcW w:w="540" w:type="dxa"/>
            <w:vAlign w:val="bottom"/>
          </w:tcPr>
          <w:p>
            <w:pPr>
              <w:jc w:val="right"/>
              <w:ind w:right="88"/>
              <w:spacing w:after="0"/>
              <w:rPr>
                <w:sz w:val="20"/>
                <w:szCs w:val="20"/>
                <w:color w:val="auto"/>
              </w:rPr>
            </w:pPr>
            <w:r>
              <w:rPr>
                <w:rFonts w:ascii="Calibri" w:cs="Calibri" w:eastAsia="Calibri" w:hAnsi="Calibri"/>
                <w:sz w:val="14"/>
                <w:szCs w:val="14"/>
                <w:color w:val="auto"/>
              </w:rPr>
              <w:t>2023</w:t>
            </w:r>
          </w:p>
        </w:tc>
        <w:tc>
          <w:tcPr>
            <w:tcW w:w="240" w:type="dxa"/>
            <w:vAlign w:val="bottom"/>
          </w:tcPr>
          <w:p>
            <w:pPr>
              <w:ind w:left="80"/>
              <w:spacing w:after="0"/>
              <w:rPr>
                <w:sz w:val="20"/>
                <w:szCs w:val="20"/>
                <w:color w:val="auto"/>
              </w:rPr>
            </w:pPr>
            <w:r>
              <w:rPr>
                <w:rFonts w:ascii="Calibri" w:cs="Calibri" w:eastAsia="Calibri" w:hAnsi="Calibri"/>
                <w:sz w:val="14"/>
                <w:szCs w:val="14"/>
                <w:color w:val="auto"/>
              </w:rPr>
              <w:t>$</w:t>
            </w:r>
          </w:p>
        </w:tc>
        <w:tc>
          <w:tcPr>
            <w:tcW w:w="1160" w:type="dxa"/>
            <w:vAlign w:val="bottom"/>
          </w:tcPr>
          <w:p>
            <w:pPr>
              <w:jc w:val="right"/>
              <w:ind w:right="8"/>
              <w:spacing w:after="0"/>
              <w:rPr>
                <w:sz w:val="20"/>
                <w:szCs w:val="20"/>
                <w:color w:val="auto"/>
              </w:rPr>
            </w:pPr>
            <w:r>
              <w:rPr>
                <w:rFonts w:ascii="Calibri" w:cs="Calibri" w:eastAsia="Calibri" w:hAnsi="Calibri"/>
                <w:sz w:val="14"/>
                <w:szCs w:val="14"/>
                <w:color w:val="auto"/>
              </w:rPr>
              <w:t>9,483,816</w:t>
            </w: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48"/>
              <w:spacing w:after="0"/>
              <w:rPr>
                <w:sz w:val="20"/>
                <w:szCs w:val="20"/>
                <w:color w:val="auto"/>
              </w:rPr>
            </w:pPr>
            <w:r>
              <w:rPr>
                <w:rFonts w:ascii="Calibri" w:cs="Calibri" w:eastAsia="Calibri" w:hAnsi="Calibri"/>
                <w:sz w:val="14"/>
                <w:szCs w:val="14"/>
                <w:color w:val="auto"/>
              </w:rPr>
              <w:t>13,252,259</w:t>
            </w:r>
          </w:p>
        </w:tc>
        <w:tc>
          <w:tcPr>
            <w:tcW w:w="1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960" w:type="dxa"/>
            <w:vAlign w:val="bottom"/>
          </w:tcPr>
          <w:p>
            <w:pPr>
              <w:jc w:val="right"/>
              <w:ind w:right="8"/>
              <w:spacing w:after="0"/>
              <w:rPr>
                <w:sz w:val="20"/>
                <w:szCs w:val="20"/>
                <w:color w:val="auto"/>
              </w:rPr>
            </w:pPr>
            <w:r>
              <w:rPr>
                <w:rFonts w:ascii="Calibri" w:cs="Calibri" w:eastAsia="Calibri" w:hAnsi="Calibri"/>
                <w:sz w:val="14"/>
                <w:szCs w:val="14"/>
                <w:color w:val="auto"/>
              </w:rPr>
              <w:t>1,955,936</w:t>
            </w:r>
          </w:p>
        </w:tc>
        <w:tc>
          <w:tcPr>
            <w:tcW w:w="140" w:type="dxa"/>
            <w:vAlign w:val="bottom"/>
          </w:tcPr>
          <w:p>
            <w:pPr>
              <w:ind w:left="80"/>
              <w:spacing w:after="0"/>
              <w:rPr>
                <w:sz w:val="20"/>
                <w:szCs w:val="20"/>
                <w:color w:val="auto"/>
              </w:rPr>
            </w:pPr>
            <w:r>
              <w:rPr>
                <w:rFonts w:ascii="Calibri" w:cs="Calibri" w:eastAsia="Calibri" w:hAnsi="Calibri"/>
                <w:sz w:val="11"/>
                <w:szCs w:val="11"/>
                <w:color w:val="auto"/>
                <w:w w:val="70"/>
              </w:rPr>
              <w:t>$</w:t>
            </w:r>
          </w:p>
        </w:tc>
        <w:tc>
          <w:tcPr>
            <w:tcW w:w="1460" w:type="dxa"/>
            <w:vAlign w:val="bottom"/>
          </w:tcPr>
          <w:p>
            <w:pPr>
              <w:jc w:val="right"/>
              <w:ind w:right="48"/>
              <w:spacing w:after="0"/>
              <w:rPr>
                <w:sz w:val="20"/>
                <w:szCs w:val="20"/>
                <w:color w:val="auto"/>
              </w:rPr>
            </w:pPr>
            <w:r>
              <w:rPr>
                <w:rFonts w:ascii="Calibri" w:cs="Calibri" w:eastAsia="Calibri" w:hAnsi="Calibri"/>
                <w:sz w:val="14"/>
                <w:szCs w:val="14"/>
                <w:color w:val="auto"/>
              </w:rPr>
              <w:t>2,683,673</w:t>
            </w:r>
          </w:p>
        </w:tc>
        <w:tc>
          <w:tcPr>
            <w:tcW w:w="1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114</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60" w:type="dxa"/>
            <w:vAlign w:val="bottom"/>
          </w:tcPr>
          <w:p>
            <w:pPr>
              <w:jc w:val="right"/>
              <w:ind w:right="48"/>
              <w:spacing w:after="0"/>
              <w:rPr>
                <w:sz w:val="20"/>
                <w:szCs w:val="20"/>
                <w:color w:val="auto"/>
              </w:rPr>
            </w:pPr>
            <w:r>
              <w:rPr>
                <w:rFonts w:ascii="Calibri" w:cs="Calibri" w:eastAsia="Calibri" w:hAnsi="Calibri"/>
                <w:sz w:val="14"/>
                <w:szCs w:val="14"/>
                <w:color w:val="auto"/>
              </w:rPr>
              <w:t>103</w:t>
            </w:r>
          </w:p>
        </w:tc>
        <w:tc>
          <w:tcPr>
            <w:tcW w:w="160" w:type="dxa"/>
            <w:vAlign w:val="bottom"/>
          </w:tcPr>
          <w:p>
            <w:pPr>
              <w:ind w:left="20"/>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227,182</w:t>
            </w:r>
          </w:p>
        </w:tc>
        <w:tc>
          <w:tcPr>
            <w:tcW w:w="280" w:type="dxa"/>
            <w:vAlign w:val="bottom"/>
          </w:tcPr>
          <w:p>
            <w:pPr>
              <w:ind w:left="6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ind w:right="52"/>
              <w:spacing w:after="0"/>
              <w:rPr>
                <w:sz w:val="20"/>
                <w:szCs w:val="20"/>
                <w:color w:val="auto"/>
              </w:rPr>
            </w:pPr>
            <w:r>
              <w:rPr>
                <w:rFonts w:ascii="Calibri" w:cs="Calibri" w:eastAsia="Calibri" w:hAnsi="Calibri"/>
                <w:sz w:val="14"/>
                <w:szCs w:val="14"/>
                <w:color w:val="auto"/>
              </w:rPr>
              <w:t>1,661,739</w:t>
            </w:r>
          </w:p>
        </w:tc>
      </w:tr>
      <w:tr>
        <w:trPr>
          <w:trHeight w:val="178"/>
        </w:trPr>
        <w:tc>
          <w:tcPr>
            <w:tcW w:w="540" w:type="dxa"/>
            <w:vAlign w:val="bottom"/>
            <w:shd w:val="clear" w:color="auto" w:fill="CFF0FC"/>
          </w:tcPr>
          <w:p>
            <w:pPr>
              <w:jc w:val="right"/>
              <w:ind w:right="88"/>
              <w:spacing w:after="0"/>
              <w:rPr>
                <w:sz w:val="20"/>
                <w:szCs w:val="20"/>
                <w:color w:val="auto"/>
              </w:rPr>
            </w:pPr>
            <w:r>
              <w:rPr>
                <w:rFonts w:ascii="Calibri" w:cs="Calibri" w:eastAsia="Calibri" w:hAnsi="Calibri"/>
                <w:sz w:val="14"/>
                <w:szCs w:val="14"/>
                <w:color w:val="auto"/>
              </w:rPr>
              <w:t>2022</w:t>
            </w:r>
          </w:p>
        </w:tc>
        <w:tc>
          <w:tcPr>
            <w:tcW w:w="240" w:type="dxa"/>
            <w:vAlign w:val="bottom"/>
            <w:shd w:val="clear" w:color="auto" w:fill="CFF0FC"/>
          </w:tcPr>
          <w:p>
            <w:pPr>
              <w:ind w:left="80"/>
              <w:spacing w:after="0"/>
              <w:rPr>
                <w:sz w:val="20"/>
                <w:szCs w:val="20"/>
                <w:color w:val="auto"/>
              </w:rPr>
            </w:pPr>
            <w:r>
              <w:rPr>
                <w:rFonts w:ascii="Calibri" w:cs="Calibri" w:eastAsia="Calibri" w:hAnsi="Calibri"/>
                <w:sz w:val="14"/>
                <w:szCs w:val="14"/>
                <w:color w:val="auto"/>
              </w:rPr>
              <w:t>$</w:t>
            </w:r>
          </w:p>
        </w:tc>
        <w:tc>
          <w:tcPr>
            <w:tcW w:w="1160" w:type="dxa"/>
            <w:vAlign w:val="bottom"/>
            <w:shd w:val="clear" w:color="auto" w:fill="CFF0FC"/>
          </w:tcPr>
          <w:p>
            <w:pPr>
              <w:jc w:val="right"/>
              <w:ind w:right="8"/>
              <w:spacing w:after="0"/>
              <w:rPr>
                <w:sz w:val="20"/>
                <w:szCs w:val="20"/>
                <w:color w:val="auto"/>
              </w:rPr>
            </w:pPr>
            <w:r>
              <w:rPr>
                <w:rFonts w:ascii="Calibri" w:cs="Calibri" w:eastAsia="Calibri" w:hAnsi="Calibri"/>
                <w:sz w:val="14"/>
                <w:szCs w:val="14"/>
                <w:color w:val="auto"/>
              </w:rPr>
              <w:t>9,045,646</w:t>
            </w:r>
          </w:p>
        </w:tc>
        <w:tc>
          <w:tcPr>
            <w:tcW w:w="2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(2,249,898 )</w:t>
            </w:r>
          </w:p>
        </w:tc>
        <w:tc>
          <w:tcPr>
            <w:tcW w:w="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960" w:type="dxa"/>
            <w:vAlign w:val="bottom"/>
            <w:shd w:val="clear" w:color="auto" w:fill="CFF0FC"/>
          </w:tcPr>
          <w:p>
            <w:pPr>
              <w:jc w:val="right"/>
              <w:ind w:right="8"/>
              <w:spacing w:after="0"/>
              <w:rPr>
                <w:sz w:val="20"/>
                <w:szCs w:val="20"/>
                <w:color w:val="auto"/>
              </w:rPr>
            </w:pPr>
            <w:r>
              <w:rPr>
                <w:rFonts w:ascii="Calibri" w:cs="Calibri" w:eastAsia="Calibri" w:hAnsi="Calibri"/>
                <w:sz w:val="14"/>
                <w:szCs w:val="14"/>
                <w:color w:val="auto"/>
              </w:rPr>
              <w:t>2,466,178</w:t>
            </w:r>
          </w:p>
        </w:tc>
        <w:tc>
          <w:tcPr>
            <w:tcW w:w="140" w:type="dxa"/>
            <w:vAlign w:val="bottom"/>
            <w:shd w:val="clear" w:color="auto" w:fill="CFF0FC"/>
          </w:tcPr>
          <w:p>
            <w:pPr>
              <w:ind w:left="80"/>
              <w:spacing w:after="0"/>
              <w:rPr>
                <w:sz w:val="20"/>
                <w:szCs w:val="20"/>
                <w:color w:val="auto"/>
              </w:rPr>
            </w:pPr>
            <w:r>
              <w:rPr>
                <w:rFonts w:ascii="Calibri" w:cs="Calibri" w:eastAsia="Calibri" w:hAnsi="Calibri"/>
                <w:sz w:val="11"/>
                <w:szCs w:val="11"/>
                <w:color w:val="auto"/>
                <w:w w:val="70"/>
              </w:rPr>
              <w:t>$</w:t>
            </w:r>
          </w:p>
        </w:tc>
        <w:tc>
          <w:tcPr>
            <w:tcW w:w="14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1,048,748</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135</w:t>
            </w:r>
          </w:p>
        </w:tc>
        <w:tc>
          <w:tcPr>
            <w:tcW w:w="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129</w:t>
            </w:r>
          </w:p>
        </w:tc>
        <w:tc>
          <w:tcPr>
            <w:tcW w:w="1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Calibri" w:cs="Calibri" w:eastAsia="Calibri" w:hAnsi="Calibri"/>
                <w:sz w:val="14"/>
                <w:szCs w:val="14"/>
                <w:color w:val="auto"/>
              </w:rPr>
              <w:t>331,283</w:t>
            </w:r>
          </w:p>
        </w:tc>
        <w:tc>
          <w:tcPr>
            <w:tcW w:w="280" w:type="dxa"/>
            <w:vAlign w:val="bottom"/>
            <w:shd w:val="clear" w:color="auto" w:fill="CFF0FC"/>
          </w:tcPr>
          <w:p>
            <w:pPr>
              <w:ind w:left="60"/>
              <w:spacing w:after="0"/>
              <w:rPr>
                <w:sz w:val="20"/>
                <w:szCs w:val="20"/>
                <w:color w:val="auto"/>
              </w:rPr>
            </w:pPr>
            <w:r>
              <w:rPr>
                <w:rFonts w:ascii="Calibri" w:cs="Calibri" w:eastAsia="Calibri" w:hAnsi="Calibri"/>
                <w:sz w:val="14"/>
                <w:szCs w:val="14"/>
                <w:color w:val="auto"/>
              </w:rPr>
              <w:t>$</w:t>
            </w:r>
          </w:p>
        </w:tc>
        <w:tc>
          <w:tcPr>
            <w:tcW w:w="860" w:type="dxa"/>
            <w:vAlign w:val="bottom"/>
            <w:shd w:val="clear" w:color="auto" w:fill="CFF0FC"/>
          </w:tcPr>
          <w:p>
            <w:pPr>
              <w:jc w:val="right"/>
              <w:ind w:right="52"/>
              <w:spacing w:after="0"/>
              <w:rPr>
                <w:sz w:val="20"/>
                <w:szCs w:val="20"/>
                <w:color w:val="auto"/>
              </w:rPr>
            </w:pPr>
            <w:r>
              <w:rPr>
                <w:rFonts w:ascii="Calibri" w:cs="Calibri" w:eastAsia="Calibri" w:hAnsi="Calibri"/>
                <w:sz w:val="14"/>
                <w:szCs w:val="14"/>
                <w:color w:val="auto"/>
              </w:rPr>
              <w:t>2,000,580</w:t>
            </w:r>
          </w:p>
        </w:tc>
      </w:tr>
      <w:tr>
        <w:trPr>
          <w:trHeight w:val="173"/>
        </w:trPr>
        <w:tc>
          <w:tcPr>
            <w:tcW w:w="540" w:type="dxa"/>
            <w:vAlign w:val="bottom"/>
          </w:tcPr>
          <w:p>
            <w:pPr>
              <w:jc w:val="right"/>
              <w:ind w:right="88"/>
              <w:spacing w:after="0"/>
              <w:rPr>
                <w:sz w:val="20"/>
                <w:szCs w:val="20"/>
                <w:color w:val="auto"/>
              </w:rPr>
            </w:pPr>
            <w:r>
              <w:rPr>
                <w:rFonts w:ascii="Calibri" w:cs="Calibri" w:eastAsia="Calibri" w:hAnsi="Calibri"/>
                <w:sz w:val="14"/>
                <w:szCs w:val="14"/>
                <w:color w:val="auto"/>
              </w:rPr>
              <w:t>2021</w:t>
            </w:r>
          </w:p>
        </w:tc>
        <w:tc>
          <w:tcPr>
            <w:tcW w:w="240" w:type="dxa"/>
            <w:vAlign w:val="bottom"/>
          </w:tcPr>
          <w:p>
            <w:pPr>
              <w:ind w:left="80"/>
              <w:spacing w:after="0"/>
              <w:rPr>
                <w:sz w:val="20"/>
                <w:szCs w:val="20"/>
                <w:color w:val="auto"/>
              </w:rPr>
            </w:pPr>
            <w:r>
              <w:rPr>
                <w:rFonts w:ascii="Calibri" w:cs="Calibri" w:eastAsia="Calibri" w:hAnsi="Calibri"/>
                <w:sz w:val="14"/>
                <w:szCs w:val="14"/>
                <w:color w:val="auto"/>
              </w:rPr>
              <w:t>$</w:t>
            </w:r>
          </w:p>
        </w:tc>
        <w:tc>
          <w:tcPr>
            <w:tcW w:w="1160" w:type="dxa"/>
            <w:vAlign w:val="bottom"/>
          </w:tcPr>
          <w:p>
            <w:pPr>
              <w:jc w:val="right"/>
              <w:ind w:right="8"/>
              <w:spacing w:after="0"/>
              <w:rPr>
                <w:sz w:val="20"/>
                <w:szCs w:val="20"/>
                <w:color w:val="auto"/>
              </w:rPr>
            </w:pPr>
            <w:r>
              <w:rPr>
                <w:rFonts w:ascii="Calibri" w:cs="Calibri" w:eastAsia="Calibri" w:hAnsi="Calibri"/>
                <w:sz w:val="14"/>
                <w:szCs w:val="14"/>
                <w:color w:val="auto"/>
              </w:rPr>
              <w:t>8,137,329</w:t>
            </w:r>
          </w:p>
        </w:tc>
        <w:tc>
          <w:tcPr>
            <w:tcW w:w="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48"/>
              <w:spacing w:after="0"/>
              <w:rPr>
                <w:sz w:val="20"/>
                <w:szCs w:val="20"/>
                <w:color w:val="auto"/>
              </w:rPr>
            </w:pPr>
            <w:r>
              <w:rPr>
                <w:rFonts w:ascii="Calibri" w:cs="Calibri" w:eastAsia="Calibri" w:hAnsi="Calibri"/>
                <w:sz w:val="14"/>
                <w:szCs w:val="14"/>
                <w:color w:val="auto"/>
              </w:rPr>
              <w:t>30,669,186</w:t>
            </w:r>
          </w:p>
        </w:tc>
        <w:tc>
          <w:tcPr>
            <w:tcW w:w="1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960" w:type="dxa"/>
            <w:vAlign w:val="bottom"/>
          </w:tcPr>
          <w:p>
            <w:pPr>
              <w:jc w:val="right"/>
              <w:ind w:right="8"/>
              <w:spacing w:after="0"/>
              <w:rPr>
                <w:sz w:val="20"/>
                <w:szCs w:val="20"/>
                <w:color w:val="auto"/>
              </w:rPr>
            </w:pPr>
            <w:r>
              <w:rPr>
                <w:rFonts w:ascii="Calibri" w:cs="Calibri" w:eastAsia="Calibri" w:hAnsi="Calibri"/>
                <w:sz w:val="14"/>
                <w:szCs w:val="14"/>
                <w:color w:val="auto"/>
              </w:rPr>
              <w:t>2,189,740</w:t>
            </w:r>
          </w:p>
        </w:tc>
        <w:tc>
          <w:tcPr>
            <w:tcW w:w="140" w:type="dxa"/>
            <w:vAlign w:val="bottom"/>
          </w:tcPr>
          <w:p>
            <w:pPr>
              <w:ind w:left="80"/>
              <w:spacing w:after="0"/>
              <w:rPr>
                <w:sz w:val="20"/>
                <w:szCs w:val="20"/>
                <w:color w:val="auto"/>
              </w:rPr>
            </w:pPr>
            <w:r>
              <w:rPr>
                <w:rFonts w:ascii="Calibri" w:cs="Calibri" w:eastAsia="Calibri" w:hAnsi="Calibri"/>
                <w:sz w:val="11"/>
                <w:szCs w:val="11"/>
                <w:color w:val="auto"/>
                <w:w w:val="70"/>
              </w:rPr>
              <w:t>$</w:t>
            </w:r>
          </w:p>
        </w:tc>
        <w:tc>
          <w:tcPr>
            <w:tcW w:w="1460" w:type="dxa"/>
            <w:vAlign w:val="bottom"/>
          </w:tcPr>
          <w:p>
            <w:pPr>
              <w:jc w:val="right"/>
              <w:ind w:right="48"/>
              <w:spacing w:after="0"/>
              <w:rPr>
                <w:sz w:val="20"/>
                <w:szCs w:val="20"/>
                <w:color w:val="auto"/>
              </w:rPr>
            </w:pPr>
            <w:r>
              <w:rPr>
                <w:rFonts w:ascii="Calibri" w:cs="Calibri" w:eastAsia="Calibri" w:hAnsi="Calibri"/>
                <w:sz w:val="14"/>
                <w:szCs w:val="14"/>
                <w:color w:val="auto"/>
              </w:rPr>
              <w:t>5,627,245</w:t>
            </w:r>
          </w:p>
        </w:tc>
        <w:tc>
          <w:tcPr>
            <w:tcW w:w="1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195</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60" w:type="dxa"/>
            <w:vAlign w:val="bottom"/>
          </w:tcPr>
          <w:p>
            <w:pPr>
              <w:jc w:val="right"/>
              <w:ind w:right="48"/>
              <w:spacing w:after="0"/>
              <w:rPr>
                <w:sz w:val="20"/>
                <w:szCs w:val="20"/>
                <w:color w:val="auto"/>
              </w:rPr>
            </w:pPr>
            <w:r>
              <w:rPr>
                <w:rFonts w:ascii="Calibri" w:cs="Calibri" w:eastAsia="Calibri" w:hAnsi="Calibri"/>
                <w:sz w:val="14"/>
                <w:szCs w:val="14"/>
                <w:color w:val="auto"/>
              </w:rPr>
              <w:t>202</w:t>
            </w:r>
          </w:p>
        </w:tc>
        <w:tc>
          <w:tcPr>
            <w:tcW w:w="160" w:type="dxa"/>
            <w:vAlign w:val="bottom"/>
          </w:tcPr>
          <w:p>
            <w:pPr>
              <w:ind w:left="20"/>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228,763</w:t>
            </w:r>
          </w:p>
        </w:tc>
        <w:tc>
          <w:tcPr>
            <w:tcW w:w="280" w:type="dxa"/>
            <w:vAlign w:val="bottom"/>
          </w:tcPr>
          <w:p>
            <w:pPr>
              <w:ind w:left="6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ind w:right="52"/>
              <w:spacing w:after="0"/>
              <w:rPr>
                <w:sz w:val="20"/>
                <w:szCs w:val="20"/>
                <w:color w:val="auto"/>
              </w:rPr>
            </w:pPr>
            <w:r>
              <w:rPr>
                <w:rFonts w:ascii="Calibri" w:cs="Calibri" w:eastAsia="Calibri" w:hAnsi="Calibri"/>
                <w:sz w:val="14"/>
                <w:szCs w:val="14"/>
                <w:color w:val="auto"/>
              </w:rPr>
              <w:t>1,805,162</w:t>
            </w:r>
          </w:p>
        </w:tc>
      </w:tr>
      <w:tr>
        <w:trPr>
          <w:trHeight w:val="175"/>
        </w:trPr>
        <w:tc>
          <w:tcPr>
            <w:tcW w:w="540" w:type="dxa"/>
            <w:vAlign w:val="bottom"/>
            <w:tcBorders>
              <w:bottom w:val="single" w:sz="8" w:color="005CA9"/>
            </w:tcBorders>
            <w:shd w:val="clear" w:color="auto" w:fill="CFF0FC"/>
          </w:tcPr>
          <w:p>
            <w:pPr>
              <w:jc w:val="right"/>
              <w:ind w:right="88"/>
              <w:spacing w:after="0"/>
              <w:rPr>
                <w:sz w:val="20"/>
                <w:szCs w:val="20"/>
                <w:color w:val="auto"/>
              </w:rPr>
            </w:pPr>
            <w:r>
              <w:rPr>
                <w:rFonts w:ascii="Calibri" w:cs="Calibri" w:eastAsia="Calibri" w:hAnsi="Calibri"/>
                <w:sz w:val="14"/>
                <w:szCs w:val="14"/>
                <w:color w:val="auto"/>
              </w:rPr>
              <w:t>2020</w:t>
            </w:r>
          </w:p>
        </w:tc>
        <w:tc>
          <w:tcPr>
            <w:tcW w:w="240" w:type="dxa"/>
            <w:vAlign w:val="bottom"/>
            <w:tcBorders>
              <w:bottom w:val="single" w:sz="8" w:color="005CA9"/>
            </w:tcBorders>
            <w:shd w:val="clear" w:color="auto" w:fill="CFF0FC"/>
          </w:tcPr>
          <w:p>
            <w:pPr>
              <w:ind w:left="80"/>
              <w:spacing w:after="0"/>
              <w:rPr>
                <w:sz w:val="20"/>
                <w:szCs w:val="20"/>
                <w:color w:val="auto"/>
              </w:rPr>
            </w:pPr>
            <w:r>
              <w:rPr>
                <w:rFonts w:ascii="Calibri" w:cs="Calibri" w:eastAsia="Calibri" w:hAnsi="Calibri"/>
                <w:sz w:val="14"/>
                <w:szCs w:val="14"/>
                <w:color w:val="auto"/>
              </w:rPr>
              <w:t>$</w:t>
            </w:r>
          </w:p>
        </w:tc>
        <w:tc>
          <w:tcPr>
            <w:tcW w:w="1160" w:type="dxa"/>
            <w:vAlign w:val="bottom"/>
            <w:tcBorders>
              <w:bottom w:val="single" w:sz="8" w:color="005CA9"/>
            </w:tcBorders>
            <w:shd w:val="clear" w:color="auto" w:fill="CFF0FC"/>
          </w:tcPr>
          <w:p>
            <w:pPr>
              <w:jc w:val="right"/>
              <w:ind w:right="8"/>
              <w:spacing w:after="0"/>
              <w:rPr>
                <w:sz w:val="20"/>
                <w:szCs w:val="20"/>
                <w:color w:val="auto"/>
              </w:rPr>
            </w:pPr>
            <w:r>
              <w:rPr>
                <w:rFonts w:ascii="Calibri" w:cs="Calibri" w:eastAsia="Calibri" w:hAnsi="Calibri"/>
                <w:sz w:val="14"/>
                <w:szCs w:val="14"/>
                <w:color w:val="auto"/>
              </w:rPr>
              <w:t>7,856,116</w:t>
            </w:r>
          </w:p>
        </w:tc>
        <w:tc>
          <w:tcPr>
            <w:tcW w:w="200" w:type="dxa"/>
            <w:vAlign w:val="bottom"/>
            <w:tcBorders>
              <w:bottom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280" w:type="dxa"/>
            <w:vAlign w:val="bottom"/>
            <w:tcBorders>
              <w:bottom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21,550,659</w:t>
            </w:r>
          </w:p>
        </w:tc>
        <w:tc>
          <w:tcPr>
            <w:tcW w:w="120" w:type="dxa"/>
            <w:vAlign w:val="bottom"/>
            <w:tcBorders>
              <w:bottom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960" w:type="dxa"/>
            <w:vAlign w:val="bottom"/>
            <w:tcBorders>
              <w:bottom w:val="single" w:sz="8" w:color="005CA9"/>
            </w:tcBorders>
            <w:shd w:val="clear" w:color="auto" w:fill="CFF0FC"/>
          </w:tcPr>
          <w:p>
            <w:pPr>
              <w:jc w:val="right"/>
              <w:ind w:right="8"/>
              <w:spacing w:after="0"/>
              <w:rPr>
                <w:sz w:val="20"/>
                <w:szCs w:val="20"/>
                <w:color w:val="auto"/>
              </w:rPr>
            </w:pPr>
            <w:r>
              <w:rPr>
                <w:rFonts w:ascii="Calibri" w:cs="Calibri" w:eastAsia="Calibri" w:hAnsi="Calibri"/>
                <w:sz w:val="14"/>
                <w:szCs w:val="14"/>
                <w:color w:val="auto"/>
              </w:rPr>
              <w:t>2,051,918</w:t>
            </w:r>
          </w:p>
        </w:tc>
        <w:tc>
          <w:tcPr>
            <w:tcW w:w="140" w:type="dxa"/>
            <w:vAlign w:val="bottom"/>
            <w:tcBorders>
              <w:bottom w:val="single" w:sz="8" w:color="005CA9"/>
            </w:tcBorders>
            <w:shd w:val="clear" w:color="auto" w:fill="CFF0FC"/>
          </w:tcPr>
          <w:p>
            <w:pPr>
              <w:ind w:left="80"/>
              <w:spacing w:after="0"/>
              <w:rPr>
                <w:sz w:val="20"/>
                <w:szCs w:val="20"/>
                <w:color w:val="auto"/>
              </w:rPr>
            </w:pPr>
            <w:r>
              <w:rPr>
                <w:rFonts w:ascii="Calibri" w:cs="Calibri" w:eastAsia="Calibri" w:hAnsi="Calibri"/>
                <w:sz w:val="11"/>
                <w:szCs w:val="11"/>
                <w:color w:val="auto"/>
                <w:w w:val="70"/>
              </w:rPr>
              <w:t>$</w:t>
            </w:r>
          </w:p>
        </w:tc>
        <w:tc>
          <w:tcPr>
            <w:tcW w:w="1460" w:type="dxa"/>
            <w:vAlign w:val="bottom"/>
            <w:tcBorders>
              <w:bottom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4,438,637</w:t>
            </w:r>
          </w:p>
        </w:tc>
        <w:tc>
          <w:tcPr>
            <w:tcW w:w="100" w:type="dxa"/>
            <w:vAlign w:val="bottom"/>
            <w:tcBorders>
              <w:bottom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940" w:type="dxa"/>
            <w:vAlign w:val="bottom"/>
            <w:tcBorders>
              <w:bottom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125</w:t>
            </w:r>
          </w:p>
        </w:tc>
        <w:tc>
          <w:tcPr>
            <w:tcW w:w="160" w:type="dxa"/>
            <w:vAlign w:val="bottom"/>
            <w:tcBorders>
              <w:bottom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960" w:type="dxa"/>
            <w:vAlign w:val="bottom"/>
            <w:tcBorders>
              <w:bottom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146</w:t>
            </w:r>
          </w:p>
        </w:tc>
        <w:tc>
          <w:tcPr>
            <w:tcW w:w="160" w:type="dxa"/>
            <w:vAlign w:val="bottom"/>
            <w:tcBorders>
              <w:bottom w:val="single" w:sz="8" w:color="005CA9"/>
            </w:tcBorders>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005CA9"/>
            </w:tcBorders>
            <w:shd w:val="clear" w:color="auto" w:fill="CFF0FC"/>
          </w:tcPr>
          <w:p>
            <w:pPr>
              <w:jc w:val="right"/>
              <w:ind w:right="8"/>
              <w:spacing w:after="0"/>
              <w:rPr>
                <w:sz w:val="20"/>
                <w:szCs w:val="20"/>
                <w:color w:val="auto"/>
              </w:rPr>
            </w:pPr>
            <w:r>
              <w:rPr>
                <w:rFonts w:ascii="Calibri" w:cs="Calibri" w:eastAsia="Calibri" w:hAnsi="Calibri"/>
                <w:sz w:val="14"/>
                <w:szCs w:val="14"/>
                <w:color w:val="auto"/>
              </w:rPr>
              <w:t>98,088</w:t>
            </w:r>
          </w:p>
        </w:tc>
        <w:tc>
          <w:tcPr>
            <w:tcW w:w="280" w:type="dxa"/>
            <w:vAlign w:val="bottom"/>
            <w:tcBorders>
              <w:bottom w:val="single" w:sz="8" w:color="005CA9"/>
            </w:tcBorders>
            <w:shd w:val="clear" w:color="auto" w:fill="CFF0FC"/>
          </w:tcPr>
          <w:p>
            <w:pPr>
              <w:ind w:left="60"/>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005CA9"/>
            </w:tcBorders>
            <w:shd w:val="clear" w:color="auto" w:fill="CFF0FC"/>
          </w:tcPr>
          <w:p>
            <w:pPr>
              <w:jc w:val="right"/>
              <w:ind w:right="52"/>
              <w:spacing w:after="0"/>
              <w:rPr>
                <w:sz w:val="20"/>
                <w:szCs w:val="20"/>
                <w:color w:val="auto"/>
              </w:rPr>
            </w:pPr>
            <w:r>
              <w:rPr>
                <w:rFonts w:ascii="Calibri" w:cs="Calibri" w:eastAsia="Calibri" w:hAnsi="Calibri"/>
                <w:sz w:val="14"/>
                <w:szCs w:val="14"/>
                <w:color w:val="auto"/>
              </w:rPr>
              <w:t>1,229,215</w:t>
            </w:r>
          </w:p>
        </w:tc>
      </w:tr>
    </w:tbl>
    <w:p>
      <w:pPr>
        <w:ind w:left="200" w:hanging="192"/>
        <w:spacing w:after="0" w:line="218" w:lineRule="auto"/>
        <w:tabs>
          <w:tab w:leader="none" w:pos="200" w:val="left"/>
        </w:tabs>
        <w:numPr>
          <w:ilvl w:val="0"/>
          <w:numId w:val="46"/>
        </w:numPr>
        <w:rPr>
          <w:rFonts w:ascii="Calibri" w:cs="Calibri" w:eastAsia="Calibri" w:hAnsi="Calibri"/>
          <w:sz w:val="14"/>
          <w:szCs w:val="14"/>
          <w:color w:val="auto"/>
        </w:rPr>
      </w:pPr>
      <w:r>
        <w:rPr>
          <w:rFonts w:ascii="Calibri" w:cs="Calibri" w:eastAsia="Calibri" w:hAnsi="Calibri"/>
          <w:sz w:val="14"/>
          <w:szCs w:val="14"/>
          <w:color w:val="auto"/>
        </w:rPr>
        <w:t>The dollar amounts reported are the amounts of total compensaton reported for our PEO in the Summary Compensaton Table for the applicable fscal year.</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46"/>
        </w:numPr>
        <w:rPr>
          <w:rFonts w:ascii="Calibri" w:cs="Calibri" w:eastAsia="Calibri" w:hAnsi="Calibri"/>
          <w:sz w:val="14"/>
          <w:szCs w:val="14"/>
          <w:color w:val="auto"/>
        </w:rPr>
      </w:pPr>
      <w:r>
        <w:rPr>
          <w:rFonts w:ascii="Calibri" w:cs="Calibri" w:eastAsia="Calibri" w:hAnsi="Calibri"/>
          <w:sz w:val="14"/>
          <w:szCs w:val="14"/>
          <w:color w:val="auto"/>
        </w:rPr>
        <w:t>Represents the grant date fair value of the equity awards to our PEO, as reported in the “Stock Awards” column in the Summary Compensaton Table for each applicable year.</w:t>
      </w:r>
    </w:p>
    <w:p>
      <w:pPr>
        <w:spacing w:after="0" w:line="5" w:lineRule="exact"/>
        <w:rPr>
          <w:rFonts w:ascii="Calibri" w:cs="Calibri" w:eastAsia="Calibri" w:hAnsi="Calibri"/>
          <w:sz w:val="14"/>
          <w:szCs w:val="14"/>
          <w:color w:val="auto"/>
        </w:rPr>
      </w:pPr>
    </w:p>
    <w:p>
      <w:pPr>
        <w:jc w:val="both"/>
        <w:ind w:firstLine="8"/>
        <w:spacing w:after="0" w:line="245" w:lineRule="auto"/>
        <w:tabs>
          <w:tab w:leader="none" w:pos="194" w:val="left"/>
        </w:tabs>
        <w:numPr>
          <w:ilvl w:val="0"/>
          <w:numId w:val="46"/>
        </w:numPr>
        <w:rPr>
          <w:rFonts w:ascii="Calibri" w:cs="Calibri" w:eastAsia="Calibri" w:hAnsi="Calibri"/>
          <w:sz w:val="14"/>
          <w:szCs w:val="14"/>
          <w:color w:val="auto"/>
        </w:rPr>
      </w:pPr>
      <w:r>
        <w:rPr>
          <w:rFonts w:ascii="Calibri" w:cs="Calibri" w:eastAsia="Calibri" w:hAnsi="Calibri"/>
          <w:sz w:val="14"/>
          <w:szCs w:val="14"/>
          <w:color w:val="auto"/>
        </w:rPr>
        <w:t>Represents the year-over-year change in the fair value of equity awards to our PEO, as itemized in the table below. No awards granted in any year vested in the year they were granted. Fair value or change in fair value, as applicable, of equity awards in the "Compensaton Actually Paid" columns was determined by reference to (a) for RSU awards, closing price on applicable year-end dates (b) for PSU awards, the same valuaton methodology as RSU awards above except year-end share amounts are multplied by the probability of achievement as of each such date.</w:t>
      </w:r>
    </w:p>
    <w:p>
      <w:pPr>
        <w:spacing w:after="0" w:line="3" w:lineRule="exact"/>
        <w:rPr>
          <w:rFonts w:ascii="Calibri" w:cs="Calibri" w:eastAsia="Calibri" w:hAnsi="Calibri"/>
          <w:sz w:val="14"/>
          <w:szCs w:val="14"/>
          <w:color w:val="auto"/>
        </w:rPr>
      </w:pPr>
    </w:p>
    <w:p>
      <w:pPr>
        <w:jc w:val="both"/>
        <w:ind w:firstLine="8"/>
        <w:spacing w:after="0" w:line="246" w:lineRule="auto"/>
        <w:tabs>
          <w:tab w:leader="none" w:pos="207" w:val="left"/>
        </w:tabs>
        <w:numPr>
          <w:ilvl w:val="0"/>
          <w:numId w:val="46"/>
        </w:numPr>
        <w:rPr>
          <w:rFonts w:ascii="Calibri" w:cs="Calibri" w:eastAsia="Calibri" w:hAnsi="Calibri"/>
          <w:sz w:val="14"/>
          <w:szCs w:val="14"/>
          <w:color w:val="auto"/>
        </w:rPr>
      </w:pPr>
      <w:r>
        <w:rPr>
          <w:rFonts w:ascii="Calibri" w:cs="Calibri" w:eastAsia="Calibri" w:hAnsi="Calibri"/>
          <w:sz w:val="14"/>
          <w:szCs w:val="14"/>
          <w:color w:val="auto"/>
        </w:rPr>
        <w:t>Refects cumulatve TSR of the Company's Peer Group (as described above in this Proxy Statement) index, as of the applicable fscal years. See "Compensaton Review Process" for the compositon of our Peer Group Companies for the applicable year. (5) Net Sales is the fnancial measure that the Company believes to be the most important measure (that is not otherwise required to be disclosed in the table) it used in the most recent fscal year to link CAP to the NEOs. The Company generates revenue from sales of its semiconductor products to direct customers and distributors and recognizes revenue when control is transferred. Revenues are reduced in the period of sale for estmates of product returns and other allowances including distributor adjustments resultng in net sales.</w:t>
      </w:r>
    </w:p>
    <w:p>
      <w:pPr>
        <w:spacing w:after="0" w:line="90" w:lineRule="exact"/>
        <w:rPr>
          <w:sz w:val="20"/>
          <w:szCs w:val="20"/>
          <w:color w:val="auto"/>
        </w:rPr>
      </w:pPr>
    </w:p>
    <w:p>
      <w:pPr>
        <w:spacing w:after="0"/>
        <w:rPr>
          <w:sz w:val="20"/>
          <w:szCs w:val="20"/>
          <w:color w:val="auto"/>
        </w:rPr>
      </w:pPr>
      <w:r>
        <w:rPr>
          <w:rFonts w:ascii="Calibri" w:cs="Calibri" w:eastAsia="Calibri" w:hAnsi="Calibri"/>
          <w:sz w:val="20"/>
          <w:szCs w:val="20"/>
          <w:color w:val="auto"/>
        </w:rPr>
        <w:t>The PEO and other NEOs included in the above compensaton columns are comprised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Year</w:t>
            </w:r>
          </w:p>
        </w:tc>
        <w:tc>
          <w:tcPr>
            <w:tcW w:w="2200" w:type="dxa"/>
            <w:vAlign w:val="bottom"/>
          </w:tcPr>
          <w:p>
            <w:pPr>
              <w:jc w:val="right"/>
              <w:ind w:right="779"/>
              <w:spacing w:after="0"/>
              <w:rPr>
                <w:sz w:val="20"/>
                <w:szCs w:val="20"/>
                <w:color w:val="auto"/>
              </w:rPr>
            </w:pPr>
            <w:r>
              <w:rPr>
                <w:rFonts w:ascii="Calibri" w:cs="Calibri" w:eastAsia="Calibri" w:hAnsi="Calibri"/>
                <w:sz w:val="16"/>
                <w:szCs w:val="16"/>
                <w:b w:val="1"/>
                <w:bCs w:val="1"/>
                <w:color w:val="auto"/>
              </w:rPr>
              <w:t>PEO</w:t>
            </w:r>
          </w:p>
        </w:tc>
        <w:tc>
          <w:tcPr>
            <w:tcW w:w="240" w:type="dxa"/>
            <w:vAlign w:val="bottom"/>
          </w:tcPr>
          <w:p>
            <w:pPr>
              <w:spacing w:after="0"/>
              <w:rPr>
                <w:sz w:val="16"/>
                <w:szCs w:val="16"/>
                <w:color w:val="auto"/>
              </w:rPr>
            </w:pPr>
          </w:p>
        </w:tc>
        <w:tc>
          <w:tcPr>
            <w:tcW w:w="7740" w:type="dxa"/>
            <w:vAlign w:val="bottom"/>
          </w:tcPr>
          <w:p>
            <w:pPr>
              <w:ind w:left="3340"/>
              <w:spacing w:after="0"/>
              <w:rPr>
                <w:sz w:val="20"/>
                <w:szCs w:val="20"/>
                <w:color w:val="auto"/>
              </w:rPr>
            </w:pPr>
            <w:r>
              <w:rPr>
                <w:rFonts w:ascii="Calibri" w:cs="Calibri" w:eastAsia="Calibri" w:hAnsi="Calibri"/>
                <w:sz w:val="16"/>
                <w:szCs w:val="16"/>
                <w:b w:val="1"/>
                <w:bCs w:val="1"/>
                <w:color w:val="auto"/>
              </w:rPr>
              <w:t>NON-PEO NEOS</w:t>
            </w:r>
          </w:p>
        </w:tc>
      </w:tr>
      <w:tr>
        <w:trPr>
          <w:trHeight w:val="48"/>
        </w:trPr>
        <w:tc>
          <w:tcPr>
            <w:tcW w:w="1060" w:type="dxa"/>
            <w:vAlign w:val="bottom"/>
            <w:tcBorders>
              <w:bottom w:val="single" w:sz="8" w:color="005CA9"/>
            </w:tcBorders>
          </w:tcPr>
          <w:p>
            <w:pPr>
              <w:spacing w:after="0"/>
              <w:rPr>
                <w:sz w:val="4"/>
                <w:szCs w:val="4"/>
                <w:color w:val="auto"/>
              </w:rPr>
            </w:pPr>
          </w:p>
        </w:tc>
        <w:tc>
          <w:tcPr>
            <w:tcW w:w="2200" w:type="dxa"/>
            <w:vAlign w:val="bottom"/>
            <w:tcBorders>
              <w:bottom w:val="single" w:sz="8" w:color="005CA9"/>
            </w:tcBorders>
          </w:tcPr>
          <w:p>
            <w:pPr>
              <w:spacing w:after="0"/>
              <w:rPr>
                <w:sz w:val="4"/>
                <w:szCs w:val="4"/>
                <w:color w:val="auto"/>
              </w:rPr>
            </w:pPr>
          </w:p>
        </w:tc>
        <w:tc>
          <w:tcPr>
            <w:tcW w:w="240" w:type="dxa"/>
            <w:vAlign w:val="bottom"/>
            <w:tcBorders>
              <w:bottom w:val="single" w:sz="8" w:color="005CA9"/>
            </w:tcBorders>
          </w:tcPr>
          <w:p>
            <w:pPr>
              <w:spacing w:after="0"/>
              <w:rPr>
                <w:sz w:val="4"/>
                <w:szCs w:val="4"/>
                <w:color w:val="auto"/>
              </w:rPr>
            </w:pPr>
          </w:p>
        </w:tc>
        <w:tc>
          <w:tcPr>
            <w:tcW w:w="7740" w:type="dxa"/>
            <w:vAlign w:val="bottom"/>
            <w:tcBorders>
              <w:bottom w:val="single" w:sz="8" w:color="005CA9"/>
            </w:tcBorders>
          </w:tcPr>
          <w:p>
            <w:pPr>
              <w:spacing w:after="0"/>
              <w:rPr>
                <w:sz w:val="4"/>
                <w:szCs w:val="4"/>
                <w:color w:val="auto"/>
              </w:rPr>
            </w:pPr>
          </w:p>
        </w:tc>
      </w:tr>
      <w:tr>
        <w:trPr>
          <w:trHeight w:val="203"/>
        </w:trPr>
        <w:tc>
          <w:tcPr>
            <w:tcW w:w="1060" w:type="dxa"/>
            <w:vAlign w:val="bottom"/>
            <w:shd w:val="clear" w:color="auto" w:fill="CFF0FC"/>
          </w:tcPr>
          <w:p>
            <w:pPr>
              <w:jc w:val="right"/>
              <w:ind w:right="539"/>
              <w:spacing w:after="0" w:line="193" w:lineRule="exact"/>
              <w:rPr>
                <w:sz w:val="20"/>
                <w:szCs w:val="20"/>
                <w:color w:val="auto"/>
              </w:rPr>
            </w:pPr>
            <w:r>
              <w:rPr>
                <w:rFonts w:ascii="Calibri" w:cs="Calibri" w:eastAsia="Calibri" w:hAnsi="Calibri"/>
                <w:sz w:val="16"/>
                <w:szCs w:val="16"/>
                <w:color w:val="auto"/>
              </w:rPr>
              <w:t>2024</w:t>
            </w:r>
          </w:p>
        </w:tc>
        <w:tc>
          <w:tcPr>
            <w:tcW w:w="2200" w:type="dxa"/>
            <w:vAlign w:val="bottom"/>
            <w:shd w:val="clear" w:color="auto" w:fill="CFF0FC"/>
          </w:tcPr>
          <w:p>
            <w:pPr>
              <w:jc w:val="right"/>
              <w:ind w:right="779"/>
              <w:spacing w:after="0" w:line="193" w:lineRule="exact"/>
              <w:rPr>
                <w:sz w:val="20"/>
                <w:szCs w:val="20"/>
                <w:color w:val="auto"/>
              </w:rPr>
            </w:pPr>
            <w:r>
              <w:rPr>
                <w:rFonts w:ascii="Calibri" w:cs="Calibri" w:eastAsia="Calibri" w:hAnsi="Calibri"/>
                <w:sz w:val="16"/>
                <w:szCs w:val="16"/>
                <w:color w:val="auto"/>
              </w:rPr>
              <w:t>Dr. Keh-Shew Lu</w:t>
            </w:r>
          </w:p>
        </w:tc>
        <w:tc>
          <w:tcPr>
            <w:tcW w:w="240" w:type="dxa"/>
            <w:vAlign w:val="bottom"/>
            <w:shd w:val="clear" w:color="auto" w:fill="CFF0FC"/>
          </w:tcPr>
          <w:p>
            <w:pPr>
              <w:spacing w:after="0"/>
              <w:rPr>
                <w:sz w:val="17"/>
                <w:szCs w:val="17"/>
                <w:color w:val="auto"/>
              </w:rPr>
            </w:pPr>
          </w:p>
        </w:tc>
        <w:tc>
          <w:tcPr>
            <w:tcW w:w="7740" w:type="dxa"/>
            <w:vAlign w:val="bottom"/>
            <w:shd w:val="clear" w:color="auto" w:fill="CFF0FC"/>
          </w:tcPr>
          <w:p>
            <w:pPr>
              <w:ind w:left="40"/>
              <w:spacing w:after="0" w:line="193" w:lineRule="exact"/>
              <w:rPr>
                <w:sz w:val="20"/>
                <w:szCs w:val="20"/>
                <w:color w:val="auto"/>
              </w:rPr>
            </w:pPr>
            <w:r>
              <w:rPr>
                <w:rFonts w:ascii="Calibri" w:cs="Calibri" w:eastAsia="Calibri" w:hAnsi="Calibri"/>
                <w:sz w:val="16"/>
                <w:szCs w:val="16"/>
                <w:color w:val="auto"/>
              </w:rPr>
              <w:t>Bret R. Whitmire, Gary Yu, Francis Tang, Emily Yang</w:t>
            </w:r>
          </w:p>
        </w:tc>
      </w:tr>
      <w:tr>
        <w:trPr>
          <w:trHeight w:val="198"/>
        </w:trPr>
        <w:tc>
          <w:tcPr>
            <w:tcW w:w="1060" w:type="dxa"/>
            <w:vAlign w:val="bottom"/>
          </w:tcPr>
          <w:p>
            <w:pPr>
              <w:jc w:val="right"/>
              <w:ind w:right="539"/>
              <w:spacing w:after="0" w:line="193" w:lineRule="exact"/>
              <w:rPr>
                <w:sz w:val="20"/>
                <w:szCs w:val="20"/>
                <w:color w:val="auto"/>
              </w:rPr>
            </w:pPr>
            <w:r>
              <w:rPr>
                <w:rFonts w:ascii="Calibri" w:cs="Calibri" w:eastAsia="Calibri" w:hAnsi="Calibri"/>
                <w:sz w:val="16"/>
                <w:szCs w:val="16"/>
                <w:color w:val="auto"/>
              </w:rPr>
              <w:t>2023</w:t>
            </w:r>
          </w:p>
        </w:tc>
        <w:tc>
          <w:tcPr>
            <w:tcW w:w="2200" w:type="dxa"/>
            <w:vAlign w:val="bottom"/>
          </w:tcPr>
          <w:p>
            <w:pPr>
              <w:jc w:val="right"/>
              <w:ind w:right="779"/>
              <w:spacing w:after="0" w:line="193" w:lineRule="exact"/>
              <w:rPr>
                <w:sz w:val="20"/>
                <w:szCs w:val="20"/>
                <w:color w:val="auto"/>
              </w:rPr>
            </w:pPr>
            <w:r>
              <w:rPr>
                <w:rFonts w:ascii="Calibri" w:cs="Calibri" w:eastAsia="Calibri" w:hAnsi="Calibri"/>
                <w:sz w:val="16"/>
                <w:szCs w:val="16"/>
                <w:color w:val="auto"/>
              </w:rPr>
              <w:t>Dr. Keh-Shew Lu</w:t>
            </w:r>
          </w:p>
        </w:tc>
        <w:tc>
          <w:tcPr>
            <w:tcW w:w="240" w:type="dxa"/>
            <w:vAlign w:val="bottom"/>
          </w:tcPr>
          <w:p>
            <w:pPr>
              <w:spacing w:after="0"/>
              <w:rPr>
                <w:sz w:val="17"/>
                <w:szCs w:val="17"/>
                <w:color w:val="auto"/>
              </w:rPr>
            </w:pPr>
          </w:p>
        </w:tc>
        <w:tc>
          <w:tcPr>
            <w:tcW w:w="7740" w:type="dxa"/>
            <w:vAlign w:val="bottom"/>
          </w:tcPr>
          <w:p>
            <w:pPr>
              <w:ind w:left="40"/>
              <w:spacing w:after="0" w:line="193" w:lineRule="exact"/>
              <w:rPr>
                <w:sz w:val="20"/>
                <w:szCs w:val="20"/>
                <w:color w:val="auto"/>
              </w:rPr>
            </w:pPr>
            <w:r>
              <w:rPr>
                <w:rFonts w:ascii="Calibri" w:cs="Calibri" w:eastAsia="Calibri" w:hAnsi="Calibri"/>
                <w:sz w:val="16"/>
                <w:szCs w:val="16"/>
                <w:color w:val="auto"/>
              </w:rPr>
              <w:t>Bret R. Whitmire, Gary Yu, Francis Tang, Julie Holland</w:t>
            </w:r>
          </w:p>
        </w:tc>
      </w:tr>
      <w:tr>
        <w:trPr>
          <w:trHeight w:val="207"/>
        </w:trPr>
        <w:tc>
          <w:tcPr>
            <w:tcW w:w="1060" w:type="dxa"/>
            <w:vAlign w:val="bottom"/>
            <w:shd w:val="clear" w:color="auto" w:fill="CFF0FC"/>
          </w:tcPr>
          <w:p>
            <w:pPr>
              <w:jc w:val="right"/>
              <w:ind w:right="539"/>
              <w:spacing w:after="0"/>
              <w:rPr>
                <w:sz w:val="20"/>
                <w:szCs w:val="20"/>
                <w:color w:val="auto"/>
              </w:rPr>
            </w:pPr>
            <w:r>
              <w:rPr>
                <w:rFonts w:ascii="Calibri" w:cs="Calibri" w:eastAsia="Calibri" w:hAnsi="Calibri"/>
                <w:sz w:val="16"/>
                <w:szCs w:val="16"/>
                <w:color w:val="auto"/>
              </w:rPr>
              <w:t>2022</w:t>
            </w:r>
          </w:p>
        </w:tc>
        <w:tc>
          <w:tcPr>
            <w:tcW w:w="2200" w:type="dxa"/>
            <w:vAlign w:val="bottom"/>
            <w:shd w:val="clear" w:color="auto" w:fill="CFF0FC"/>
          </w:tcPr>
          <w:p>
            <w:pPr>
              <w:jc w:val="right"/>
              <w:ind w:right="779"/>
              <w:spacing w:after="0"/>
              <w:rPr>
                <w:sz w:val="20"/>
                <w:szCs w:val="20"/>
                <w:color w:val="auto"/>
              </w:rPr>
            </w:pPr>
            <w:r>
              <w:rPr>
                <w:rFonts w:ascii="Calibri" w:cs="Calibri" w:eastAsia="Calibri" w:hAnsi="Calibri"/>
                <w:sz w:val="16"/>
                <w:szCs w:val="16"/>
                <w:color w:val="auto"/>
              </w:rPr>
              <w:t>Dr. Keh-Shew Lu</w:t>
            </w:r>
          </w:p>
        </w:tc>
        <w:tc>
          <w:tcPr>
            <w:tcW w:w="240" w:type="dxa"/>
            <w:vAlign w:val="bottom"/>
            <w:shd w:val="clear" w:color="auto" w:fill="CFF0FC"/>
          </w:tcPr>
          <w:p>
            <w:pPr>
              <w:spacing w:after="0"/>
              <w:rPr>
                <w:sz w:val="18"/>
                <w:szCs w:val="18"/>
                <w:color w:val="auto"/>
              </w:rPr>
            </w:pPr>
          </w:p>
        </w:tc>
        <w:tc>
          <w:tcPr>
            <w:tcW w:w="7740" w:type="dxa"/>
            <w:vAlign w:val="bottom"/>
            <w:shd w:val="clear" w:color="auto" w:fill="CFF0FC"/>
          </w:tcPr>
          <w:p>
            <w:pPr>
              <w:ind w:left="40"/>
              <w:spacing w:after="0"/>
              <w:rPr>
                <w:sz w:val="20"/>
                <w:szCs w:val="20"/>
                <w:color w:val="auto"/>
              </w:rPr>
            </w:pPr>
            <w:r>
              <w:rPr>
                <w:rFonts w:ascii="Calibri" w:cs="Calibri" w:eastAsia="Calibri" w:hAnsi="Calibri"/>
                <w:sz w:val="16"/>
                <w:szCs w:val="16"/>
                <w:color w:val="auto"/>
              </w:rPr>
              <w:t>Bret R. Whitmire, Gary Yu, Francis Tang, Julie Holland</w:t>
            </w:r>
          </w:p>
        </w:tc>
      </w:tr>
      <w:tr>
        <w:trPr>
          <w:trHeight w:val="198"/>
        </w:trPr>
        <w:tc>
          <w:tcPr>
            <w:tcW w:w="1060" w:type="dxa"/>
            <w:vAlign w:val="bottom"/>
          </w:tcPr>
          <w:p>
            <w:pPr>
              <w:jc w:val="right"/>
              <w:ind w:right="539"/>
              <w:spacing w:after="0" w:line="193" w:lineRule="exact"/>
              <w:rPr>
                <w:sz w:val="20"/>
                <w:szCs w:val="20"/>
                <w:color w:val="auto"/>
              </w:rPr>
            </w:pPr>
            <w:r>
              <w:rPr>
                <w:rFonts w:ascii="Calibri" w:cs="Calibri" w:eastAsia="Calibri" w:hAnsi="Calibri"/>
                <w:sz w:val="16"/>
                <w:szCs w:val="16"/>
                <w:color w:val="auto"/>
              </w:rPr>
              <w:t>2021</w:t>
            </w:r>
          </w:p>
        </w:tc>
        <w:tc>
          <w:tcPr>
            <w:tcW w:w="2200" w:type="dxa"/>
            <w:vAlign w:val="bottom"/>
          </w:tcPr>
          <w:p>
            <w:pPr>
              <w:jc w:val="right"/>
              <w:ind w:right="779"/>
              <w:spacing w:after="0" w:line="193" w:lineRule="exact"/>
              <w:rPr>
                <w:sz w:val="20"/>
                <w:szCs w:val="20"/>
                <w:color w:val="auto"/>
              </w:rPr>
            </w:pPr>
            <w:r>
              <w:rPr>
                <w:rFonts w:ascii="Calibri" w:cs="Calibri" w:eastAsia="Calibri" w:hAnsi="Calibri"/>
                <w:sz w:val="16"/>
                <w:szCs w:val="16"/>
                <w:color w:val="auto"/>
              </w:rPr>
              <w:t>Dr. Keh-Shew Lu</w:t>
            </w:r>
          </w:p>
        </w:tc>
        <w:tc>
          <w:tcPr>
            <w:tcW w:w="240" w:type="dxa"/>
            <w:vAlign w:val="bottom"/>
          </w:tcPr>
          <w:p>
            <w:pPr>
              <w:spacing w:after="0"/>
              <w:rPr>
                <w:sz w:val="17"/>
                <w:szCs w:val="17"/>
                <w:color w:val="auto"/>
              </w:rPr>
            </w:pPr>
          </w:p>
        </w:tc>
        <w:tc>
          <w:tcPr>
            <w:tcW w:w="7740" w:type="dxa"/>
            <w:vAlign w:val="bottom"/>
          </w:tcPr>
          <w:p>
            <w:pPr>
              <w:ind w:left="40"/>
              <w:spacing w:after="0" w:line="193" w:lineRule="exact"/>
              <w:rPr>
                <w:sz w:val="20"/>
                <w:szCs w:val="20"/>
                <w:color w:val="auto"/>
              </w:rPr>
            </w:pPr>
            <w:r>
              <w:rPr>
                <w:rFonts w:ascii="Calibri" w:cs="Calibri" w:eastAsia="Calibri" w:hAnsi="Calibri"/>
                <w:sz w:val="16"/>
                <w:szCs w:val="16"/>
                <w:color w:val="auto"/>
              </w:rPr>
              <w:t>Bret R. Whitmire, Gary Yu, Francis Tang, Julie Holland</w:t>
            </w:r>
          </w:p>
        </w:tc>
      </w:tr>
      <w:tr>
        <w:trPr>
          <w:trHeight w:val="203"/>
        </w:trPr>
        <w:tc>
          <w:tcPr>
            <w:tcW w:w="1060" w:type="dxa"/>
            <w:vAlign w:val="bottom"/>
            <w:tcBorders>
              <w:bottom w:val="single" w:sz="8" w:color="005CA9"/>
            </w:tcBorders>
            <w:shd w:val="clear" w:color="auto" w:fill="CFF0FC"/>
          </w:tcPr>
          <w:p>
            <w:pPr>
              <w:jc w:val="right"/>
              <w:ind w:right="539"/>
              <w:spacing w:after="0"/>
              <w:rPr>
                <w:sz w:val="20"/>
                <w:szCs w:val="20"/>
                <w:color w:val="auto"/>
              </w:rPr>
            </w:pPr>
            <w:r>
              <w:rPr>
                <w:rFonts w:ascii="Calibri" w:cs="Calibri" w:eastAsia="Calibri" w:hAnsi="Calibri"/>
                <w:sz w:val="16"/>
                <w:szCs w:val="16"/>
                <w:color w:val="auto"/>
              </w:rPr>
              <w:t>2020</w:t>
            </w:r>
          </w:p>
        </w:tc>
        <w:tc>
          <w:tcPr>
            <w:tcW w:w="2200" w:type="dxa"/>
            <w:vAlign w:val="bottom"/>
            <w:tcBorders>
              <w:bottom w:val="single" w:sz="8" w:color="005CA9"/>
            </w:tcBorders>
            <w:shd w:val="clear" w:color="auto" w:fill="CFF0FC"/>
          </w:tcPr>
          <w:p>
            <w:pPr>
              <w:jc w:val="right"/>
              <w:ind w:right="779"/>
              <w:spacing w:after="0"/>
              <w:rPr>
                <w:sz w:val="20"/>
                <w:szCs w:val="20"/>
                <w:color w:val="auto"/>
              </w:rPr>
            </w:pPr>
            <w:r>
              <w:rPr>
                <w:rFonts w:ascii="Calibri" w:cs="Calibri" w:eastAsia="Calibri" w:hAnsi="Calibri"/>
                <w:sz w:val="16"/>
                <w:szCs w:val="16"/>
                <w:color w:val="auto"/>
              </w:rPr>
              <w:t>Dr. Keh-Shew Lu</w:t>
            </w:r>
          </w:p>
        </w:tc>
        <w:tc>
          <w:tcPr>
            <w:tcW w:w="240" w:type="dxa"/>
            <w:vAlign w:val="bottom"/>
            <w:tcBorders>
              <w:bottom w:val="single" w:sz="8" w:color="auto"/>
            </w:tcBorders>
            <w:shd w:val="clear" w:color="auto" w:fill="CFF0FC"/>
          </w:tcPr>
          <w:p>
            <w:pPr>
              <w:spacing w:after="0"/>
              <w:rPr>
                <w:sz w:val="17"/>
                <w:szCs w:val="17"/>
                <w:color w:val="auto"/>
              </w:rPr>
            </w:pPr>
          </w:p>
        </w:tc>
        <w:tc>
          <w:tcPr>
            <w:tcW w:w="7740" w:type="dxa"/>
            <w:vAlign w:val="bottom"/>
            <w:tcBorders>
              <w:bottom w:val="single" w:sz="8" w:color="005CA9"/>
            </w:tcBorders>
            <w:shd w:val="clear" w:color="auto" w:fill="CFF0FC"/>
          </w:tcPr>
          <w:p>
            <w:pPr>
              <w:ind w:left="40"/>
              <w:spacing w:after="0"/>
              <w:rPr>
                <w:sz w:val="20"/>
                <w:szCs w:val="20"/>
                <w:color w:val="auto"/>
              </w:rPr>
            </w:pPr>
            <w:r>
              <w:rPr>
                <w:rFonts w:ascii="Calibri" w:cs="Calibri" w:eastAsia="Calibri" w:hAnsi="Calibri"/>
                <w:sz w:val="16"/>
                <w:szCs w:val="16"/>
                <w:color w:val="auto"/>
              </w:rPr>
              <w:t>Bret R. Whitmire, Francis Tang, Emily Yang, Julie Holland</w:t>
            </w:r>
          </w:p>
        </w:tc>
      </w:tr>
    </w:tbl>
    <w:p>
      <w:pPr>
        <w:spacing w:after="0" w:line="8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To calculate the amounts in the "Compensaton Actually Paid to PEO" column in the Pay versus Performance table above, the following amounts were deducted from and added to (as applicable) "Total" compensaton of our PEO for each applicable year, as reported in the Summary Compensaton Table above.</w:t>
      </w:r>
    </w:p>
    <w:p>
      <w:pPr>
        <w:spacing w:after="0" w:line="34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60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3" w:name="page64"/>
    <w:bookmarkEnd w:id="63"/>
    <w:p>
      <w:pPr>
        <w:jc w:val="center"/>
        <w:ind w:right="100"/>
        <w:spacing w:after="0"/>
        <w:rPr>
          <w:sz w:val="20"/>
          <w:szCs w:val="20"/>
          <w:color w:val="auto"/>
        </w:rPr>
      </w:pPr>
      <w:r>
        <w:rPr>
          <w:rFonts w:ascii="Calibri" w:cs="Calibri" w:eastAsia="Calibri" w:hAnsi="Calibri"/>
          <w:sz w:val="20"/>
          <w:szCs w:val="20"/>
          <w:color w:val="auto"/>
        </w:rPr>
        <w:t>Compensaton Actually Paid to PEO</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20" w:type="dxa"/>
            <w:vAlign w:val="bottom"/>
            <w:tcBorders>
              <w:top w:val="single" w:sz="8" w:color="005CA9"/>
            </w:tcBorders>
          </w:tcPr>
          <w:p>
            <w:pPr>
              <w:spacing w:after="0"/>
              <w:rPr>
                <w:sz w:val="17"/>
                <w:szCs w:val="17"/>
                <w:color w:val="auto"/>
              </w:rPr>
            </w:pPr>
          </w:p>
        </w:tc>
        <w:tc>
          <w:tcPr>
            <w:tcW w:w="360" w:type="dxa"/>
            <w:vAlign w:val="bottom"/>
            <w:tcBorders>
              <w:top w:val="single" w:sz="8" w:color="005CA9"/>
            </w:tcBorders>
          </w:tcPr>
          <w:p>
            <w:pPr>
              <w:spacing w:after="0"/>
              <w:rPr>
                <w:sz w:val="17"/>
                <w:szCs w:val="17"/>
                <w:color w:val="auto"/>
              </w:rPr>
            </w:pPr>
          </w:p>
        </w:tc>
        <w:tc>
          <w:tcPr>
            <w:tcW w:w="1760" w:type="dxa"/>
            <w:vAlign w:val="bottom"/>
            <w:tcBorders>
              <w:top w:val="single" w:sz="8" w:color="005CA9"/>
            </w:tcBorders>
          </w:tcPr>
          <w:p>
            <w:pPr>
              <w:spacing w:after="0"/>
              <w:rPr>
                <w:sz w:val="17"/>
                <w:szCs w:val="17"/>
                <w:color w:val="auto"/>
              </w:rPr>
            </w:pPr>
          </w:p>
        </w:tc>
        <w:tc>
          <w:tcPr>
            <w:tcW w:w="200" w:type="dxa"/>
            <w:vAlign w:val="bottom"/>
            <w:tcBorders>
              <w:top w:val="single" w:sz="8" w:color="005CA9"/>
            </w:tcBorders>
          </w:tcPr>
          <w:p>
            <w:pPr>
              <w:spacing w:after="0"/>
              <w:rPr>
                <w:sz w:val="17"/>
                <w:szCs w:val="17"/>
                <w:color w:val="auto"/>
              </w:rPr>
            </w:pPr>
          </w:p>
        </w:tc>
        <w:tc>
          <w:tcPr>
            <w:tcW w:w="1760" w:type="dxa"/>
            <w:vAlign w:val="bottom"/>
            <w:tcBorders>
              <w:top w:val="single" w:sz="8" w:color="005CA9"/>
            </w:tcBorders>
          </w:tcPr>
          <w:p>
            <w:pPr>
              <w:spacing w:after="0"/>
              <w:rPr>
                <w:sz w:val="17"/>
                <w:szCs w:val="17"/>
                <w:color w:val="auto"/>
              </w:rPr>
            </w:pPr>
          </w:p>
        </w:tc>
        <w:tc>
          <w:tcPr>
            <w:tcW w:w="560" w:type="dxa"/>
            <w:vAlign w:val="bottom"/>
            <w:tcBorders>
              <w:top w:val="single" w:sz="8" w:color="005CA9"/>
            </w:tcBorders>
          </w:tcPr>
          <w:p>
            <w:pPr>
              <w:spacing w:after="0"/>
              <w:rPr>
                <w:sz w:val="17"/>
                <w:szCs w:val="17"/>
                <w:color w:val="auto"/>
              </w:rPr>
            </w:pPr>
          </w:p>
        </w:tc>
        <w:tc>
          <w:tcPr>
            <w:tcW w:w="1980" w:type="dxa"/>
            <w:vAlign w:val="bottom"/>
            <w:tcBorders>
              <w:top w:val="single" w:sz="8" w:color="005CA9"/>
            </w:tcBorders>
          </w:tcPr>
          <w:p>
            <w:pPr>
              <w:spacing w:after="0"/>
              <w:rPr>
                <w:sz w:val="17"/>
                <w:szCs w:val="17"/>
                <w:color w:val="auto"/>
              </w:rPr>
            </w:pPr>
          </w:p>
        </w:tc>
        <w:tc>
          <w:tcPr>
            <w:tcW w:w="1640" w:type="dxa"/>
            <w:vAlign w:val="bottom"/>
            <w:tcBorders>
              <w:top w:val="single" w:sz="8" w:color="005CA9"/>
            </w:tcBorders>
          </w:tcPr>
          <w:p>
            <w:pPr>
              <w:jc w:val="center"/>
              <w:ind w:right="208"/>
              <w:spacing w:after="0"/>
              <w:rPr>
                <w:sz w:val="20"/>
                <w:szCs w:val="20"/>
                <w:color w:val="auto"/>
              </w:rPr>
            </w:pPr>
            <w:r>
              <w:rPr>
                <w:rFonts w:ascii="Calibri" w:cs="Calibri" w:eastAsia="Calibri" w:hAnsi="Calibri"/>
                <w:sz w:val="14"/>
                <w:szCs w:val="14"/>
                <w:b w:val="1"/>
                <w:bCs w:val="1"/>
                <w:color w:val="auto"/>
                <w:w w:val="99"/>
              </w:rPr>
              <w:t>Plus</w:t>
            </w:r>
          </w:p>
        </w:tc>
        <w:tc>
          <w:tcPr>
            <w:tcW w:w="440" w:type="dxa"/>
            <w:vAlign w:val="bottom"/>
            <w:tcBorders>
              <w:top w:val="single" w:sz="8" w:color="005CA9"/>
            </w:tcBorders>
          </w:tcPr>
          <w:p>
            <w:pPr>
              <w:spacing w:after="0"/>
              <w:rPr>
                <w:sz w:val="17"/>
                <w:szCs w:val="17"/>
                <w:color w:val="auto"/>
              </w:rPr>
            </w:pPr>
          </w:p>
        </w:tc>
        <w:tc>
          <w:tcPr>
            <w:tcW w:w="1520" w:type="dxa"/>
            <w:vAlign w:val="bottom"/>
            <w:tcBorders>
              <w:top w:val="single" w:sz="8" w:color="005CA9"/>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40" w:type="dxa"/>
            <w:vAlign w:val="bottom"/>
          </w:tcPr>
          <w:p>
            <w:pPr>
              <w:jc w:val="center"/>
              <w:ind w:right="188"/>
              <w:spacing w:after="0"/>
              <w:rPr>
                <w:sz w:val="20"/>
                <w:szCs w:val="20"/>
                <w:color w:val="auto"/>
              </w:rPr>
            </w:pPr>
            <w:r>
              <w:rPr>
                <w:rFonts w:ascii="Calibri" w:cs="Calibri" w:eastAsia="Calibri" w:hAnsi="Calibri"/>
                <w:sz w:val="14"/>
                <w:szCs w:val="14"/>
                <w:b w:val="1"/>
                <w:bCs w:val="1"/>
                <w:color w:val="auto"/>
              </w:rPr>
              <w:t>Reported Change in</w:t>
            </w: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40" w:type="dxa"/>
            <w:vAlign w:val="bottom"/>
          </w:tcPr>
          <w:p>
            <w:pPr>
              <w:jc w:val="center"/>
              <w:ind w:right="188"/>
              <w:spacing w:after="0"/>
              <w:rPr>
                <w:sz w:val="20"/>
                <w:szCs w:val="20"/>
                <w:color w:val="auto"/>
              </w:rPr>
            </w:pPr>
            <w:r>
              <w:rPr>
                <w:rFonts w:ascii="Calibri" w:cs="Calibri" w:eastAsia="Calibri" w:hAnsi="Calibri"/>
                <w:sz w:val="14"/>
                <w:szCs w:val="14"/>
                <w:b w:val="1"/>
                <w:bCs w:val="1"/>
                <w:color w:val="auto"/>
              </w:rPr>
              <w:t>Pension Value</w:t>
            </w: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40" w:type="dxa"/>
            <w:vAlign w:val="bottom"/>
          </w:tcPr>
          <w:p>
            <w:pPr>
              <w:jc w:val="center"/>
              <w:ind w:right="188"/>
              <w:spacing w:after="0"/>
              <w:rPr>
                <w:sz w:val="20"/>
                <w:szCs w:val="20"/>
                <w:color w:val="auto"/>
              </w:rPr>
            </w:pPr>
            <w:r>
              <w:rPr>
                <w:rFonts w:ascii="Calibri" w:cs="Calibri" w:eastAsia="Calibri" w:hAnsi="Calibri"/>
                <w:sz w:val="14"/>
                <w:szCs w:val="14"/>
                <w:b w:val="1"/>
                <w:bCs w:val="1"/>
                <w:color w:val="auto"/>
                <w:w w:val="99"/>
              </w:rPr>
              <w:t>and</w:t>
            </w: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40" w:type="dxa"/>
            <w:vAlign w:val="bottom"/>
          </w:tcPr>
          <w:p>
            <w:pPr>
              <w:jc w:val="center"/>
              <w:ind w:right="188"/>
              <w:spacing w:after="0"/>
              <w:rPr>
                <w:sz w:val="20"/>
                <w:szCs w:val="20"/>
                <w:color w:val="auto"/>
              </w:rPr>
            </w:pPr>
            <w:r>
              <w:rPr>
                <w:rFonts w:ascii="Calibri" w:cs="Calibri" w:eastAsia="Calibri" w:hAnsi="Calibri"/>
                <w:sz w:val="14"/>
                <w:szCs w:val="14"/>
                <w:b w:val="1"/>
                <w:bCs w:val="1"/>
                <w:color w:val="auto"/>
              </w:rPr>
              <w:t>Non-qualifed</w:t>
            </w: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40" w:type="dxa"/>
            <w:vAlign w:val="bottom"/>
          </w:tcPr>
          <w:p>
            <w:pPr>
              <w:jc w:val="center"/>
              <w:ind w:right="188"/>
              <w:spacing w:after="0"/>
              <w:rPr>
                <w:sz w:val="20"/>
                <w:szCs w:val="20"/>
                <w:color w:val="auto"/>
              </w:rPr>
            </w:pPr>
            <w:r>
              <w:rPr>
                <w:rFonts w:ascii="Calibri" w:cs="Calibri" w:eastAsia="Calibri" w:hAnsi="Calibri"/>
                <w:sz w:val="14"/>
                <w:szCs w:val="14"/>
                <w:b w:val="1"/>
                <w:bCs w:val="1"/>
                <w:color w:val="auto"/>
              </w:rPr>
              <w:t>Deferred</w:t>
            </w: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jc w:val="center"/>
              <w:ind w:right="128"/>
              <w:spacing w:after="0"/>
              <w:rPr>
                <w:sz w:val="20"/>
                <w:szCs w:val="20"/>
                <w:color w:val="auto"/>
              </w:rPr>
            </w:pPr>
            <w:r>
              <w:rPr>
                <w:rFonts w:ascii="Calibri" w:cs="Calibri" w:eastAsia="Calibri" w:hAnsi="Calibri"/>
                <w:sz w:val="14"/>
                <w:szCs w:val="14"/>
                <w:b w:val="1"/>
                <w:bCs w:val="1"/>
                <w:color w:val="auto"/>
                <w:w w:val="99"/>
              </w:rPr>
              <w:t>Minus</w:t>
            </w:r>
          </w:p>
        </w:tc>
        <w:tc>
          <w:tcPr>
            <w:tcW w:w="560" w:type="dxa"/>
            <w:vAlign w:val="bottom"/>
          </w:tcPr>
          <w:p>
            <w:pPr>
              <w:spacing w:after="0"/>
              <w:rPr>
                <w:sz w:val="15"/>
                <w:szCs w:val="15"/>
                <w:color w:val="auto"/>
              </w:rPr>
            </w:pPr>
          </w:p>
        </w:tc>
        <w:tc>
          <w:tcPr>
            <w:tcW w:w="1980" w:type="dxa"/>
            <w:vAlign w:val="bottom"/>
            <w:vMerge w:val="restart"/>
          </w:tcPr>
          <w:p>
            <w:pPr>
              <w:jc w:val="center"/>
              <w:ind w:right="791"/>
              <w:spacing w:after="0"/>
              <w:rPr>
                <w:sz w:val="20"/>
                <w:szCs w:val="20"/>
                <w:color w:val="auto"/>
              </w:rPr>
            </w:pPr>
            <w:r>
              <w:rPr>
                <w:rFonts w:ascii="Calibri" w:cs="Calibri" w:eastAsia="Calibri" w:hAnsi="Calibri"/>
                <w:sz w:val="14"/>
                <w:szCs w:val="14"/>
                <w:b w:val="1"/>
                <w:bCs w:val="1"/>
                <w:color w:val="auto"/>
                <w:w w:val="99"/>
              </w:rPr>
              <w:t>Plus</w:t>
            </w:r>
          </w:p>
        </w:tc>
        <w:tc>
          <w:tcPr>
            <w:tcW w:w="1640" w:type="dxa"/>
            <w:vAlign w:val="bottom"/>
          </w:tcPr>
          <w:p>
            <w:pPr>
              <w:jc w:val="center"/>
              <w:ind w:right="188"/>
              <w:spacing w:after="0"/>
              <w:rPr>
                <w:sz w:val="20"/>
                <w:szCs w:val="20"/>
                <w:color w:val="auto"/>
              </w:rPr>
            </w:pPr>
            <w:r>
              <w:rPr>
                <w:rFonts w:ascii="Calibri" w:cs="Calibri" w:eastAsia="Calibri" w:hAnsi="Calibri"/>
                <w:sz w:val="14"/>
                <w:szCs w:val="14"/>
                <w:b w:val="1"/>
                <w:bCs w:val="1"/>
                <w:color w:val="auto"/>
              </w:rPr>
              <w:t>Compensaton</w:t>
            </w: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vMerge w:val="restart"/>
          </w:tcPr>
          <w:p>
            <w:pPr>
              <w:jc w:val="right"/>
              <w:ind w:right="168"/>
              <w:spacing w:after="0"/>
              <w:rPr>
                <w:sz w:val="20"/>
                <w:szCs w:val="20"/>
                <w:color w:val="auto"/>
              </w:rPr>
            </w:pPr>
            <w:r>
              <w:rPr>
                <w:rFonts w:ascii="Calibri" w:cs="Calibri" w:eastAsia="Calibri" w:hAnsi="Calibri"/>
                <w:sz w:val="14"/>
                <w:szCs w:val="14"/>
                <w:b w:val="1"/>
                <w:bCs w:val="1"/>
                <w:color w:val="auto"/>
              </w:rPr>
              <w:t>Summary Compensaton</w:t>
            </w:r>
          </w:p>
        </w:tc>
        <w:tc>
          <w:tcPr>
            <w:tcW w:w="200" w:type="dxa"/>
            <w:vAlign w:val="bottom"/>
          </w:tcPr>
          <w:p>
            <w:pPr>
              <w:spacing w:after="0"/>
              <w:rPr>
                <w:sz w:val="4"/>
                <w:szCs w:val="4"/>
                <w:color w:val="auto"/>
              </w:rPr>
            </w:pPr>
          </w:p>
        </w:tc>
        <w:tc>
          <w:tcPr>
            <w:tcW w:w="1760" w:type="dxa"/>
            <w:vAlign w:val="bottom"/>
            <w:vMerge w:val="restart"/>
          </w:tcPr>
          <w:p>
            <w:pPr>
              <w:jc w:val="center"/>
              <w:ind w:right="128"/>
              <w:spacing w:after="0"/>
              <w:rPr>
                <w:sz w:val="20"/>
                <w:szCs w:val="20"/>
                <w:color w:val="auto"/>
              </w:rPr>
            </w:pPr>
            <w:r>
              <w:rPr>
                <w:rFonts w:ascii="Calibri" w:cs="Calibri" w:eastAsia="Calibri" w:hAnsi="Calibri"/>
                <w:sz w:val="14"/>
                <w:szCs w:val="14"/>
                <w:b w:val="1"/>
                <w:bCs w:val="1"/>
                <w:color w:val="auto"/>
              </w:rPr>
              <w:t>Reported Value of Equity</w:t>
            </w:r>
          </w:p>
        </w:tc>
        <w:tc>
          <w:tcPr>
            <w:tcW w:w="56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640" w:type="dxa"/>
            <w:vAlign w:val="bottom"/>
            <w:vMerge w:val="restart"/>
          </w:tcPr>
          <w:p>
            <w:pPr>
              <w:jc w:val="center"/>
              <w:ind w:right="188"/>
              <w:spacing w:after="0"/>
              <w:rPr>
                <w:sz w:val="20"/>
                <w:szCs w:val="20"/>
                <w:color w:val="auto"/>
              </w:rPr>
            </w:pPr>
            <w:r>
              <w:rPr>
                <w:rFonts w:ascii="Calibri" w:cs="Calibri" w:eastAsia="Calibri" w:hAnsi="Calibri"/>
                <w:sz w:val="14"/>
                <w:szCs w:val="14"/>
                <w:b w:val="1"/>
                <w:bCs w:val="1"/>
                <w:color w:val="auto"/>
              </w:rPr>
              <w:t>Earnings</w:t>
            </w:r>
          </w:p>
        </w:tc>
        <w:tc>
          <w:tcPr>
            <w:tcW w:w="1960" w:type="dxa"/>
            <w:vAlign w:val="bottom"/>
            <w:gridSpan w:val="2"/>
            <w:vMerge w:val="restart"/>
          </w:tcPr>
          <w:p>
            <w:pPr>
              <w:jc w:val="right"/>
              <w:ind w:right="108"/>
              <w:spacing w:after="0"/>
              <w:rPr>
                <w:sz w:val="20"/>
                <w:szCs w:val="20"/>
                <w:color w:val="auto"/>
              </w:rPr>
            </w:pPr>
            <w:r>
              <w:rPr>
                <w:rFonts w:ascii="Calibri" w:cs="Calibri" w:eastAsia="Calibri" w:hAnsi="Calibri"/>
                <w:sz w:val="14"/>
                <w:szCs w:val="14"/>
                <w:b w:val="1"/>
                <w:bCs w:val="1"/>
                <w:color w:val="auto"/>
              </w:rPr>
              <w:t>Compensaton Actually Paid</w:t>
            </w:r>
          </w:p>
        </w:tc>
        <w:tc>
          <w:tcPr>
            <w:tcW w:w="0" w:type="dxa"/>
            <w:vAlign w:val="bottom"/>
          </w:tcPr>
          <w:p>
            <w:pPr>
              <w:spacing w:after="0"/>
              <w:rPr>
                <w:sz w:val="1"/>
                <w:szCs w:val="1"/>
                <w:color w:val="auto"/>
              </w:rPr>
            </w:pPr>
          </w:p>
        </w:tc>
      </w:tr>
      <w:tr>
        <w:trPr>
          <w:trHeight w:val="141"/>
        </w:trPr>
        <w:tc>
          <w:tcPr>
            <w:tcW w:w="1020" w:type="dxa"/>
            <w:vAlign w:val="bottom"/>
            <w:vMerge w:val="restart"/>
          </w:tcPr>
          <w:p>
            <w:pPr>
              <w:jc w:val="right"/>
              <w:ind w:right="168"/>
              <w:spacing w:after="0"/>
              <w:rPr>
                <w:sz w:val="20"/>
                <w:szCs w:val="20"/>
                <w:color w:val="auto"/>
              </w:rPr>
            </w:pPr>
            <w:r>
              <w:rPr>
                <w:rFonts w:ascii="Calibri" w:cs="Calibri" w:eastAsia="Calibri" w:hAnsi="Calibri"/>
                <w:sz w:val="14"/>
                <w:szCs w:val="14"/>
                <w:b w:val="1"/>
                <w:bCs w:val="1"/>
                <w:color w:val="auto"/>
              </w:rPr>
              <w:t>Year</w:t>
            </w:r>
          </w:p>
        </w:tc>
        <w:tc>
          <w:tcPr>
            <w:tcW w:w="36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540" w:type="dxa"/>
            <w:vAlign w:val="bottom"/>
            <w:gridSpan w:val="2"/>
          </w:tcPr>
          <w:p>
            <w:pPr>
              <w:jc w:val="center"/>
              <w:ind w:right="231"/>
              <w:spacing w:after="0" w:line="141" w:lineRule="exact"/>
              <w:rPr>
                <w:sz w:val="20"/>
                <w:szCs w:val="20"/>
                <w:color w:val="auto"/>
              </w:rPr>
            </w:pPr>
            <w:r>
              <w:rPr>
                <w:rFonts w:ascii="Calibri" w:cs="Calibri" w:eastAsia="Calibri" w:hAnsi="Calibri"/>
                <w:sz w:val="14"/>
                <w:szCs w:val="14"/>
                <w:b w:val="1"/>
                <w:bCs w:val="1"/>
                <w:color w:val="auto"/>
              </w:rPr>
              <w:t>Equity Award Adjustments for PEO</w:t>
            </w:r>
          </w:p>
        </w:tc>
        <w:tc>
          <w:tcPr>
            <w:tcW w:w="1640" w:type="dxa"/>
            <w:vAlign w:val="bottom"/>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5CA9"/>
            </w:tcBorders>
            <w:vMerge w:val="continue"/>
          </w:tcPr>
          <w:p>
            <w:pPr>
              <w:spacing w:after="0"/>
              <w:rPr>
                <w:sz w:val="17"/>
                <w:szCs w:val="17"/>
                <w:color w:val="auto"/>
              </w:rPr>
            </w:pPr>
          </w:p>
        </w:tc>
        <w:tc>
          <w:tcPr>
            <w:tcW w:w="360" w:type="dxa"/>
            <w:vAlign w:val="bottom"/>
            <w:tcBorders>
              <w:bottom w:val="single" w:sz="8" w:color="005CA9"/>
            </w:tcBorders>
          </w:tcPr>
          <w:p>
            <w:pPr>
              <w:spacing w:after="0"/>
              <w:rPr>
                <w:sz w:val="17"/>
                <w:szCs w:val="17"/>
                <w:color w:val="auto"/>
              </w:rPr>
            </w:pPr>
          </w:p>
        </w:tc>
        <w:tc>
          <w:tcPr>
            <w:tcW w:w="1760" w:type="dxa"/>
            <w:vAlign w:val="bottom"/>
            <w:tcBorders>
              <w:bottom w:val="single" w:sz="8" w:color="005CA9"/>
            </w:tcBorders>
          </w:tcPr>
          <w:p>
            <w:pPr>
              <w:jc w:val="right"/>
              <w:ind w:right="248"/>
              <w:spacing w:after="0" w:line="175" w:lineRule="exact"/>
              <w:rPr>
                <w:sz w:val="20"/>
                <w:szCs w:val="20"/>
                <w:color w:val="auto"/>
              </w:rPr>
            </w:pPr>
            <w:r>
              <w:rPr>
                <w:rFonts w:ascii="Calibri" w:cs="Calibri" w:eastAsia="Calibri" w:hAnsi="Calibri"/>
                <w:sz w:val="14"/>
                <w:szCs w:val="14"/>
                <w:b w:val="1"/>
                <w:bCs w:val="1"/>
                <w:color w:val="auto"/>
              </w:rPr>
              <w:t xml:space="preserve">Table Total for PEO </w:t>
            </w:r>
            <w:r>
              <w:rPr>
                <w:rFonts w:ascii="Calibri" w:cs="Calibri" w:eastAsia="Calibri" w:hAnsi="Calibri"/>
                <w:sz w:val="19"/>
                <w:szCs w:val="19"/>
                <w:b w:val="1"/>
                <w:bCs w:val="1"/>
                <w:color w:val="auto"/>
                <w:vertAlign w:val="superscript"/>
              </w:rPr>
              <w:t>(1)</w:t>
            </w:r>
          </w:p>
        </w:tc>
        <w:tc>
          <w:tcPr>
            <w:tcW w:w="200" w:type="dxa"/>
            <w:vAlign w:val="bottom"/>
            <w:tcBorders>
              <w:bottom w:val="single" w:sz="8" w:color="005CA9"/>
            </w:tcBorders>
          </w:tcPr>
          <w:p>
            <w:pPr>
              <w:spacing w:after="0"/>
              <w:rPr>
                <w:sz w:val="17"/>
                <w:szCs w:val="17"/>
                <w:color w:val="auto"/>
              </w:rPr>
            </w:pPr>
          </w:p>
        </w:tc>
        <w:tc>
          <w:tcPr>
            <w:tcW w:w="1760" w:type="dxa"/>
            <w:vAlign w:val="bottom"/>
            <w:tcBorders>
              <w:bottom w:val="single" w:sz="8" w:color="005CA9"/>
            </w:tcBorders>
          </w:tcPr>
          <w:p>
            <w:pPr>
              <w:jc w:val="center"/>
              <w:ind w:right="128"/>
              <w:spacing w:after="0" w:line="175" w:lineRule="exact"/>
              <w:rPr>
                <w:sz w:val="20"/>
                <w:szCs w:val="20"/>
                <w:color w:val="auto"/>
              </w:rPr>
            </w:pPr>
            <w:r>
              <w:rPr>
                <w:rFonts w:ascii="Calibri" w:cs="Calibri" w:eastAsia="Calibri" w:hAnsi="Calibri"/>
                <w:sz w:val="14"/>
                <w:szCs w:val="14"/>
                <w:b w:val="1"/>
                <w:bCs w:val="1"/>
                <w:color w:val="auto"/>
                <w:w w:val="99"/>
              </w:rPr>
              <w:t xml:space="preserve">Awards for PEO </w:t>
            </w:r>
            <w:r>
              <w:rPr>
                <w:rFonts w:ascii="Calibri" w:cs="Calibri" w:eastAsia="Calibri" w:hAnsi="Calibri"/>
                <w:sz w:val="19"/>
                <w:szCs w:val="19"/>
                <w:b w:val="1"/>
                <w:bCs w:val="1"/>
                <w:color w:val="auto"/>
                <w:w w:val="99"/>
                <w:vertAlign w:val="superscript"/>
              </w:rPr>
              <w:t>(2)</w:t>
            </w:r>
          </w:p>
        </w:tc>
        <w:tc>
          <w:tcPr>
            <w:tcW w:w="560" w:type="dxa"/>
            <w:vAlign w:val="bottom"/>
            <w:tcBorders>
              <w:bottom w:val="single" w:sz="8" w:color="005CA9"/>
            </w:tcBorders>
          </w:tcPr>
          <w:p>
            <w:pPr>
              <w:spacing w:after="0"/>
              <w:rPr>
                <w:sz w:val="17"/>
                <w:szCs w:val="17"/>
                <w:color w:val="auto"/>
              </w:rPr>
            </w:pPr>
          </w:p>
        </w:tc>
        <w:tc>
          <w:tcPr>
            <w:tcW w:w="1980" w:type="dxa"/>
            <w:vAlign w:val="bottom"/>
            <w:tcBorders>
              <w:bottom w:val="single" w:sz="8" w:color="005CA9"/>
            </w:tcBorders>
          </w:tcPr>
          <w:p>
            <w:pPr>
              <w:jc w:val="center"/>
              <w:ind w:right="751"/>
              <w:spacing w:after="0" w:line="114" w:lineRule="exact"/>
              <w:rPr>
                <w:sz w:val="20"/>
                <w:szCs w:val="20"/>
                <w:color w:val="auto"/>
              </w:rPr>
            </w:pPr>
            <w:r>
              <w:rPr>
                <w:rFonts w:ascii="Calibri" w:cs="Calibri" w:eastAsia="Calibri" w:hAnsi="Calibri"/>
                <w:sz w:val="10"/>
                <w:szCs w:val="10"/>
                <w:b w:val="1"/>
                <w:bCs w:val="1"/>
                <w:color w:val="auto"/>
              </w:rPr>
              <w:t>(3)</w:t>
            </w:r>
          </w:p>
        </w:tc>
        <w:tc>
          <w:tcPr>
            <w:tcW w:w="1640" w:type="dxa"/>
            <w:vAlign w:val="bottom"/>
            <w:tcBorders>
              <w:bottom w:val="single" w:sz="8" w:color="005CA9"/>
            </w:tcBorders>
          </w:tcPr>
          <w:p>
            <w:pPr>
              <w:jc w:val="center"/>
              <w:ind w:right="188"/>
              <w:spacing w:after="0"/>
              <w:rPr>
                <w:sz w:val="20"/>
                <w:szCs w:val="20"/>
                <w:color w:val="auto"/>
              </w:rPr>
            </w:pPr>
            <w:r>
              <w:rPr>
                <w:rFonts w:ascii="Calibri" w:cs="Calibri" w:eastAsia="Calibri" w:hAnsi="Calibri"/>
                <w:sz w:val="14"/>
                <w:szCs w:val="14"/>
                <w:b w:val="1"/>
                <w:bCs w:val="1"/>
                <w:color w:val="auto"/>
              </w:rPr>
              <w:t>($)</w:t>
            </w:r>
          </w:p>
        </w:tc>
        <w:tc>
          <w:tcPr>
            <w:tcW w:w="440" w:type="dxa"/>
            <w:vAlign w:val="bottom"/>
            <w:tcBorders>
              <w:bottom w:val="single" w:sz="8" w:color="005CA9"/>
            </w:tcBorders>
          </w:tcPr>
          <w:p>
            <w:pPr>
              <w:spacing w:after="0"/>
              <w:rPr>
                <w:sz w:val="17"/>
                <w:szCs w:val="17"/>
                <w:color w:val="auto"/>
              </w:rPr>
            </w:pPr>
          </w:p>
        </w:tc>
        <w:tc>
          <w:tcPr>
            <w:tcW w:w="1520" w:type="dxa"/>
            <w:vAlign w:val="bottom"/>
            <w:tcBorders>
              <w:bottom w:val="single" w:sz="8" w:color="005CA9"/>
            </w:tcBorders>
          </w:tcPr>
          <w:p>
            <w:pPr>
              <w:jc w:val="right"/>
              <w:ind w:right="728"/>
              <w:spacing w:after="0"/>
              <w:rPr>
                <w:sz w:val="20"/>
                <w:szCs w:val="20"/>
                <w:color w:val="auto"/>
              </w:rPr>
            </w:pPr>
            <w:r>
              <w:rPr>
                <w:rFonts w:ascii="Calibri" w:cs="Calibri" w:eastAsia="Calibri" w:hAnsi="Calibri"/>
                <w:sz w:val="14"/>
                <w:szCs w:val="14"/>
                <w:b w:val="1"/>
                <w:bCs w:val="1"/>
                <w:color w:val="auto"/>
              </w:rPr>
              <w:t>to PEO</w:t>
            </w:r>
          </w:p>
        </w:tc>
        <w:tc>
          <w:tcPr>
            <w:tcW w:w="0" w:type="dxa"/>
            <w:vAlign w:val="bottom"/>
          </w:tcPr>
          <w:p>
            <w:pPr>
              <w:spacing w:after="0"/>
              <w:rPr>
                <w:sz w:val="1"/>
                <w:szCs w:val="1"/>
                <w:color w:val="auto"/>
              </w:rPr>
            </w:pPr>
          </w:p>
        </w:tc>
      </w:tr>
      <w:tr>
        <w:trPr>
          <w:trHeight w:val="175"/>
        </w:trPr>
        <w:tc>
          <w:tcPr>
            <w:tcW w:w="1020" w:type="dxa"/>
            <w:vAlign w:val="bottom"/>
            <w:shd w:val="clear" w:color="auto" w:fill="CFF0FC"/>
          </w:tcPr>
          <w:p>
            <w:pPr>
              <w:jc w:val="right"/>
              <w:ind w:right="568"/>
              <w:spacing w:after="0"/>
              <w:rPr>
                <w:sz w:val="20"/>
                <w:szCs w:val="20"/>
                <w:color w:val="auto"/>
              </w:rPr>
            </w:pPr>
            <w:r>
              <w:rPr>
                <w:rFonts w:ascii="Calibri" w:cs="Calibri" w:eastAsia="Calibri" w:hAnsi="Calibri"/>
                <w:sz w:val="14"/>
                <w:szCs w:val="14"/>
                <w:b w:val="1"/>
                <w:bCs w:val="1"/>
                <w:color w:val="auto"/>
              </w:rPr>
              <w:t>2024</w:t>
            </w:r>
          </w:p>
        </w:tc>
        <w:tc>
          <w:tcPr>
            <w:tcW w:w="3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17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4,823,227</w:t>
            </w:r>
          </w:p>
        </w:tc>
        <w:tc>
          <w:tcPr>
            <w:tcW w:w="2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1760" w:type="dxa"/>
            <w:vAlign w:val="bottom"/>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rPr>
              <w:t>3,821,600</w:t>
            </w:r>
          </w:p>
        </w:tc>
        <w:tc>
          <w:tcPr>
            <w:tcW w:w="560" w:type="dxa"/>
            <w:vAlign w:val="bottom"/>
            <w:shd w:val="clear" w:color="auto" w:fill="CFF0FC"/>
          </w:tcPr>
          <w:p>
            <w:pPr>
              <w:jc w:val="right"/>
              <w:ind w:right="348"/>
              <w:spacing w:after="0"/>
              <w:rPr>
                <w:sz w:val="20"/>
                <w:szCs w:val="20"/>
                <w:color w:val="auto"/>
              </w:rPr>
            </w:pPr>
            <w:r>
              <w:rPr>
                <w:rFonts w:ascii="Calibri" w:cs="Calibri" w:eastAsia="Calibri" w:hAnsi="Calibri"/>
                <w:sz w:val="14"/>
                <w:szCs w:val="14"/>
                <w:b w:val="1"/>
                <w:bCs w:val="1"/>
                <w:color w:val="auto"/>
              </w:rPr>
              <w:t>$</w:t>
            </w:r>
          </w:p>
        </w:tc>
        <w:tc>
          <w:tcPr>
            <w:tcW w:w="1980" w:type="dxa"/>
            <w:vAlign w:val="bottom"/>
            <w:shd w:val="clear" w:color="auto" w:fill="CFF0FC"/>
          </w:tcPr>
          <w:p>
            <w:pPr>
              <w:jc w:val="right"/>
              <w:ind w:right="51"/>
              <w:spacing w:after="0"/>
              <w:rPr>
                <w:sz w:val="20"/>
                <w:szCs w:val="20"/>
                <w:color w:val="auto"/>
              </w:rPr>
            </w:pPr>
            <w:r>
              <w:rPr>
                <w:rFonts w:ascii="Calibri" w:cs="Calibri" w:eastAsia="Calibri" w:hAnsi="Calibri"/>
                <w:sz w:val="14"/>
                <w:szCs w:val="14"/>
                <w:b w:val="1"/>
                <w:bCs w:val="1"/>
                <w:color w:val="auto"/>
              </w:rPr>
              <w:t>(4,678,969 ) $</w:t>
            </w:r>
          </w:p>
        </w:tc>
        <w:tc>
          <w:tcPr>
            <w:tcW w:w="16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369</w:t>
            </w:r>
          </w:p>
        </w:tc>
        <w:tc>
          <w:tcPr>
            <w:tcW w:w="440" w:type="dxa"/>
            <w:vAlign w:val="bottom"/>
            <w:shd w:val="clear" w:color="auto" w:fill="CFF0FC"/>
          </w:tcPr>
          <w:p>
            <w:pPr>
              <w:jc w:val="right"/>
              <w:ind w:right="228"/>
              <w:spacing w:after="0"/>
              <w:rPr>
                <w:sz w:val="20"/>
                <w:szCs w:val="20"/>
                <w:color w:val="auto"/>
              </w:rPr>
            </w:pPr>
            <w:r>
              <w:rPr>
                <w:rFonts w:ascii="Calibri" w:cs="Calibri" w:eastAsia="Calibri" w:hAnsi="Calibri"/>
                <w:sz w:val="14"/>
                <w:szCs w:val="14"/>
                <w:b w:val="1"/>
                <w:bCs w:val="1"/>
                <w:color w:val="auto"/>
              </w:rPr>
              <w:t>$</w:t>
            </w:r>
          </w:p>
        </w:tc>
        <w:tc>
          <w:tcPr>
            <w:tcW w:w="152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(3,676,973 )</w:t>
            </w:r>
          </w:p>
        </w:tc>
        <w:tc>
          <w:tcPr>
            <w:tcW w:w="0" w:type="dxa"/>
            <w:vAlign w:val="bottom"/>
          </w:tcPr>
          <w:p>
            <w:pPr>
              <w:spacing w:after="0"/>
              <w:rPr>
                <w:sz w:val="1"/>
                <w:szCs w:val="1"/>
                <w:color w:val="auto"/>
              </w:rPr>
            </w:pPr>
          </w:p>
        </w:tc>
      </w:tr>
      <w:tr>
        <w:trPr>
          <w:trHeight w:val="173"/>
        </w:trPr>
        <w:tc>
          <w:tcPr>
            <w:tcW w:w="1020" w:type="dxa"/>
            <w:vAlign w:val="bottom"/>
          </w:tcPr>
          <w:p>
            <w:pPr>
              <w:jc w:val="right"/>
              <w:ind w:right="568"/>
              <w:spacing w:after="0"/>
              <w:rPr>
                <w:sz w:val="20"/>
                <w:szCs w:val="20"/>
                <w:color w:val="auto"/>
              </w:rPr>
            </w:pPr>
            <w:r>
              <w:rPr>
                <w:rFonts w:ascii="Calibri" w:cs="Calibri" w:eastAsia="Calibri" w:hAnsi="Calibri"/>
                <w:sz w:val="14"/>
                <w:szCs w:val="14"/>
                <w:color w:val="auto"/>
              </w:rPr>
              <w:t>2023</w:t>
            </w:r>
          </w:p>
        </w:tc>
        <w:tc>
          <w:tcPr>
            <w:tcW w:w="3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alibri" w:cs="Calibri" w:eastAsia="Calibri" w:hAnsi="Calibri"/>
                <w:sz w:val="14"/>
                <w:szCs w:val="14"/>
                <w:color w:val="auto"/>
              </w:rPr>
              <w:t>9,483,816</w:t>
            </w:r>
          </w:p>
        </w:tc>
        <w:tc>
          <w:tcPr>
            <w:tcW w:w="200" w:type="dxa"/>
            <w:vAlign w:val="bottom"/>
          </w:tcPr>
          <w:p>
            <w:pPr>
              <w:spacing w:after="0"/>
              <w:rPr>
                <w:sz w:val="15"/>
                <w:szCs w:val="15"/>
                <w:color w:val="auto"/>
              </w:rPr>
            </w:pPr>
          </w:p>
        </w:tc>
        <w:tc>
          <w:tcPr>
            <w:tcW w:w="1760" w:type="dxa"/>
            <w:vAlign w:val="bottom"/>
          </w:tcPr>
          <w:p>
            <w:pPr>
              <w:jc w:val="right"/>
              <w:ind w:right="8"/>
              <w:spacing w:after="0"/>
              <w:rPr>
                <w:sz w:val="20"/>
                <w:szCs w:val="20"/>
                <w:color w:val="auto"/>
              </w:rPr>
            </w:pPr>
            <w:r>
              <w:rPr>
                <w:rFonts w:ascii="Calibri" w:cs="Calibri" w:eastAsia="Calibri" w:hAnsi="Calibri"/>
                <w:sz w:val="14"/>
                <w:szCs w:val="14"/>
                <w:color w:val="auto"/>
              </w:rPr>
              <w:t>8,365,620</w:t>
            </w:r>
          </w:p>
        </w:tc>
        <w:tc>
          <w:tcPr>
            <w:tcW w:w="560" w:type="dxa"/>
            <w:vAlign w:val="bottom"/>
          </w:tcPr>
          <w:p>
            <w:pPr>
              <w:spacing w:after="0"/>
              <w:rPr>
                <w:sz w:val="15"/>
                <w:szCs w:val="15"/>
                <w:color w:val="auto"/>
              </w:rPr>
            </w:pPr>
          </w:p>
        </w:tc>
        <w:tc>
          <w:tcPr>
            <w:tcW w:w="1980" w:type="dxa"/>
            <w:vAlign w:val="bottom"/>
          </w:tcPr>
          <w:p>
            <w:pPr>
              <w:jc w:val="right"/>
              <w:ind w:right="251"/>
              <w:spacing w:after="0"/>
              <w:rPr>
                <w:sz w:val="20"/>
                <w:szCs w:val="20"/>
                <w:color w:val="auto"/>
              </w:rPr>
            </w:pPr>
            <w:r>
              <w:rPr>
                <w:rFonts w:ascii="Calibri" w:cs="Calibri" w:eastAsia="Calibri" w:hAnsi="Calibri"/>
                <w:sz w:val="14"/>
                <w:szCs w:val="14"/>
                <w:color w:val="auto"/>
              </w:rPr>
              <w:t>12,133,722</w:t>
            </w:r>
          </w:p>
        </w:tc>
        <w:tc>
          <w:tcPr>
            <w:tcW w:w="1640" w:type="dxa"/>
            <w:vAlign w:val="bottom"/>
          </w:tcPr>
          <w:p>
            <w:pPr>
              <w:jc w:val="right"/>
              <w:spacing w:after="0"/>
              <w:rPr>
                <w:sz w:val="20"/>
                <w:szCs w:val="20"/>
                <w:color w:val="auto"/>
              </w:rPr>
            </w:pPr>
            <w:r>
              <w:rPr>
                <w:rFonts w:ascii="Calibri" w:cs="Calibri" w:eastAsia="Calibri" w:hAnsi="Calibri"/>
                <w:sz w:val="14"/>
                <w:szCs w:val="14"/>
                <w:color w:val="auto"/>
              </w:rPr>
              <w:t>341</w:t>
            </w:r>
          </w:p>
        </w:tc>
        <w:tc>
          <w:tcPr>
            <w:tcW w:w="440" w:type="dxa"/>
            <w:vAlign w:val="bottom"/>
          </w:tcPr>
          <w:p>
            <w:pPr>
              <w:spacing w:after="0"/>
              <w:rPr>
                <w:sz w:val="15"/>
                <w:szCs w:val="15"/>
                <w:color w:val="auto"/>
              </w:rPr>
            </w:pPr>
          </w:p>
        </w:tc>
        <w:tc>
          <w:tcPr>
            <w:tcW w:w="1520" w:type="dxa"/>
            <w:vAlign w:val="bottom"/>
          </w:tcPr>
          <w:p>
            <w:pPr>
              <w:jc w:val="right"/>
              <w:ind w:right="48"/>
              <w:spacing w:after="0"/>
              <w:rPr>
                <w:sz w:val="20"/>
                <w:szCs w:val="20"/>
                <w:color w:val="auto"/>
              </w:rPr>
            </w:pPr>
            <w:r>
              <w:rPr>
                <w:rFonts w:ascii="Calibri" w:cs="Calibri" w:eastAsia="Calibri" w:hAnsi="Calibri"/>
                <w:sz w:val="14"/>
                <w:szCs w:val="14"/>
                <w:color w:val="auto"/>
              </w:rPr>
              <w:t>13,252,259</w:t>
            </w:r>
          </w:p>
        </w:tc>
        <w:tc>
          <w:tcPr>
            <w:tcW w:w="0" w:type="dxa"/>
            <w:vAlign w:val="bottom"/>
          </w:tcPr>
          <w:p>
            <w:pPr>
              <w:spacing w:after="0"/>
              <w:rPr>
                <w:sz w:val="1"/>
                <w:szCs w:val="1"/>
                <w:color w:val="auto"/>
              </w:rPr>
            </w:pPr>
          </w:p>
        </w:tc>
      </w:tr>
      <w:tr>
        <w:trPr>
          <w:trHeight w:val="178"/>
        </w:trPr>
        <w:tc>
          <w:tcPr>
            <w:tcW w:w="1020" w:type="dxa"/>
            <w:vAlign w:val="bottom"/>
            <w:shd w:val="clear" w:color="auto" w:fill="CFF0FC"/>
          </w:tcPr>
          <w:p>
            <w:pPr>
              <w:jc w:val="right"/>
              <w:ind w:right="568"/>
              <w:spacing w:after="0"/>
              <w:rPr>
                <w:sz w:val="20"/>
                <w:szCs w:val="20"/>
                <w:color w:val="auto"/>
              </w:rPr>
            </w:pPr>
            <w:r>
              <w:rPr>
                <w:rFonts w:ascii="Calibri" w:cs="Calibri" w:eastAsia="Calibri" w:hAnsi="Calibri"/>
                <w:sz w:val="14"/>
                <w:szCs w:val="14"/>
                <w:color w:val="auto"/>
              </w:rPr>
              <w:t>2022</w:t>
            </w:r>
          </w:p>
        </w:tc>
        <w:tc>
          <w:tcPr>
            <w:tcW w:w="36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9,045,646</w:t>
            </w:r>
          </w:p>
        </w:tc>
        <w:tc>
          <w:tcPr>
            <w:tcW w:w="20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8"/>
              <w:spacing w:after="0"/>
              <w:rPr>
                <w:sz w:val="20"/>
                <w:szCs w:val="20"/>
                <w:color w:val="auto"/>
              </w:rPr>
            </w:pPr>
            <w:r>
              <w:rPr>
                <w:rFonts w:ascii="Calibri" w:cs="Calibri" w:eastAsia="Calibri" w:hAnsi="Calibri"/>
                <w:sz w:val="14"/>
                <w:szCs w:val="14"/>
                <w:color w:val="auto"/>
              </w:rPr>
              <w:t>6,250,510</w:t>
            </w:r>
          </w:p>
        </w:tc>
        <w:tc>
          <w:tcPr>
            <w:tcW w:w="560" w:type="dxa"/>
            <w:vAlign w:val="bottom"/>
            <w:shd w:val="clear" w:color="auto" w:fill="CFF0FC"/>
          </w:tcPr>
          <w:p>
            <w:pPr>
              <w:spacing w:after="0"/>
              <w:rPr>
                <w:sz w:val="15"/>
                <w:szCs w:val="15"/>
                <w:color w:val="auto"/>
              </w:rPr>
            </w:pPr>
          </w:p>
        </w:tc>
        <w:tc>
          <w:tcPr>
            <w:tcW w:w="1980" w:type="dxa"/>
            <w:vAlign w:val="bottom"/>
            <w:shd w:val="clear" w:color="auto" w:fill="CFF0FC"/>
          </w:tcPr>
          <w:p>
            <w:pPr>
              <w:jc w:val="right"/>
              <w:ind w:right="191"/>
              <w:spacing w:after="0"/>
              <w:rPr>
                <w:sz w:val="20"/>
                <w:szCs w:val="20"/>
                <w:color w:val="auto"/>
              </w:rPr>
            </w:pPr>
            <w:r>
              <w:rPr>
                <w:rFonts w:ascii="Calibri" w:cs="Calibri" w:eastAsia="Calibri" w:hAnsi="Calibri"/>
                <w:sz w:val="14"/>
                <w:szCs w:val="14"/>
                <w:color w:val="auto"/>
              </w:rPr>
              <w:t>(5,045,133 )</w:t>
            </w:r>
          </w:p>
        </w:tc>
        <w:tc>
          <w:tcPr>
            <w:tcW w:w="1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99</w:t>
            </w:r>
          </w:p>
        </w:tc>
        <w:tc>
          <w:tcPr>
            <w:tcW w:w="44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(2,249,898 )</w:t>
            </w:r>
          </w:p>
        </w:tc>
        <w:tc>
          <w:tcPr>
            <w:tcW w:w="0" w:type="dxa"/>
            <w:vAlign w:val="bottom"/>
          </w:tcPr>
          <w:p>
            <w:pPr>
              <w:spacing w:after="0"/>
              <w:rPr>
                <w:sz w:val="1"/>
                <w:szCs w:val="1"/>
                <w:color w:val="auto"/>
              </w:rPr>
            </w:pPr>
          </w:p>
        </w:tc>
      </w:tr>
      <w:tr>
        <w:trPr>
          <w:trHeight w:val="173"/>
        </w:trPr>
        <w:tc>
          <w:tcPr>
            <w:tcW w:w="1020" w:type="dxa"/>
            <w:vAlign w:val="bottom"/>
          </w:tcPr>
          <w:p>
            <w:pPr>
              <w:jc w:val="right"/>
              <w:ind w:right="568"/>
              <w:spacing w:after="0"/>
              <w:rPr>
                <w:sz w:val="20"/>
                <w:szCs w:val="20"/>
                <w:color w:val="auto"/>
              </w:rPr>
            </w:pPr>
            <w:r>
              <w:rPr>
                <w:rFonts w:ascii="Calibri" w:cs="Calibri" w:eastAsia="Calibri" w:hAnsi="Calibri"/>
                <w:sz w:val="14"/>
                <w:szCs w:val="14"/>
                <w:color w:val="auto"/>
              </w:rPr>
              <w:t>2021</w:t>
            </w:r>
          </w:p>
        </w:tc>
        <w:tc>
          <w:tcPr>
            <w:tcW w:w="3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alibri" w:cs="Calibri" w:eastAsia="Calibri" w:hAnsi="Calibri"/>
                <w:sz w:val="14"/>
                <w:szCs w:val="14"/>
                <w:color w:val="auto"/>
              </w:rPr>
              <w:t>8,137,329</w:t>
            </w:r>
          </w:p>
        </w:tc>
        <w:tc>
          <w:tcPr>
            <w:tcW w:w="200" w:type="dxa"/>
            <w:vAlign w:val="bottom"/>
          </w:tcPr>
          <w:p>
            <w:pPr>
              <w:spacing w:after="0"/>
              <w:rPr>
                <w:sz w:val="15"/>
                <w:szCs w:val="15"/>
                <w:color w:val="auto"/>
              </w:rPr>
            </w:pPr>
          </w:p>
        </w:tc>
        <w:tc>
          <w:tcPr>
            <w:tcW w:w="1760" w:type="dxa"/>
            <w:vAlign w:val="bottom"/>
          </w:tcPr>
          <w:p>
            <w:pPr>
              <w:jc w:val="right"/>
              <w:ind w:right="8"/>
              <w:spacing w:after="0"/>
              <w:rPr>
                <w:sz w:val="20"/>
                <w:szCs w:val="20"/>
                <w:color w:val="auto"/>
              </w:rPr>
            </w:pPr>
            <w:r>
              <w:rPr>
                <w:rFonts w:ascii="Calibri" w:cs="Calibri" w:eastAsia="Calibri" w:hAnsi="Calibri"/>
                <w:sz w:val="14"/>
                <w:szCs w:val="14"/>
                <w:color w:val="auto"/>
              </w:rPr>
              <w:t>5,468,930</w:t>
            </w:r>
          </w:p>
        </w:tc>
        <w:tc>
          <w:tcPr>
            <w:tcW w:w="560" w:type="dxa"/>
            <w:vAlign w:val="bottom"/>
          </w:tcPr>
          <w:p>
            <w:pPr>
              <w:spacing w:after="0"/>
              <w:rPr>
                <w:sz w:val="15"/>
                <w:szCs w:val="15"/>
                <w:color w:val="auto"/>
              </w:rPr>
            </w:pPr>
          </w:p>
        </w:tc>
        <w:tc>
          <w:tcPr>
            <w:tcW w:w="1980" w:type="dxa"/>
            <w:vAlign w:val="bottom"/>
          </w:tcPr>
          <w:p>
            <w:pPr>
              <w:jc w:val="right"/>
              <w:ind w:right="251"/>
              <w:spacing w:after="0"/>
              <w:rPr>
                <w:sz w:val="20"/>
                <w:szCs w:val="20"/>
                <w:color w:val="auto"/>
              </w:rPr>
            </w:pPr>
            <w:r>
              <w:rPr>
                <w:rFonts w:ascii="Calibri" w:cs="Calibri" w:eastAsia="Calibri" w:hAnsi="Calibri"/>
                <w:sz w:val="14"/>
                <w:szCs w:val="14"/>
                <w:color w:val="auto"/>
              </w:rPr>
              <w:t>28,000,786</w:t>
            </w:r>
          </w:p>
        </w:tc>
        <w:tc>
          <w:tcPr>
            <w:tcW w:w="164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440" w:type="dxa"/>
            <w:vAlign w:val="bottom"/>
          </w:tcPr>
          <w:p>
            <w:pPr>
              <w:spacing w:after="0"/>
              <w:rPr>
                <w:sz w:val="15"/>
                <w:szCs w:val="15"/>
                <w:color w:val="auto"/>
              </w:rPr>
            </w:pPr>
          </w:p>
        </w:tc>
        <w:tc>
          <w:tcPr>
            <w:tcW w:w="1520" w:type="dxa"/>
            <w:vAlign w:val="bottom"/>
          </w:tcPr>
          <w:p>
            <w:pPr>
              <w:jc w:val="right"/>
              <w:ind w:right="48"/>
              <w:spacing w:after="0"/>
              <w:rPr>
                <w:sz w:val="20"/>
                <w:szCs w:val="20"/>
                <w:color w:val="auto"/>
              </w:rPr>
            </w:pPr>
            <w:r>
              <w:rPr>
                <w:rFonts w:ascii="Calibri" w:cs="Calibri" w:eastAsia="Calibri" w:hAnsi="Calibri"/>
                <w:sz w:val="14"/>
                <w:szCs w:val="14"/>
                <w:color w:val="auto"/>
              </w:rPr>
              <w:t>30,669,186</w:t>
            </w:r>
          </w:p>
        </w:tc>
        <w:tc>
          <w:tcPr>
            <w:tcW w:w="0" w:type="dxa"/>
            <w:vAlign w:val="bottom"/>
          </w:tcPr>
          <w:p>
            <w:pPr>
              <w:spacing w:after="0"/>
              <w:rPr>
                <w:sz w:val="1"/>
                <w:szCs w:val="1"/>
                <w:color w:val="auto"/>
              </w:rPr>
            </w:pPr>
          </w:p>
        </w:tc>
      </w:tr>
      <w:tr>
        <w:trPr>
          <w:trHeight w:val="176"/>
        </w:trPr>
        <w:tc>
          <w:tcPr>
            <w:tcW w:w="1020" w:type="dxa"/>
            <w:vAlign w:val="bottom"/>
            <w:tcBorders>
              <w:bottom w:val="single" w:sz="8" w:color="005CA9"/>
            </w:tcBorders>
            <w:shd w:val="clear" w:color="auto" w:fill="CFF0FC"/>
          </w:tcPr>
          <w:p>
            <w:pPr>
              <w:jc w:val="right"/>
              <w:ind w:right="568"/>
              <w:spacing w:after="0"/>
              <w:rPr>
                <w:sz w:val="20"/>
                <w:szCs w:val="20"/>
                <w:color w:val="auto"/>
              </w:rPr>
            </w:pPr>
            <w:r>
              <w:rPr>
                <w:rFonts w:ascii="Calibri" w:cs="Calibri" w:eastAsia="Calibri" w:hAnsi="Calibri"/>
                <w:sz w:val="14"/>
                <w:szCs w:val="14"/>
                <w:color w:val="auto"/>
              </w:rPr>
              <w:t>2020</w:t>
            </w:r>
          </w:p>
        </w:tc>
        <w:tc>
          <w:tcPr>
            <w:tcW w:w="360" w:type="dxa"/>
            <w:vAlign w:val="bottom"/>
            <w:tcBorders>
              <w:bottom w:val="single" w:sz="8" w:color="005CA9"/>
            </w:tcBorders>
            <w:shd w:val="clear" w:color="auto" w:fill="CFF0FC"/>
          </w:tcPr>
          <w:p>
            <w:pPr>
              <w:spacing w:after="0"/>
              <w:rPr>
                <w:sz w:val="15"/>
                <w:szCs w:val="15"/>
                <w:color w:val="auto"/>
              </w:rPr>
            </w:pPr>
          </w:p>
        </w:tc>
        <w:tc>
          <w:tcPr>
            <w:tcW w:w="1760" w:type="dxa"/>
            <w:vAlign w:val="bottom"/>
            <w:tcBorders>
              <w:bottom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7,856,116</w:t>
            </w:r>
          </w:p>
        </w:tc>
        <w:tc>
          <w:tcPr>
            <w:tcW w:w="200" w:type="dxa"/>
            <w:vAlign w:val="bottom"/>
            <w:tcBorders>
              <w:bottom w:val="single" w:sz="8" w:color="005CA9"/>
            </w:tcBorders>
            <w:shd w:val="clear" w:color="auto" w:fill="CFF0FC"/>
          </w:tcPr>
          <w:p>
            <w:pPr>
              <w:spacing w:after="0"/>
              <w:rPr>
                <w:sz w:val="15"/>
                <w:szCs w:val="15"/>
                <w:color w:val="auto"/>
              </w:rPr>
            </w:pPr>
          </w:p>
        </w:tc>
        <w:tc>
          <w:tcPr>
            <w:tcW w:w="1760" w:type="dxa"/>
            <w:vAlign w:val="bottom"/>
            <w:tcBorders>
              <w:bottom w:val="single" w:sz="8" w:color="005CA9"/>
            </w:tcBorders>
            <w:shd w:val="clear" w:color="auto" w:fill="CFF0FC"/>
          </w:tcPr>
          <w:p>
            <w:pPr>
              <w:jc w:val="right"/>
              <w:ind w:right="8"/>
              <w:spacing w:after="0"/>
              <w:rPr>
                <w:sz w:val="20"/>
                <w:szCs w:val="20"/>
                <w:color w:val="auto"/>
              </w:rPr>
            </w:pPr>
            <w:r>
              <w:rPr>
                <w:rFonts w:ascii="Calibri" w:cs="Calibri" w:eastAsia="Calibri" w:hAnsi="Calibri"/>
                <w:sz w:val="14"/>
                <w:szCs w:val="14"/>
                <w:color w:val="auto"/>
              </w:rPr>
              <w:t>5,571,738</w:t>
            </w:r>
          </w:p>
        </w:tc>
        <w:tc>
          <w:tcPr>
            <w:tcW w:w="560" w:type="dxa"/>
            <w:vAlign w:val="bottom"/>
            <w:tcBorders>
              <w:bottom w:val="single" w:sz="8" w:color="005CA9"/>
            </w:tcBorders>
            <w:shd w:val="clear" w:color="auto" w:fill="CFF0FC"/>
          </w:tcPr>
          <w:p>
            <w:pPr>
              <w:spacing w:after="0"/>
              <w:rPr>
                <w:sz w:val="15"/>
                <w:szCs w:val="15"/>
                <w:color w:val="auto"/>
              </w:rPr>
            </w:pPr>
          </w:p>
        </w:tc>
        <w:tc>
          <w:tcPr>
            <w:tcW w:w="1980" w:type="dxa"/>
            <w:vAlign w:val="bottom"/>
            <w:tcBorders>
              <w:bottom w:val="single" w:sz="8" w:color="005CA9"/>
            </w:tcBorders>
            <w:shd w:val="clear" w:color="auto" w:fill="CFF0FC"/>
          </w:tcPr>
          <w:p>
            <w:pPr>
              <w:jc w:val="right"/>
              <w:ind w:right="251"/>
              <w:spacing w:after="0"/>
              <w:rPr>
                <w:sz w:val="20"/>
                <w:szCs w:val="20"/>
                <w:color w:val="auto"/>
              </w:rPr>
            </w:pPr>
            <w:r>
              <w:rPr>
                <w:rFonts w:ascii="Calibri" w:cs="Calibri" w:eastAsia="Calibri" w:hAnsi="Calibri"/>
                <w:sz w:val="14"/>
                <w:szCs w:val="14"/>
                <w:color w:val="auto"/>
              </w:rPr>
              <w:t>19,266,259</w:t>
            </w:r>
          </w:p>
        </w:tc>
        <w:tc>
          <w:tcPr>
            <w:tcW w:w="1640" w:type="dxa"/>
            <w:vAlign w:val="bottom"/>
            <w:tcBorders>
              <w:bottom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22</w:t>
            </w:r>
          </w:p>
        </w:tc>
        <w:tc>
          <w:tcPr>
            <w:tcW w:w="440" w:type="dxa"/>
            <w:vAlign w:val="bottom"/>
            <w:tcBorders>
              <w:bottom w:val="single" w:sz="8" w:color="005CA9"/>
            </w:tcBorders>
            <w:shd w:val="clear" w:color="auto" w:fill="CFF0FC"/>
          </w:tcPr>
          <w:p>
            <w:pPr>
              <w:spacing w:after="0"/>
              <w:rPr>
                <w:sz w:val="15"/>
                <w:szCs w:val="15"/>
                <w:color w:val="auto"/>
              </w:rPr>
            </w:pPr>
          </w:p>
        </w:tc>
        <w:tc>
          <w:tcPr>
            <w:tcW w:w="1520" w:type="dxa"/>
            <w:vAlign w:val="bottom"/>
            <w:tcBorders>
              <w:bottom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21,550,659</w:t>
            </w:r>
          </w:p>
        </w:tc>
        <w:tc>
          <w:tcPr>
            <w:tcW w:w="0" w:type="dxa"/>
            <w:vAlign w:val="bottom"/>
          </w:tcPr>
          <w:p>
            <w:pPr>
              <w:spacing w:after="0"/>
              <w:rPr>
                <w:sz w:val="1"/>
                <w:szCs w:val="1"/>
                <w:color w:val="auto"/>
              </w:rPr>
            </w:pPr>
          </w:p>
        </w:tc>
      </w:tr>
    </w:tbl>
    <w:p>
      <w:pPr>
        <w:ind w:left="200" w:hanging="192"/>
        <w:spacing w:after="0" w:line="218" w:lineRule="auto"/>
        <w:tabs>
          <w:tab w:leader="none" w:pos="200"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The dollar amounts reported are the amounts of total compensaton reported for our PEO in the Summary Compensaton Table for the applicable fscal year.</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Represents the grant date fair value of the equity awards to our PEO, as reported in the “Stock Awards” column in the Summary Compensaton Table for each applicable year.</w:t>
      </w:r>
    </w:p>
    <w:p>
      <w:pPr>
        <w:spacing w:after="0" w:line="5" w:lineRule="exact"/>
        <w:rPr>
          <w:rFonts w:ascii="Calibri" w:cs="Calibri" w:eastAsia="Calibri" w:hAnsi="Calibri"/>
          <w:sz w:val="14"/>
          <w:szCs w:val="14"/>
          <w:color w:val="auto"/>
        </w:rPr>
      </w:pPr>
    </w:p>
    <w:p>
      <w:pPr>
        <w:jc w:val="both"/>
        <w:ind w:firstLine="8"/>
        <w:spacing w:after="0" w:line="245" w:lineRule="auto"/>
        <w:tabs>
          <w:tab w:leader="none" w:pos="194"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Represents the year-over-year change in the fair value of equity awards to our PEO, as itemized in the table below. No awards granted in any year vested in the year they were granted. Fair value or change in fair value, as applicable, of equity awards in the "Compensaton Actually Paid" columns was determined by reference to (a) for RSU awards, closing price on applicable year-end dates (b) for PSU awards, the same valuaton methodology as RSU awards above except year-end share amounts are multplied by the probability of achievement as of each such date.</w:t>
      </w:r>
    </w:p>
    <w:p>
      <w:pPr>
        <w:spacing w:after="0" w:line="91"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Equity Award Adjustments for PEO</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660" w:type="dxa"/>
            <w:vAlign w:val="bottom"/>
            <w:tcBorders>
              <w:top w:val="single" w:sz="8" w:color="005CA9"/>
              <w:bottom w:val="single" w:sz="8" w:color="005CA9"/>
            </w:tcBorders>
          </w:tcPr>
          <w:p>
            <w:pPr>
              <w:spacing w:after="0"/>
              <w:rPr>
                <w:sz w:val="22"/>
                <w:szCs w:val="22"/>
                <w:color w:val="auto"/>
              </w:rPr>
            </w:pPr>
          </w:p>
        </w:tc>
        <w:tc>
          <w:tcPr>
            <w:tcW w:w="540" w:type="dxa"/>
            <w:vAlign w:val="bottom"/>
            <w:tcBorders>
              <w:top w:val="single" w:sz="8" w:color="005CA9"/>
              <w:bottom w:val="single" w:sz="8" w:color="005CA9"/>
            </w:tcBorders>
          </w:tcPr>
          <w:p>
            <w:pPr>
              <w:spacing w:after="0"/>
              <w:rPr>
                <w:sz w:val="22"/>
                <w:szCs w:val="22"/>
                <w:color w:val="auto"/>
              </w:rPr>
            </w:pPr>
          </w:p>
        </w:tc>
        <w:tc>
          <w:tcPr>
            <w:tcW w:w="980" w:type="dxa"/>
            <w:vAlign w:val="bottom"/>
            <w:tcBorders>
              <w:top w:val="single" w:sz="8" w:color="005CA9"/>
              <w:bottom w:val="single" w:sz="8" w:color="005CA9"/>
            </w:tcBorders>
          </w:tcPr>
          <w:p>
            <w:pPr>
              <w:jc w:val="right"/>
              <w:ind w:right="421"/>
              <w:spacing w:after="0"/>
              <w:rPr>
                <w:sz w:val="20"/>
                <w:szCs w:val="20"/>
                <w:color w:val="auto"/>
              </w:rPr>
            </w:pPr>
            <w:r>
              <w:rPr>
                <w:rFonts w:ascii="Calibri" w:cs="Calibri" w:eastAsia="Calibri" w:hAnsi="Calibri"/>
                <w:sz w:val="16"/>
                <w:szCs w:val="16"/>
                <w:b w:val="1"/>
                <w:bCs w:val="1"/>
                <w:color w:val="auto"/>
              </w:rPr>
              <w:t>2024</w:t>
            </w:r>
          </w:p>
        </w:tc>
        <w:tc>
          <w:tcPr>
            <w:tcW w:w="1180" w:type="dxa"/>
            <w:vAlign w:val="bottom"/>
            <w:tcBorders>
              <w:top w:val="single" w:sz="8" w:color="005CA9"/>
              <w:bottom w:val="single" w:sz="8" w:color="005CA9"/>
            </w:tcBorders>
          </w:tcPr>
          <w:p>
            <w:pPr>
              <w:jc w:val="right"/>
              <w:ind w:right="383"/>
              <w:spacing w:after="0"/>
              <w:rPr>
                <w:sz w:val="20"/>
                <w:szCs w:val="20"/>
                <w:color w:val="auto"/>
              </w:rPr>
            </w:pPr>
            <w:r>
              <w:rPr>
                <w:rFonts w:ascii="Calibri" w:cs="Calibri" w:eastAsia="Calibri" w:hAnsi="Calibri"/>
                <w:sz w:val="14"/>
                <w:szCs w:val="14"/>
                <w:b w:val="1"/>
                <w:bCs w:val="1"/>
                <w:color w:val="auto"/>
              </w:rPr>
              <w:t>2023</w:t>
            </w:r>
          </w:p>
        </w:tc>
        <w:tc>
          <w:tcPr>
            <w:tcW w:w="320" w:type="dxa"/>
            <w:vAlign w:val="bottom"/>
            <w:tcBorders>
              <w:top w:val="single" w:sz="8" w:color="005CA9"/>
              <w:bottom w:val="single" w:sz="8" w:color="005CA9"/>
            </w:tcBorders>
          </w:tcPr>
          <w:p>
            <w:pPr>
              <w:spacing w:after="0"/>
              <w:rPr>
                <w:sz w:val="22"/>
                <w:szCs w:val="22"/>
                <w:color w:val="auto"/>
              </w:rPr>
            </w:pPr>
          </w:p>
        </w:tc>
        <w:tc>
          <w:tcPr>
            <w:tcW w:w="900" w:type="dxa"/>
            <w:vAlign w:val="bottom"/>
            <w:tcBorders>
              <w:top w:val="single" w:sz="8" w:color="005CA9"/>
              <w:bottom w:val="single" w:sz="8" w:color="005CA9"/>
            </w:tcBorders>
          </w:tcPr>
          <w:p>
            <w:pPr>
              <w:jc w:val="right"/>
              <w:ind w:right="408"/>
              <w:spacing w:after="0"/>
              <w:rPr>
                <w:sz w:val="20"/>
                <w:szCs w:val="20"/>
                <w:color w:val="auto"/>
              </w:rPr>
            </w:pPr>
            <w:r>
              <w:rPr>
                <w:rFonts w:ascii="Calibri" w:cs="Calibri" w:eastAsia="Calibri" w:hAnsi="Calibri"/>
                <w:sz w:val="14"/>
                <w:szCs w:val="14"/>
                <w:b w:val="1"/>
                <w:bCs w:val="1"/>
                <w:color w:val="auto"/>
              </w:rPr>
              <w:t>2022</w:t>
            </w:r>
          </w:p>
        </w:tc>
        <w:tc>
          <w:tcPr>
            <w:tcW w:w="340" w:type="dxa"/>
            <w:vAlign w:val="bottom"/>
            <w:tcBorders>
              <w:top w:val="single" w:sz="8" w:color="005CA9"/>
              <w:bottom w:val="single" w:sz="8" w:color="005CA9"/>
            </w:tcBorders>
          </w:tcPr>
          <w:p>
            <w:pPr>
              <w:spacing w:after="0"/>
              <w:rPr>
                <w:sz w:val="22"/>
                <w:szCs w:val="22"/>
                <w:color w:val="auto"/>
              </w:rPr>
            </w:pPr>
          </w:p>
        </w:tc>
        <w:tc>
          <w:tcPr>
            <w:tcW w:w="980" w:type="dxa"/>
            <w:vAlign w:val="bottom"/>
            <w:tcBorders>
              <w:top w:val="single" w:sz="8" w:color="005CA9"/>
              <w:bottom w:val="single" w:sz="8" w:color="005CA9"/>
            </w:tcBorders>
          </w:tcPr>
          <w:p>
            <w:pPr>
              <w:jc w:val="right"/>
              <w:ind w:right="448"/>
              <w:spacing w:after="0"/>
              <w:rPr>
                <w:sz w:val="20"/>
                <w:szCs w:val="20"/>
                <w:color w:val="auto"/>
              </w:rPr>
            </w:pPr>
            <w:r>
              <w:rPr>
                <w:rFonts w:ascii="Calibri" w:cs="Calibri" w:eastAsia="Calibri" w:hAnsi="Calibri"/>
                <w:sz w:val="14"/>
                <w:szCs w:val="14"/>
                <w:b w:val="1"/>
                <w:bCs w:val="1"/>
                <w:color w:val="auto"/>
              </w:rPr>
              <w:t>2021</w:t>
            </w:r>
          </w:p>
        </w:tc>
        <w:tc>
          <w:tcPr>
            <w:tcW w:w="380" w:type="dxa"/>
            <w:vAlign w:val="bottom"/>
            <w:tcBorders>
              <w:top w:val="single" w:sz="8" w:color="005CA9"/>
              <w:bottom w:val="single" w:sz="8" w:color="005CA9"/>
            </w:tcBorders>
          </w:tcPr>
          <w:p>
            <w:pPr>
              <w:spacing w:after="0"/>
              <w:rPr>
                <w:sz w:val="22"/>
                <w:szCs w:val="22"/>
                <w:color w:val="auto"/>
              </w:rPr>
            </w:pPr>
          </w:p>
        </w:tc>
        <w:tc>
          <w:tcPr>
            <w:tcW w:w="960" w:type="dxa"/>
            <w:vAlign w:val="bottom"/>
            <w:tcBorders>
              <w:top w:val="single" w:sz="8" w:color="005CA9"/>
              <w:bottom w:val="single" w:sz="8" w:color="005CA9"/>
            </w:tcBorders>
          </w:tcPr>
          <w:p>
            <w:pPr>
              <w:jc w:val="right"/>
              <w:ind w:right="448"/>
              <w:spacing w:after="0"/>
              <w:rPr>
                <w:sz w:val="20"/>
                <w:szCs w:val="20"/>
                <w:color w:val="auto"/>
              </w:rPr>
            </w:pPr>
            <w:r>
              <w:rPr>
                <w:rFonts w:ascii="Calibri" w:cs="Calibri" w:eastAsia="Calibri" w:hAnsi="Calibri"/>
                <w:sz w:val="14"/>
                <w:szCs w:val="14"/>
                <w:b w:val="1"/>
                <w:bCs w:val="1"/>
                <w:color w:val="auto"/>
              </w:rPr>
              <w:t>2020</w:t>
            </w:r>
          </w:p>
        </w:tc>
      </w:tr>
      <w:tr>
        <w:trPr>
          <w:trHeight w:val="183"/>
        </w:trPr>
        <w:tc>
          <w:tcPr>
            <w:tcW w:w="4660" w:type="dxa"/>
            <w:vAlign w:val="bottom"/>
          </w:tcPr>
          <w:p>
            <w:pPr>
              <w:ind w:left="20"/>
              <w:spacing w:after="0"/>
              <w:rPr>
                <w:sz w:val="20"/>
                <w:szCs w:val="20"/>
                <w:color w:val="auto"/>
              </w:rPr>
            </w:pPr>
            <w:r>
              <w:rPr>
                <w:rFonts w:ascii="Calibri" w:cs="Calibri" w:eastAsia="Calibri" w:hAnsi="Calibri"/>
                <w:sz w:val="14"/>
                <w:szCs w:val="14"/>
                <w:color w:val="auto"/>
              </w:rPr>
              <w:t>Fair Value of Equity Awards for PEO</w:t>
            </w: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60"/>
        </w:trPr>
        <w:tc>
          <w:tcPr>
            <w:tcW w:w="4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183"/>
        </w:trPr>
        <w:tc>
          <w:tcPr>
            <w:tcW w:w="4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Plus as of year-end value for awards granted during the year</w:t>
            </w:r>
          </w:p>
        </w:tc>
        <w:tc>
          <w:tcPr>
            <w:tcW w:w="540" w:type="dxa"/>
            <w:vAlign w:val="bottom"/>
            <w:shd w:val="clear" w:color="auto" w:fill="CFF0FC"/>
          </w:tcPr>
          <w:p>
            <w:pPr>
              <w:jc w:val="right"/>
              <w:ind w:right="28"/>
              <w:spacing w:after="0"/>
              <w:rPr>
                <w:sz w:val="20"/>
                <w:szCs w:val="20"/>
                <w:color w:val="auto"/>
              </w:rPr>
            </w:pPr>
            <w:r>
              <w:rPr>
                <w:rFonts w:ascii="Calibri" w:cs="Calibri" w:eastAsia="Calibri" w:hAnsi="Calibri"/>
                <w:sz w:val="14"/>
                <w:szCs w:val="14"/>
                <w:color w:val="auto"/>
              </w:rPr>
              <w:t>$</w:t>
            </w:r>
          </w:p>
        </w:tc>
        <w:tc>
          <w:tcPr>
            <w:tcW w:w="980" w:type="dxa"/>
            <w:vAlign w:val="bottom"/>
            <w:shd w:val="clear" w:color="auto" w:fill="CFF0FC"/>
          </w:tcPr>
          <w:p>
            <w:pPr>
              <w:jc w:val="right"/>
              <w:ind w:right="121"/>
              <w:spacing w:after="0"/>
              <w:rPr>
                <w:sz w:val="20"/>
                <w:szCs w:val="20"/>
                <w:color w:val="auto"/>
              </w:rPr>
            </w:pPr>
            <w:r>
              <w:rPr>
                <w:rFonts w:ascii="Calibri" w:cs="Calibri" w:eastAsia="Calibri" w:hAnsi="Calibri"/>
                <w:sz w:val="14"/>
                <w:szCs w:val="14"/>
                <w:color w:val="auto"/>
              </w:rPr>
              <w:t>4,995,270</w:t>
            </w:r>
          </w:p>
        </w:tc>
        <w:tc>
          <w:tcPr>
            <w:tcW w:w="1180" w:type="dxa"/>
            <w:vAlign w:val="bottom"/>
            <w:shd w:val="clear" w:color="auto" w:fill="CFF0FC"/>
          </w:tcPr>
          <w:p>
            <w:pPr>
              <w:jc w:val="right"/>
              <w:ind w:right="43"/>
              <w:spacing w:after="0"/>
              <w:rPr>
                <w:sz w:val="20"/>
                <w:szCs w:val="20"/>
                <w:color w:val="auto"/>
              </w:rPr>
            </w:pPr>
            <w:r>
              <w:rPr>
                <w:rFonts w:ascii="Calibri" w:cs="Calibri" w:eastAsia="Calibri" w:hAnsi="Calibri"/>
                <w:sz w:val="14"/>
                <w:szCs w:val="14"/>
                <w:color w:val="auto"/>
              </w:rPr>
              <w:t>$   10,628,640</w:t>
            </w:r>
          </w:p>
        </w:tc>
        <w:tc>
          <w:tcPr>
            <w:tcW w:w="320" w:type="dxa"/>
            <w:vAlign w:val="bottom"/>
            <w:shd w:val="clear" w:color="auto" w:fill="CFF0FC"/>
          </w:tcPr>
          <w:p>
            <w:pPr>
              <w:jc w:val="right"/>
              <w:ind w:right="28"/>
              <w:spacing w:after="0"/>
              <w:rPr>
                <w:sz w:val="20"/>
                <w:szCs w:val="20"/>
                <w:color w:val="auto"/>
              </w:rPr>
            </w:pPr>
            <w:r>
              <w:rPr>
                <w:rFonts w:ascii="Calibri" w:cs="Calibri" w:eastAsia="Calibri" w:hAnsi="Calibri"/>
                <w:sz w:val="14"/>
                <w:szCs w:val="14"/>
                <w:color w:val="auto"/>
              </w:rPr>
              <w:t>$</w:t>
            </w:r>
          </w:p>
        </w:tc>
        <w:tc>
          <w:tcPr>
            <w:tcW w:w="900" w:type="dxa"/>
            <w:vAlign w:val="bottom"/>
            <w:shd w:val="clear" w:color="auto" w:fill="CFF0FC"/>
          </w:tcPr>
          <w:p>
            <w:pPr>
              <w:jc w:val="right"/>
              <w:ind w:right="88"/>
              <w:spacing w:after="0"/>
              <w:rPr>
                <w:sz w:val="20"/>
                <w:szCs w:val="20"/>
                <w:color w:val="auto"/>
              </w:rPr>
            </w:pPr>
            <w:r>
              <w:rPr>
                <w:rFonts w:ascii="Calibri" w:cs="Calibri" w:eastAsia="Calibri" w:hAnsi="Calibri"/>
                <w:sz w:val="14"/>
                <w:szCs w:val="14"/>
                <w:color w:val="auto"/>
              </w:rPr>
              <w:t>7,690,140</w:t>
            </w:r>
          </w:p>
        </w:tc>
        <w:tc>
          <w:tcPr>
            <w:tcW w:w="340" w:type="dxa"/>
            <w:vAlign w:val="bottom"/>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Calibri" w:cs="Calibri" w:eastAsia="Calibri" w:hAnsi="Calibri"/>
                <w:sz w:val="14"/>
                <w:szCs w:val="14"/>
                <w:color w:val="auto"/>
              </w:rPr>
              <w:t>11,090,810</w:t>
            </w:r>
          </w:p>
        </w:tc>
        <w:tc>
          <w:tcPr>
            <w:tcW w:w="380" w:type="dxa"/>
            <w:vAlign w:val="bottom"/>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11,706,525</w:t>
            </w:r>
          </w:p>
        </w:tc>
      </w:tr>
      <w:tr>
        <w:trPr>
          <w:trHeight w:val="60"/>
        </w:trPr>
        <w:tc>
          <w:tcPr>
            <w:tcW w:w="466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r>
      <w:tr>
        <w:trPr>
          <w:trHeight w:val="193"/>
        </w:trPr>
        <w:tc>
          <w:tcPr>
            <w:tcW w:w="4660" w:type="dxa"/>
            <w:vAlign w:val="bottom"/>
          </w:tcPr>
          <w:p>
            <w:pPr>
              <w:ind w:left="20"/>
              <w:spacing w:after="0"/>
              <w:rPr>
                <w:sz w:val="20"/>
                <w:szCs w:val="20"/>
                <w:color w:val="auto"/>
              </w:rPr>
            </w:pPr>
            <w:r>
              <w:rPr>
                <w:rFonts w:ascii="Calibri" w:cs="Calibri" w:eastAsia="Calibri" w:hAnsi="Calibri"/>
                <w:sz w:val="14"/>
                <w:szCs w:val="14"/>
                <w:color w:val="auto"/>
              </w:rPr>
              <w:t>Plus year-over-year change of unvested awards granted in previous years</w:t>
            </w:r>
          </w:p>
        </w:tc>
        <w:tc>
          <w:tcPr>
            <w:tcW w:w="540" w:type="dxa"/>
            <w:vAlign w:val="bottom"/>
          </w:tcPr>
          <w:p>
            <w:pPr>
              <w:spacing w:after="0"/>
              <w:rPr>
                <w:sz w:val="16"/>
                <w:szCs w:val="16"/>
                <w:color w:val="auto"/>
              </w:rPr>
            </w:pPr>
          </w:p>
        </w:tc>
        <w:tc>
          <w:tcPr>
            <w:tcW w:w="980" w:type="dxa"/>
            <w:vAlign w:val="bottom"/>
          </w:tcPr>
          <w:p>
            <w:pPr>
              <w:jc w:val="right"/>
              <w:ind w:right="41"/>
              <w:spacing w:after="0" w:line="193" w:lineRule="exact"/>
              <w:rPr>
                <w:sz w:val="20"/>
                <w:szCs w:val="20"/>
                <w:color w:val="auto"/>
              </w:rPr>
            </w:pPr>
            <w:r>
              <w:rPr>
                <w:rFonts w:ascii="Calibri" w:cs="Calibri" w:eastAsia="Calibri" w:hAnsi="Calibri"/>
                <w:sz w:val="16"/>
                <w:szCs w:val="16"/>
                <w:color w:val="auto"/>
              </w:rPr>
              <w:t>(3,991,488 )</w:t>
            </w:r>
          </w:p>
        </w:tc>
        <w:tc>
          <w:tcPr>
            <w:tcW w:w="1180" w:type="dxa"/>
            <w:vAlign w:val="bottom"/>
          </w:tcPr>
          <w:p>
            <w:pPr>
              <w:jc w:val="right"/>
              <w:ind w:right="43"/>
              <w:spacing w:after="0" w:line="193" w:lineRule="exact"/>
              <w:rPr>
                <w:sz w:val="20"/>
                <w:szCs w:val="20"/>
                <w:color w:val="auto"/>
              </w:rPr>
            </w:pPr>
            <w:r>
              <w:rPr>
                <w:rFonts w:ascii="Calibri" w:cs="Calibri" w:eastAsia="Calibri" w:hAnsi="Calibri"/>
                <w:sz w:val="16"/>
                <w:szCs w:val="16"/>
                <w:color w:val="auto"/>
              </w:rPr>
              <w:t>828,753</w:t>
            </w:r>
          </w:p>
        </w:tc>
        <w:tc>
          <w:tcPr>
            <w:tcW w:w="3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Calibri" w:cs="Calibri" w:eastAsia="Calibri" w:hAnsi="Calibri"/>
                <w:sz w:val="14"/>
                <w:szCs w:val="14"/>
                <w:color w:val="auto"/>
              </w:rPr>
              <w:t>(8,169,217 )</w:t>
            </w:r>
          </w:p>
        </w:tc>
        <w:tc>
          <w:tcPr>
            <w:tcW w:w="34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Calibri" w:cs="Calibri" w:eastAsia="Calibri" w:hAnsi="Calibri"/>
                <w:sz w:val="14"/>
                <w:szCs w:val="14"/>
                <w:color w:val="auto"/>
              </w:rPr>
              <w:t>9,551,577</w:t>
            </w:r>
          </w:p>
        </w:tc>
        <w:tc>
          <w:tcPr>
            <w:tcW w:w="3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Calibri" w:cs="Calibri" w:eastAsia="Calibri" w:hAnsi="Calibri"/>
                <w:sz w:val="14"/>
                <w:szCs w:val="14"/>
                <w:color w:val="auto"/>
              </w:rPr>
              <w:t>4,740,290</w:t>
            </w:r>
          </w:p>
        </w:tc>
      </w:tr>
      <w:tr>
        <w:trPr>
          <w:trHeight w:val="50"/>
        </w:trPr>
        <w:tc>
          <w:tcPr>
            <w:tcW w:w="4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23"/>
        </w:trPr>
        <w:tc>
          <w:tcPr>
            <w:tcW w:w="4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Plus change from prior fscal year-end awards that vested during the year</w:t>
            </w:r>
          </w:p>
        </w:tc>
        <w:tc>
          <w:tcPr>
            <w:tcW w:w="5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41"/>
              <w:spacing w:after="0" w:line="193" w:lineRule="exact"/>
              <w:rPr>
                <w:sz w:val="20"/>
                <w:szCs w:val="20"/>
                <w:color w:val="auto"/>
              </w:rPr>
            </w:pPr>
            <w:r>
              <w:rPr>
                <w:rFonts w:ascii="Calibri" w:cs="Calibri" w:eastAsia="Calibri" w:hAnsi="Calibri"/>
                <w:sz w:val="16"/>
                <w:szCs w:val="16"/>
                <w:color w:val="auto"/>
              </w:rPr>
              <w:t>(5,682,752 )</w:t>
            </w:r>
          </w:p>
        </w:tc>
        <w:tc>
          <w:tcPr>
            <w:tcW w:w="1180" w:type="dxa"/>
            <w:vAlign w:val="bottom"/>
            <w:tcBorders>
              <w:bottom w:val="single" w:sz="8" w:color="CFF0FC"/>
            </w:tcBorders>
            <w:shd w:val="clear" w:color="auto" w:fill="CFF0FC"/>
          </w:tcPr>
          <w:p>
            <w:pPr>
              <w:jc w:val="right"/>
              <w:ind w:right="43"/>
              <w:spacing w:after="0" w:line="193" w:lineRule="exact"/>
              <w:rPr>
                <w:sz w:val="20"/>
                <w:szCs w:val="20"/>
                <w:color w:val="auto"/>
              </w:rPr>
            </w:pPr>
            <w:r>
              <w:rPr>
                <w:rFonts w:ascii="Calibri" w:cs="Calibri" w:eastAsia="Calibri" w:hAnsi="Calibri"/>
                <w:sz w:val="16"/>
                <w:szCs w:val="16"/>
                <w:color w:val="auto"/>
              </w:rPr>
              <w:t>676,329</w:t>
            </w:r>
          </w:p>
        </w:tc>
        <w:tc>
          <w:tcPr>
            <w:tcW w:w="3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28"/>
              <w:spacing w:after="0"/>
              <w:rPr>
                <w:sz w:val="20"/>
                <w:szCs w:val="20"/>
                <w:color w:val="auto"/>
              </w:rPr>
            </w:pPr>
            <w:r>
              <w:rPr>
                <w:rFonts w:ascii="Calibri" w:cs="Calibri" w:eastAsia="Calibri" w:hAnsi="Calibri"/>
                <w:sz w:val="14"/>
                <w:szCs w:val="14"/>
                <w:color w:val="auto"/>
              </w:rPr>
              <w:t>(4,566,056 )</w:t>
            </w:r>
          </w:p>
        </w:tc>
        <w:tc>
          <w:tcPr>
            <w:tcW w:w="3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7,358,400</w:t>
            </w:r>
          </w:p>
        </w:tc>
        <w:tc>
          <w:tcPr>
            <w:tcW w:w="3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2,819,444</w:t>
            </w:r>
          </w:p>
        </w:tc>
      </w:tr>
      <w:tr>
        <w:trPr>
          <w:trHeight w:val="198"/>
        </w:trPr>
        <w:tc>
          <w:tcPr>
            <w:tcW w:w="4660" w:type="dxa"/>
            <w:vAlign w:val="bottom"/>
            <w:tcBorders>
              <w:bottom w:val="single" w:sz="8" w:color="005CA9"/>
            </w:tcBorders>
          </w:tcPr>
          <w:p>
            <w:pPr>
              <w:ind w:left="20"/>
              <w:spacing w:after="0"/>
              <w:rPr>
                <w:sz w:val="20"/>
                <w:szCs w:val="20"/>
                <w:color w:val="auto"/>
              </w:rPr>
            </w:pPr>
            <w:r>
              <w:rPr>
                <w:rFonts w:ascii="Calibri" w:cs="Calibri" w:eastAsia="Calibri" w:hAnsi="Calibri"/>
                <w:sz w:val="14"/>
                <w:szCs w:val="14"/>
                <w:color w:val="auto"/>
              </w:rPr>
              <w:t>Total equity award adjustments</w:t>
            </w:r>
          </w:p>
        </w:tc>
        <w:tc>
          <w:tcPr>
            <w:tcW w:w="540" w:type="dxa"/>
            <w:vAlign w:val="bottom"/>
            <w:tcBorders>
              <w:bottom w:val="single" w:sz="8" w:color="005CA9"/>
            </w:tcBorders>
          </w:tcPr>
          <w:p>
            <w:pPr>
              <w:spacing w:after="0"/>
              <w:rPr>
                <w:sz w:val="17"/>
                <w:szCs w:val="17"/>
                <w:color w:val="auto"/>
              </w:rPr>
            </w:pPr>
          </w:p>
        </w:tc>
        <w:tc>
          <w:tcPr>
            <w:tcW w:w="980" w:type="dxa"/>
            <w:vAlign w:val="bottom"/>
            <w:tcBorders>
              <w:bottom w:val="single" w:sz="8" w:color="005CA9"/>
            </w:tcBorders>
          </w:tcPr>
          <w:p>
            <w:pPr>
              <w:jc w:val="right"/>
              <w:ind w:right="41"/>
              <w:spacing w:after="0" w:line="193" w:lineRule="exact"/>
              <w:rPr>
                <w:sz w:val="20"/>
                <w:szCs w:val="20"/>
                <w:color w:val="auto"/>
              </w:rPr>
            </w:pPr>
            <w:r>
              <w:rPr>
                <w:rFonts w:ascii="Calibri" w:cs="Calibri" w:eastAsia="Calibri" w:hAnsi="Calibri"/>
                <w:sz w:val="16"/>
                <w:szCs w:val="16"/>
                <w:color w:val="auto"/>
              </w:rPr>
              <w:t>(4,678,969 )</w:t>
            </w:r>
          </w:p>
        </w:tc>
        <w:tc>
          <w:tcPr>
            <w:tcW w:w="1180" w:type="dxa"/>
            <w:vAlign w:val="bottom"/>
            <w:tcBorders>
              <w:bottom w:val="single" w:sz="8" w:color="005CA9"/>
            </w:tcBorders>
          </w:tcPr>
          <w:p>
            <w:pPr>
              <w:jc w:val="right"/>
              <w:ind w:right="43"/>
              <w:spacing w:after="0" w:line="193" w:lineRule="exact"/>
              <w:rPr>
                <w:sz w:val="20"/>
                <w:szCs w:val="20"/>
                <w:color w:val="auto"/>
              </w:rPr>
            </w:pPr>
            <w:r>
              <w:rPr>
                <w:rFonts w:ascii="Calibri" w:cs="Calibri" w:eastAsia="Calibri" w:hAnsi="Calibri"/>
                <w:sz w:val="16"/>
                <w:szCs w:val="16"/>
                <w:color w:val="auto"/>
              </w:rPr>
              <w:t>12,133,722</w:t>
            </w:r>
          </w:p>
        </w:tc>
        <w:tc>
          <w:tcPr>
            <w:tcW w:w="320" w:type="dxa"/>
            <w:vAlign w:val="bottom"/>
            <w:tcBorders>
              <w:bottom w:val="single" w:sz="8" w:color="005CA9"/>
            </w:tcBorders>
          </w:tcPr>
          <w:p>
            <w:pPr>
              <w:spacing w:after="0"/>
              <w:rPr>
                <w:sz w:val="17"/>
                <w:szCs w:val="17"/>
                <w:color w:val="auto"/>
              </w:rPr>
            </w:pPr>
          </w:p>
        </w:tc>
        <w:tc>
          <w:tcPr>
            <w:tcW w:w="900" w:type="dxa"/>
            <w:vAlign w:val="bottom"/>
            <w:tcBorders>
              <w:bottom w:val="single" w:sz="8" w:color="005CA9"/>
            </w:tcBorders>
          </w:tcPr>
          <w:p>
            <w:pPr>
              <w:jc w:val="right"/>
              <w:ind w:right="28"/>
              <w:spacing w:after="0"/>
              <w:rPr>
                <w:sz w:val="20"/>
                <w:szCs w:val="20"/>
                <w:color w:val="auto"/>
              </w:rPr>
            </w:pPr>
            <w:r>
              <w:rPr>
                <w:rFonts w:ascii="Calibri" w:cs="Calibri" w:eastAsia="Calibri" w:hAnsi="Calibri"/>
                <w:sz w:val="14"/>
                <w:szCs w:val="14"/>
                <w:color w:val="auto"/>
              </w:rPr>
              <w:t>(5,045,133 )</w:t>
            </w:r>
          </w:p>
        </w:tc>
        <w:tc>
          <w:tcPr>
            <w:tcW w:w="340" w:type="dxa"/>
            <w:vAlign w:val="bottom"/>
            <w:tcBorders>
              <w:bottom w:val="single" w:sz="8" w:color="005CA9"/>
            </w:tcBorders>
          </w:tcPr>
          <w:p>
            <w:pPr>
              <w:spacing w:after="0"/>
              <w:rPr>
                <w:sz w:val="17"/>
                <w:szCs w:val="17"/>
                <w:color w:val="auto"/>
              </w:rPr>
            </w:pPr>
          </w:p>
        </w:tc>
        <w:tc>
          <w:tcPr>
            <w:tcW w:w="980" w:type="dxa"/>
            <w:vAlign w:val="bottom"/>
            <w:tcBorders>
              <w:bottom w:val="single" w:sz="8" w:color="005CA9"/>
            </w:tcBorders>
          </w:tcPr>
          <w:p>
            <w:pPr>
              <w:jc w:val="right"/>
              <w:ind w:right="68"/>
              <w:spacing w:after="0"/>
              <w:rPr>
                <w:sz w:val="20"/>
                <w:szCs w:val="20"/>
                <w:color w:val="auto"/>
              </w:rPr>
            </w:pPr>
            <w:r>
              <w:rPr>
                <w:rFonts w:ascii="Calibri" w:cs="Calibri" w:eastAsia="Calibri" w:hAnsi="Calibri"/>
                <w:sz w:val="14"/>
                <w:szCs w:val="14"/>
                <w:color w:val="auto"/>
              </w:rPr>
              <w:t>28,000,786</w:t>
            </w:r>
          </w:p>
        </w:tc>
        <w:tc>
          <w:tcPr>
            <w:tcW w:w="380" w:type="dxa"/>
            <w:vAlign w:val="bottom"/>
            <w:tcBorders>
              <w:bottom w:val="single" w:sz="8" w:color="005CA9"/>
            </w:tcBorders>
          </w:tcPr>
          <w:p>
            <w:pPr>
              <w:spacing w:after="0"/>
              <w:rPr>
                <w:sz w:val="17"/>
                <w:szCs w:val="17"/>
                <w:color w:val="auto"/>
              </w:rPr>
            </w:pPr>
          </w:p>
        </w:tc>
        <w:tc>
          <w:tcPr>
            <w:tcW w:w="960" w:type="dxa"/>
            <w:vAlign w:val="bottom"/>
            <w:tcBorders>
              <w:bottom w:val="single" w:sz="8" w:color="005CA9"/>
            </w:tcBorders>
          </w:tcPr>
          <w:p>
            <w:pPr>
              <w:jc w:val="right"/>
              <w:ind w:right="48"/>
              <w:spacing w:after="0"/>
              <w:rPr>
                <w:sz w:val="20"/>
                <w:szCs w:val="20"/>
                <w:color w:val="auto"/>
              </w:rPr>
            </w:pPr>
            <w:r>
              <w:rPr>
                <w:rFonts w:ascii="Calibri" w:cs="Calibri" w:eastAsia="Calibri" w:hAnsi="Calibri"/>
                <w:sz w:val="14"/>
                <w:szCs w:val="14"/>
                <w:color w:val="auto"/>
              </w:rPr>
              <w:t>19,266,259</w:t>
            </w:r>
          </w:p>
        </w:tc>
      </w:tr>
    </w:tbl>
    <w:p>
      <w:pPr>
        <w:spacing w:after="0" w:line="8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To calculate the amounts in the “Average Compensaton Actually Paid to Non-PEO NEOs” column in the Pay versus Performance table above, the following amounts were deducted from and added to (as applicable) the average of the “Total” compensaton of our non-PEO NEOs for each applicable year, as reported in the Summary Compensaton Table above.</w:t>
      </w:r>
    </w:p>
    <w:p>
      <w:pPr>
        <w:spacing w:after="0" w:line="107"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Average Compensaton Actually Paid to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920"/>
        <w:spacing w:after="0"/>
        <w:rPr>
          <w:sz w:val="20"/>
          <w:szCs w:val="20"/>
          <w:color w:val="auto"/>
        </w:rPr>
      </w:pPr>
      <w:r>
        <w:rPr>
          <w:rFonts w:ascii="Calibri" w:cs="Calibri" w:eastAsia="Calibri" w:hAnsi="Calibri"/>
          <w:sz w:val="14"/>
          <w:szCs w:val="14"/>
          <w:b w:val="1"/>
          <w:bCs w:val="1"/>
          <w:color w:val="auto"/>
        </w:rPr>
        <w:t>Minus</w:t>
      </w:r>
    </w:p>
    <w:p>
      <w:pPr>
        <w:spacing w:after="0" w:line="5" w:lineRule="exact"/>
        <w:rPr>
          <w:sz w:val="20"/>
          <w:szCs w:val="20"/>
          <w:color w:val="auto"/>
        </w:rPr>
      </w:pPr>
    </w:p>
    <w:p>
      <w:pPr>
        <w:ind w:left="1620"/>
        <w:spacing w:after="0"/>
        <w:tabs>
          <w:tab w:leader="none" w:pos="3280" w:val="left"/>
        </w:tabs>
        <w:rPr>
          <w:sz w:val="20"/>
          <w:szCs w:val="20"/>
          <w:color w:val="auto"/>
        </w:rPr>
      </w:pPr>
      <w:r>
        <w:rPr>
          <w:rFonts w:ascii="Calibri" w:cs="Calibri" w:eastAsia="Calibri" w:hAnsi="Calibri"/>
          <w:sz w:val="14"/>
          <w:szCs w:val="14"/>
          <w:b w:val="1"/>
          <w:bCs w:val="1"/>
          <w:color w:val="auto"/>
        </w:rPr>
        <w:t>Average Summary</w:t>
      </w:r>
      <w:r>
        <w:rPr>
          <w:sz w:val="20"/>
          <w:szCs w:val="20"/>
          <w:color w:val="auto"/>
        </w:rPr>
        <w:tab/>
      </w:r>
      <w:r>
        <w:rPr>
          <w:rFonts w:ascii="Calibri" w:cs="Calibri" w:eastAsia="Calibri" w:hAnsi="Calibri"/>
          <w:sz w:val="14"/>
          <w:szCs w:val="14"/>
          <w:b w:val="1"/>
          <w:bCs w:val="1"/>
          <w:color w:val="auto"/>
        </w:rPr>
        <w:t>Average Reported Value of</w:t>
      </w:r>
    </w:p>
    <w:p>
      <w:pPr>
        <w:spacing w:after="0" w:line="5" w:lineRule="exact"/>
        <w:rPr>
          <w:sz w:val="20"/>
          <w:szCs w:val="20"/>
          <w:color w:val="auto"/>
        </w:rPr>
      </w:pPr>
    </w:p>
    <w:p>
      <w:pPr>
        <w:ind w:left="1280"/>
        <w:spacing w:after="0"/>
        <w:tabs>
          <w:tab w:leader="none" w:pos="3260" w:val="left"/>
        </w:tabs>
        <w:rPr>
          <w:sz w:val="20"/>
          <w:szCs w:val="20"/>
          <w:color w:val="auto"/>
        </w:rPr>
      </w:pPr>
      <w:r>
        <w:rPr>
          <w:rFonts w:ascii="Calibri" w:cs="Calibri" w:eastAsia="Calibri" w:hAnsi="Calibri"/>
          <w:sz w:val="14"/>
          <w:szCs w:val="14"/>
          <w:b w:val="1"/>
          <w:bCs w:val="1"/>
          <w:color w:val="auto"/>
        </w:rPr>
        <w:t>Compensaton Table Total for</w:t>
      </w:r>
      <w:r>
        <w:rPr>
          <w:sz w:val="20"/>
          <w:szCs w:val="20"/>
          <w:color w:val="auto"/>
        </w:rPr>
        <w:tab/>
      </w:r>
      <w:r>
        <w:rPr>
          <w:rFonts w:ascii="Calibri" w:cs="Calibri" w:eastAsia="Calibri" w:hAnsi="Calibri"/>
          <w:sz w:val="14"/>
          <w:szCs w:val="14"/>
          <w:b w:val="1"/>
          <w:bCs w:val="1"/>
          <w:color w:val="auto"/>
        </w:rPr>
        <w:t>Equity Awards for Non-PEO</w:t>
      </w:r>
    </w:p>
    <w:p>
      <w:pPr>
        <w:ind w:left="500"/>
        <w:spacing w:after="0" w:line="226" w:lineRule="auto"/>
        <w:tabs>
          <w:tab w:leader="none" w:pos="1640" w:val="left"/>
          <w:tab w:leader="none" w:pos="3860" w:val="left"/>
        </w:tabs>
        <w:rPr>
          <w:sz w:val="20"/>
          <w:szCs w:val="20"/>
          <w:color w:val="auto"/>
        </w:rPr>
      </w:pPr>
      <w:r>
        <w:rPr>
          <w:rFonts w:ascii="Calibri" w:cs="Calibri" w:eastAsia="Calibri" w:hAnsi="Calibri"/>
          <w:sz w:val="14"/>
          <w:szCs w:val="14"/>
          <w:b w:val="1"/>
          <w:bCs w:val="1"/>
          <w:color w:val="auto"/>
        </w:rPr>
        <w:t>Year</w:t>
      </w:r>
      <w:r>
        <w:rPr>
          <w:sz w:val="20"/>
          <w:szCs w:val="20"/>
          <w:color w:val="auto"/>
        </w:rPr>
        <w:tab/>
      </w:r>
      <w:r>
        <w:rPr>
          <w:rFonts w:ascii="Calibri" w:cs="Calibri" w:eastAsia="Calibri" w:hAnsi="Calibri"/>
          <w:sz w:val="14"/>
          <w:szCs w:val="14"/>
          <w:b w:val="1"/>
          <w:bCs w:val="1"/>
          <w:color w:val="auto"/>
        </w:rPr>
        <w:t xml:space="preserve">Non-PEO NEOs </w:t>
      </w:r>
      <w:r>
        <w:rPr>
          <w:rFonts w:ascii="Calibri" w:cs="Calibri" w:eastAsia="Calibri" w:hAnsi="Calibri"/>
          <w:sz w:val="19"/>
          <w:szCs w:val="19"/>
          <w:b w:val="1"/>
          <w:bCs w:val="1"/>
          <w:color w:val="auto"/>
          <w:vertAlign w:val="superscript"/>
        </w:rPr>
        <w:t>(1)</w:t>
      </w:r>
      <w:r>
        <w:rPr>
          <w:sz w:val="20"/>
          <w:szCs w:val="20"/>
          <w:color w:val="auto"/>
        </w:rPr>
        <w:tab/>
      </w:r>
      <w:r>
        <w:rPr>
          <w:rFonts w:ascii="Calibri" w:cs="Calibri" w:eastAsia="Calibri" w:hAnsi="Calibri"/>
          <w:sz w:val="13"/>
          <w:szCs w:val="13"/>
          <w:b w:val="1"/>
          <w:bCs w:val="1"/>
          <w:color w:val="auto"/>
        </w:rPr>
        <w:t xml:space="preserve">NEOs </w:t>
      </w:r>
      <w:r>
        <w:rPr>
          <w:rFonts w:ascii="Calibri" w:cs="Calibri" w:eastAsia="Calibri" w:hAnsi="Calibri"/>
          <w:sz w:val="17"/>
          <w:szCs w:val="17"/>
          <w:b w:val="1"/>
          <w:bCs w:val="1"/>
          <w:color w:val="auto"/>
          <w:vertAlign w:val="superscript"/>
        </w:rPr>
        <w:t>(2)</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Plus</w:t>
            </w:r>
          </w:p>
        </w:tc>
        <w:tc>
          <w:tcPr>
            <w:tcW w:w="1660" w:type="dxa"/>
            <w:vAlign w:val="bottom"/>
          </w:tcPr>
          <w:p>
            <w:pPr>
              <w:spacing w:after="0"/>
              <w:rPr>
                <w:sz w:val="14"/>
                <w:szCs w:val="14"/>
                <w:color w:val="auto"/>
              </w:rPr>
            </w:pPr>
          </w:p>
        </w:tc>
      </w:tr>
      <w:tr>
        <w:trPr>
          <w:trHeight w:val="175"/>
        </w:trPr>
        <w:tc>
          <w:tcPr>
            <w:tcW w:w="22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rPr>
              <w:t>Average Reported Change in</w:t>
            </w:r>
          </w:p>
        </w:tc>
        <w:tc>
          <w:tcPr>
            <w:tcW w:w="166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rPr>
              <w:t>Pension Value</w:t>
            </w:r>
          </w:p>
        </w:tc>
        <w:tc>
          <w:tcPr>
            <w:tcW w:w="166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and</w:t>
            </w:r>
          </w:p>
        </w:tc>
        <w:tc>
          <w:tcPr>
            <w:tcW w:w="166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rPr>
              <w:t>Non-qualifed</w:t>
            </w:r>
          </w:p>
        </w:tc>
        <w:tc>
          <w:tcPr>
            <w:tcW w:w="166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rPr>
              <w:t>Deferred</w:t>
            </w:r>
          </w:p>
        </w:tc>
        <w:tc>
          <w:tcPr>
            <w:tcW w:w="1660" w:type="dxa"/>
            <w:vAlign w:val="bottom"/>
          </w:tcPr>
          <w:p>
            <w:pPr>
              <w:spacing w:after="0"/>
              <w:rPr>
                <w:sz w:val="15"/>
                <w:szCs w:val="15"/>
                <w:color w:val="auto"/>
              </w:rPr>
            </w:pPr>
          </w:p>
        </w:tc>
      </w:tr>
      <w:tr>
        <w:trPr>
          <w:trHeight w:val="176"/>
        </w:trPr>
        <w:tc>
          <w:tcPr>
            <w:tcW w:w="2220" w:type="dxa"/>
            <w:vAlign w:val="bottom"/>
          </w:tcPr>
          <w:p>
            <w:pPr>
              <w:jc w:val="center"/>
              <w:ind w:right="28"/>
              <w:spacing w:after="0"/>
              <w:rPr>
                <w:sz w:val="20"/>
                <w:szCs w:val="20"/>
                <w:color w:val="auto"/>
              </w:rPr>
            </w:pPr>
            <w:r>
              <w:rPr>
                <w:rFonts w:ascii="Calibri" w:cs="Calibri" w:eastAsia="Calibri" w:hAnsi="Calibri"/>
                <w:sz w:val="14"/>
                <w:szCs w:val="14"/>
                <w:b w:val="1"/>
                <w:bCs w:val="1"/>
                <w:color w:val="auto"/>
                <w:w w:val="99"/>
              </w:rPr>
              <w:t>Plus</w:t>
            </w: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rPr>
              <w:t>Compensaton</w:t>
            </w:r>
          </w:p>
        </w:tc>
        <w:tc>
          <w:tcPr>
            <w:tcW w:w="1660" w:type="dxa"/>
            <w:vAlign w:val="bottom"/>
          </w:tcPr>
          <w:p>
            <w:pPr>
              <w:jc w:val="center"/>
              <w:ind w:left="68"/>
              <w:spacing w:after="0"/>
              <w:rPr>
                <w:sz w:val="20"/>
                <w:szCs w:val="20"/>
                <w:color w:val="auto"/>
              </w:rPr>
            </w:pPr>
            <w:r>
              <w:rPr>
                <w:rFonts w:ascii="Calibri" w:cs="Calibri" w:eastAsia="Calibri" w:hAnsi="Calibri"/>
                <w:sz w:val="14"/>
                <w:szCs w:val="14"/>
                <w:b w:val="1"/>
                <w:bCs w:val="1"/>
                <w:color w:val="auto"/>
              </w:rPr>
              <w:t>Average Compensaton</w:t>
            </w:r>
          </w:p>
        </w:tc>
      </w:tr>
      <w:tr>
        <w:trPr>
          <w:trHeight w:val="159"/>
        </w:trPr>
        <w:tc>
          <w:tcPr>
            <w:tcW w:w="2220" w:type="dxa"/>
            <w:vAlign w:val="bottom"/>
          </w:tcPr>
          <w:p>
            <w:pPr>
              <w:jc w:val="center"/>
              <w:ind w:right="28"/>
              <w:spacing w:after="0" w:line="159" w:lineRule="exact"/>
              <w:rPr>
                <w:sz w:val="20"/>
                <w:szCs w:val="20"/>
                <w:color w:val="auto"/>
              </w:rPr>
            </w:pPr>
            <w:r>
              <w:rPr>
                <w:rFonts w:ascii="Calibri" w:cs="Calibri" w:eastAsia="Calibri" w:hAnsi="Calibri"/>
                <w:sz w:val="14"/>
                <w:szCs w:val="14"/>
                <w:b w:val="1"/>
                <w:bCs w:val="1"/>
                <w:color w:val="auto"/>
              </w:rPr>
              <w:t>Average Equity Award Adjustments</w:t>
            </w:r>
          </w:p>
        </w:tc>
        <w:tc>
          <w:tcPr>
            <w:tcW w:w="194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Earnings for Non-PEO NEOs</w:t>
            </w:r>
          </w:p>
        </w:tc>
        <w:tc>
          <w:tcPr>
            <w:tcW w:w="1660" w:type="dxa"/>
            <w:vAlign w:val="bottom"/>
          </w:tcPr>
          <w:p>
            <w:pPr>
              <w:jc w:val="center"/>
              <w:ind w:left="68"/>
              <w:spacing w:after="0" w:line="159" w:lineRule="exact"/>
              <w:rPr>
                <w:sz w:val="20"/>
                <w:szCs w:val="20"/>
                <w:color w:val="auto"/>
              </w:rPr>
            </w:pPr>
            <w:r>
              <w:rPr>
                <w:rFonts w:ascii="Calibri" w:cs="Calibri" w:eastAsia="Calibri" w:hAnsi="Calibri"/>
                <w:sz w:val="14"/>
                <w:szCs w:val="14"/>
                <w:b w:val="1"/>
                <w:bCs w:val="1"/>
                <w:color w:val="auto"/>
              </w:rPr>
              <w:t>Actually Paid to Non-PEO</w:t>
            </w:r>
          </w:p>
        </w:tc>
      </w:tr>
      <w:tr>
        <w:trPr>
          <w:trHeight w:val="212"/>
        </w:trPr>
        <w:tc>
          <w:tcPr>
            <w:tcW w:w="2220" w:type="dxa"/>
            <w:vAlign w:val="bottom"/>
          </w:tcPr>
          <w:p>
            <w:pPr>
              <w:jc w:val="center"/>
              <w:spacing w:after="0" w:line="212" w:lineRule="exact"/>
              <w:rPr>
                <w:sz w:val="20"/>
                <w:szCs w:val="20"/>
                <w:color w:val="auto"/>
              </w:rPr>
            </w:pPr>
            <w:r>
              <w:rPr>
                <w:rFonts w:ascii="Calibri" w:cs="Calibri" w:eastAsia="Calibri" w:hAnsi="Calibri"/>
                <w:sz w:val="14"/>
                <w:szCs w:val="14"/>
                <w:b w:val="1"/>
                <w:bCs w:val="1"/>
                <w:color w:val="auto"/>
                <w:w w:val="99"/>
              </w:rPr>
              <w:t xml:space="preserve">for Non-PEO NEOs </w:t>
            </w:r>
            <w:r>
              <w:rPr>
                <w:rFonts w:ascii="Calibri" w:cs="Calibri" w:eastAsia="Calibri" w:hAnsi="Calibri"/>
                <w:sz w:val="19"/>
                <w:szCs w:val="19"/>
                <w:b w:val="1"/>
                <w:bCs w:val="1"/>
                <w:color w:val="auto"/>
                <w:w w:val="99"/>
                <w:vertAlign w:val="superscript"/>
              </w:rPr>
              <w:t>(3)</w:t>
            </w: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660" w:type="dxa"/>
            <w:vAlign w:val="bottom"/>
          </w:tcPr>
          <w:p>
            <w:pPr>
              <w:jc w:val="center"/>
              <w:ind w:left="108"/>
              <w:spacing w:after="0"/>
              <w:rPr>
                <w:sz w:val="20"/>
                <w:szCs w:val="20"/>
                <w:color w:val="auto"/>
              </w:rPr>
            </w:pPr>
            <w:r>
              <w:rPr>
                <w:rFonts w:ascii="Calibri" w:cs="Calibri" w:eastAsia="Calibri" w:hAnsi="Calibri"/>
                <w:sz w:val="14"/>
                <w:szCs w:val="14"/>
                <w:b w:val="1"/>
                <w:bCs w:val="1"/>
                <w:color w:val="auto"/>
              </w:rPr>
              <w:t>NEOs</w:t>
            </w:r>
          </w:p>
        </w:tc>
      </w:tr>
    </w:tbl>
    <w:p>
      <w:pPr>
        <w:spacing w:after="0" w:line="1" w:lineRule="exact"/>
        <w:rPr>
          <w:sz w:val="20"/>
          <w:szCs w:val="20"/>
          <w:color w:val="auto"/>
        </w:rPr>
      </w:pPr>
    </w:p>
    <w:p>
      <w:pPr>
        <w:sectPr>
          <w:pgSz w:w="11900" w:h="16838" w:orient="portrait"/>
          <w:cols w:equalWidth="0" w:num="2">
            <w:col w:w="4920" w:space="240"/>
            <w:col w:w="6080"/>
          </w:cols>
          <w:pgMar w:left="320" w:top="75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40" w:type="dxa"/>
            <w:vAlign w:val="bottom"/>
            <w:tcBorders>
              <w:top w:val="single" w:sz="8" w:color="005CA9"/>
            </w:tcBorders>
            <w:shd w:val="clear" w:color="auto" w:fill="CFF0FC"/>
          </w:tcPr>
          <w:p>
            <w:pPr>
              <w:jc w:val="right"/>
              <w:ind w:right="388"/>
              <w:spacing w:after="0"/>
              <w:rPr>
                <w:sz w:val="20"/>
                <w:szCs w:val="20"/>
                <w:color w:val="auto"/>
              </w:rPr>
            </w:pPr>
            <w:r>
              <w:rPr>
                <w:rFonts w:ascii="Calibri" w:cs="Calibri" w:eastAsia="Calibri" w:hAnsi="Calibri"/>
                <w:sz w:val="14"/>
                <w:szCs w:val="14"/>
                <w:color w:val="auto"/>
              </w:rPr>
              <w:t>2024</w:t>
            </w:r>
          </w:p>
        </w:tc>
        <w:tc>
          <w:tcPr>
            <w:tcW w:w="1080" w:type="dxa"/>
            <w:vAlign w:val="bottom"/>
            <w:tcBorders>
              <w:top w:val="single" w:sz="8" w:color="005CA9"/>
            </w:tcBorders>
            <w:shd w:val="clear" w:color="auto" w:fill="CFF0FC"/>
          </w:tcPr>
          <w:p>
            <w:pPr>
              <w:jc w:val="right"/>
              <w:ind w:right="488"/>
              <w:spacing w:after="0"/>
              <w:rPr>
                <w:sz w:val="20"/>
                <w:szCs w:val="20"/>
                <w:color w:val="auto"/>
              </w:rPr>
            </w:pPr>
            <w:r>
              <w:rPr>
                <w:rFonts w:ascii="Calibri" w:cs="Calibri" w:eastAsia="Calibri" w:hAnsi="Calibri"/>
                <w:sz w:val="14"/>
                <w:szCs w:val="14"/>
                <w:color w:val="auto"/>
              </w:rPr>
              <w:t>$</w:t>
            </w:r>
          </w:p>
        </w:tc>
        <w:tc>
          <w:tcPr>
            <w:tcW w:w="1220" w:type="dxa"/>
            <w:vAlign w:val="bottom"/>
            <w:tcBorders>
              <w:top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1,978,444</w:t>
            </w:r>
          </w:p>
        </w:tc>
        <w:tc>
          <w:tcPr>
            <w:tcW w:w="720" w:type="dxa"/>
            <w:vAlign w:val="bottom"/>
            <w:tcBorders>
              <w:top w:val="single" w:sz="8" w:color="005CA9"/>
            </w:tcBorders>
            <w:shd w:val="clear" w:color="auto" w:fill="CFF0FC"/>
          </w:tcPr>
          <w:p>
            <w:pPr>
              <w:jc w:val="right"/>
              <w:ind w:right="488"/>
              <w:spacing w:after="0"/>
              <w:rPr>
                <w:sz w:val="20"/>
                <w:szCs w:val="20"/>
                <w:color w:val="auto"/>
              </w:rPr>
            </w:pPr>
            <w:r>
              <w:rPr>
                <w:rFonts w:ascii="Calibri" w:cs="Calibri" w:eastAsia="Calibri" w:hAnsi="Calibri"/>
                <w:sz w:val="14"/>
                <w:szCs w:val="14"/>
                <w:color w:val="auto"/>
              </w:rPr>
              <w:t>$</w:t>
            </w:r>
          </w:p>
        </w:tc>
        <w:tc>
          <w:tcPr>
            <w:tcW w:w="1240" w:type="dxa"/>
            <w:vAlign w:val="bottom"/>
            <w:tcBorders>
              <w:top w:val="single" w:sz="8" w:color="005CA9"/>
            </w:tcBorders>
            <w:shd w:val="clear" w:color="auto" w:fill="CFF0FC"/>
          </w:tcPr>
          <w:p>
            <w:pPr>
              <w:jc w:val="right"/>
              <w:ind w:right="8"/>
              <w:spacing w:after="0"/>
              <w:rPr>
                <w:sz w:val="20"/>
                <w:szCs w:val="20"/>
                <w:color w:val="auto"/>
              </w:rPr>
            </w:pPr>
            <w:r>
              <w:rPr>
                <w:rFonts w:ascii="Calibri" w:cs="Calibri" w:eastAsia="Calibri" w:hAnsi="Calibri"/>
                <w:sz w:val="14"/>
                <w:szCs w:val="14"/>
                <w:color w:val="auto"/>
              </w:rPr>
              <w:t>1,446,925</w:t>
            </w:r>
          </w:p>
        </w:tc>
        <w:tc>
          <w:tcPr>
            <w:tcW w:w="880" w:type="dxa"/>
            <w:vAlign w:val="bottom"/>
            <w:tcBorders>
              <w:top w:val="single" w:sz="8" w:color="005CA9"/>
            </w:tcBorders>
            <w:shd w:val="clear" w:color="auto" w:fill="CFF0FC"/>
          </w:tcPr>
          <w:p>
            <w:pPr>
              <w:jc w:val="right"/>
              <w:ind w:right="668"/>
              <w:spacing w:after="0"/>
              <w:rPr>
                <w:sz w:val="20"/>
                <w:szCs w:val="20"/>
                <w:color w:val="auto"/>
              </w:rPr>
            </w:pPr>
            <w:r>
              <w:rPr>
                <w:rFonts w:ascii="Calibri" w:cs="Calibri" w:eastAsia="Calibri" w:hAnsi="Calibri"/>
                <w:sz w:val="14"/>
                <w:szCs w:val="14"/>
                <w:color w:val="auto"/>
              </w:rPr>
              <w:t>$</w:t>
            </w:r>
          </w:p>
        </w:tc>
        <w:tc>
          <w:tcPr>
            <w:tcW w:w="1400" w:type="dxa"/>
            <w:vAlign w:val="bottom"/>
            <w:tcBorders>
              <w:top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1,734,384</w:t>
            </w:r>
          </w:p>
        </w:tc>
        <w:tc>
          <w:tcPr>
            <w:tcW w:w="760" w:type="dxa"/>
            <w:vAlign w:val="bottom"/>
            <w:tcBorders>
              <w:top w:val="single" w:sz="8" w:color="005CA9"/>
            </w:tcBorders>
            <w:shd w:val="clear" w:color="auto" w:fill="CFF0FC"/>
          </w:tcPr>
          <w:p>
            <w:pPr>
              <w:jc w:val="right"/>
              <w:ind w:right="548"/>
              <w:spacing w:after="0"/>
              <w:rPr>
                <w:sz w:val="20"/>
                <w:szCs w:val="20"/>
                <w:color w:val="auto"/>
              </w:rPr>
            </w:pPr>
            <w:r>
              <w:rPr>
                <w:rFonts w:ascii="Calibri" w:cs="Calibri" w:eastAsia="Calibri" w:hAnsi="Calibri"/>
                <w:sz w:val="14"/>
                <w:szCs w:val="14"/>
                <w:color w:val="auto"/>
              </w:rPr>
              <w:t>$</w:t>
            </w:r>
          </w:p>
        </w:tc>
        <w:tc>
          <w:tcPr>
            <w:tcW w:w="1180" w:type="dxa"/>
            <w:vAlign w:val="bottom"/>
            <w:tcBorders>
              <w:top w:val="single" w:sz="8" w:color="005CA9"/>
            </w:tcBorders>
            <w:shd w:val="clear" w:color="auto" w:fill="CFF0FC"/>
          </w:tcPr>
          <w:p>
            <w:pPr>
              <w:jc w:val="right"/>
              <w:ind w:right="28"/>
              <w:spacing w:after="0"/>
              <w:rPr>
                <w:sz w:val="20"/>
                <w:szCs w:val="20"/>
                <w:color w:val="auto"/>
              </w:rPr>
            </w:pPr>
            <w:r>
              <w:rPr>
                <w:rFonts w:ascii="Calibri" w:cs="Calibri" w:eastAsia="Calibri" w:hAnsi="Calibri"/>
                <w:sz w:val="14"/>
                <w:szCs w:val="14"/>
                <w:color w:val="auto"/>
              </w:rPr>
              <w:t>75,428</w:t>
            </w:r>
          </w:p>
        </w:tc>
        <w:tc>
          <w:tcPr>
            <w:tcW w:w="660" w:type="dxa"/>
            <w:vAlign w:val="bottom"/>
            <w:tcBorders>
              <w:top w:val="single" w:sz="8" w:color="005CA9"/>
            </w:tcBorders>
            <w:shd w:val="clear" w:color="auto" w:fill="CFF0FC"/>
          </w:tcPr>
          <w:p>
            <w:pPr>
              <w:jc w:val="right"/>
              <w:ind w:right="488"/>
              <w:spacing w:after="0"/>
              <w:rPr>
                <w:sz w:val="20"/>
                <w:szCs w:val="20"/>
                <w:color w:val="auto"/>
              </w:rPr>
            </w:pPr>
            <w:r>
              <w:rPr>
                <w:rFonts w:ascii="Calibri" w:cs="Calibri" w:eastAsia="Calibri" w:hAnsi="Calibri"/>
                <w:sz w:val="14"/>
                <w:szCs w:val="14"/>
                <w:color w:val="auto"/>
              </w:rPr>
              <w:t>$</w:t>
            </w:r>
          </w:p>
        </w:tc>
        <w:tc>
          <w:tcPr>
            <w:tcW w:w="1260" w:type="dxa"/>
            <w:vAlign w:val="bottom"/>
            <w:tcBorders>
              <w:top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2,341,331</w:t>
            </w:r>
          </w:p>
        </w:tc>
      </w:tr>
      <w:tr>
        <w:trPr>
          <w:trHeight w:val="173"/>
        </w:trPr>
        <w:tc>
          <w:tcPr>
            <w:tcW w:w="840" w:type="dxa"/>
            <w:vAlign w:val="bottom"/>
          </w:tcPr>
          <w:p>
            <w:pPr>
              <w:jc w:val="right"/>
              <w:ind w:right="388"/>
              <w:spacing w:after="0"/>
              <w:rPr>
                <w:sz w:val="20"/>
                <w:szCs w:val="20"/>
                <w:color w:val="auto"/>
              </w:rPr>
            </w:pPr>
            <w:r>
              <w:rPr>
                <w:rFonts w:ascii="Calibri" w:cs="Calibri" w:eastAsia="Calibri" w:hAnsi="Calibri"/>
                <w:sz w:val="14"/>
                <w:szCs w:val="14"/>
                <w:color w:val="auto"/>
              </w:rPr>
              <w:t>2023</w:t>
            </w:r>
          </w:p>
        </w:tc>
        <w:tc>
          <w:tcPr>
            <w:tcW w:w="10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1,955,936</w:t>
            </w:r>
          </w:p>
        </w:tc>
        <w:tc>
          <w:tcPr>
            <w:tcW w:w="720" w:type="dxa"/>
            <w:vAlign w:val="bottom"/>
          </w:tcPr>
          <w:p>
            <w:pPr>
              <w:spacing w:after="0"/>
              <w:rPr>
                <w:sz w:val="15"/>
                <w:szCs w:val="15"/>
                <w:color w:val="auto"/>
              </w:rPr>
            </w:pP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1,446,925</w:t>
            </w:r>
          </w:p>
        </w:tc>
        <w:tc>
          <w:tcPr>
            <w:tcW w:w="8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2,099,234</w:t>
            </w:r>
          </w:p>
        </w:tc>
        <w:tc>
          <w:tcPr>
            <w:tcW w:w="76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Calibri" w:cs="Calibri" w:eastAsia="Calibri" w:hAnsi="Calibri"/>
                <w:sz w:val="14"/>
                <w:szCs w:val="14"/>
                <w:color w:val="auto"/>
              </w:rPr>
              <w:t>75,428</w:t>
            </w:r>
          </w:p>
        </w:tc>
        <w:tc>
          <w:tcPr>
            <w:tcW w:w="6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Calibri" w:cs="Calibri" w:eastAsia="Calibri" w:hAnsi="Calibri"/>
                <w:sz w:val="14"/>
                <w:szCs w:val="14"/>
                <w:color w:val="auto"/>
              </w:rPr>
              <w:t>2,683,673</w:t>
            </w:r>
          </w:p>
        </w:tc>
      </w:tr>
      <w:tr>
        <w:trPr>
          <w:trHeight w:val="178"/>
        </w:trPr>
        <w:tc>
          <w:tcPr>
            <w:tcW w:w="840" w:type="dxa"/>
            <w:vAlign w:val="bottom"/>
            <w:shd w:val="clear" w:color="auto" w:fill="CFF0FC"/>
          </w:tcPr>
          <w:p>
            <w:pPr>
              <w:jc w:val="right"/>
              <w:ind w:right="388"/>
              <w:spacing w:after="0"/>
              <w:rPr>
                <w:sz w:val="20"/>
                <w:szCs w:val="20"/>
                <w:color w:val="auto"/>
              </w:rPr>
            </w:pPr>
            <w:r>
              <w:rPr>
                <w:rFonts w:ascii="Calibri" w:cs="Calibri" w:eastAsia="Calibri" w:hAnsi="Calibri"/>
                <w:sz w:val="14"/>
                <w:szCs w:val="14"/>
                <w:color w:val="auto"/>
              </w:rPr>
              <w:t>2022</w:t>
            </w:r>
          </w:p>
        </w:tc>
        <w:tc>
          <w:tcPr>
            <w:tcW w:w="10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2,466,178</w:t>
            </w:r>
          </w:p>
        </w:tc>
        <w:tc>
          <w:tcPr>
            <w:tcW w:w="7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8"/>
              <w:spacing w:after="0"/>
              <w:rPr>
                <w:sz w:val="20"/>
                <w:szCs w:val="20"/>
                <w:color w:val="auto"/>
              </w:rPr>
            </w:pPr>
            <w:r>
              <w:rPr>
                <w:rFonts w:ascii="Calibri" w:cs="Calibri" w:eastAsia="Calibri" w:hAnsi="Calibri"/>
                <w:sz w:val="14"/>
                <w:szCs w:val="14"/>
                <w:color w:val="auto"/>
              </w:rPr>
              <w:t>1,511,591</w:t>
            </w:r>
          </w:p>
        </w:tc>
        <w:tc>
          <w:tcPr>
            <w:tcW w:w="8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156,437</w:t>
            </w:r>
          </w:p>
        </w:tc>
        <w:tc>
          <w:tcPr>
            <w:tcW w:w="7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(62,277 )</w:t>
            </w:r>
          </w:p>
        </w:tc>
        <w:tc>
          <w:tcPr>
            <w:tcW w:w="6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1,048,748</w:t>
            </w:r>
          </w:p>
        </w:tc>
      </w:tr>
      <w:tr>
        <w:trPr>
          <w:trHeight w:val="173"/>
        </w:trPr>
        <w:tc>
          <w:tcPr>
            <w:tcW w:w="840" w:type="dxa"/>
            <w:vAlign w:val="bottom"/>
          </w:tcPr>
          <w:p>
            <w:pPr>
              <w:jc w:val="right"/>
              <w:ind w:right="388"/>
              <w:spacing w:after="0"/>
              <w:rPr>
                <w:sz w:val="20"/>
                <w:szCs w:val="20"/>
                <w:color w:val="auto"/>
              </w:rPr>
            </w:pPr>
            <w:r>
              <w:rPr>
                <w:rFonts w:ascii="Calibri" w:cs="Calibri" w:eastAsia="Calibri" w:hAnsi="Calibri"/>
                <w:sz w:val="14"/>
                <w:szCs w:val="14"/>
                <w:color w:val="auto"/>
              </w:rPr>
              <w:t>2021</w:t>
            </w:r>
          </w:p>
        </w:tc>
        <w:tc>
          <w:tcPr>
            <w:tcW w:w="10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2,189,740</w:t>
            </w:r>
          </w:p>
        </w:tc>
        <w:tc>
          <w:tcPr>
            <w:tcW w:w="720" w:type="dxa"/>
            <w:vAlign w:val="bottom"/>
          </w:tcPr>
          <w:p>
            <w:pPr>
              <w:spacing w:after="0"/>
              <w:rPr>
                <w:sz w:val="15"/>
                <w:szCs w:val="15"/>
                <w:color w:val="auto"/>
              </w:rPr>
            </w:pP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1,308,927</w:t>
            </w:r>
          </w:p>
        </w:tc>
        <w:tc>
          <w:tcPr>
            <w:tcW w:w="8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4,615,418</w:t>
            </w:r>
          </w:p>
        </w:tc>
        <w:tc>
          <w:tcPr>
            <w:tcW w:w="76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Calibri" w:cs="Calibri" w:eastAsia="Calibri" w:hAnsi="Calibri"/>
                <w:sz w:val="14"/>
                <w:szCs w:val="14"/>
                <w:color w:val="auto"/>
              </w:rPr>
              <w:t>131,013</w:t>
            </w:r>
          </w:p>
        </w:tc>
        <w:tc>
          <w:tcPr>
            <w:tcW w:w="6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Calibri" w:cs="Calibri" w:eastAsia="Calibri" w:hAnsi="Calibri"/>
                <w:sz w:val="14"/>
                <w:szCs w:val="14"/>
                <w:color w:val="auto"/>
              </w:rPr>
              <w:t>5,627,245</w:t>
            </w:r>
          </w:p>
        </w:tc>
      </w:tr>
      <w:tr>
        <w:trPr>
          <w:trHeight w:val="176"/>
        </w:trPr>
        <w:tc>
          <w:tcPr>
            <w:tcW w:w="840" w:type="dxa"/>
            <w:vAlign w:val="bottom"/>
            <w:tcBorders>
              <w:bottom w:val="single" w:sz="8" w:color="005CA9"/>
            </w:tcBorders>
            <w:shd w:val="clear" w:color="auto" w:fill="CFF0FC"/>
          </w:tcPr>
          <w:p>
            <w:pPr>
              <w:jc w:val="right"/>
              <w:ind w:right="388"/>
              <w:spacing w:after="0"/>
              <w:rPr>
                <w:sz w:val="20"/>
                <w:szCs w:val="20"/>
                <w:color w:val="auto"/>
              </w:rPr>
            </w:pPr>
            <w:r>
              <w:rPr>
                <w:rFonts w:ascii="Calibri" w:cs="Calibri" w:eastAsia="Calibri" w:hAnsi="Calibri"/>
                <w:sz w:val="14"/>
                <w:szCs w:val="14"/>
                <w:color w:val="auto"/>
              </w:rPr>
              <w:t>2020</w:t>
            </w:r>
          </w:p>
        </w:tc>
        <w:tc>
          <w:tcPr>
            <w:tcW w:w="1080" w:type="dxa"/>
            <w:vAlign w:val="bottom"/>
            <w:tcBorders>
              <w:bottom w:val="single" w:sz="8" w:color="005CA9"/>
            </w:tcBorders>
            <w:shd w:val="clear" w:color="auto" w:fill="CFF0FC"/>
          </w:tcPr>
          <w:p>
            <w:pPr>
              <w:spacing w:after="0"/>
              <w:rPr>
                <w:sz w:val="15"/>
                <w:szCs w:val="15"/>
                <w:color w:val="auto"/>
              </w:rPr>
            </w:pPr>
          </w:p>
        </w:tc>
        <w:tc>
          <w:tcPr>
            <w:tcW w:w="1220" w:type="dxa"/>
            <w:vAlign w:val="bottom"/>
            <w:tcBorders>
              <w:bottom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2,051,918</w:t>
            </w:r>
          </w:p>
        </w:tc>
        <w:tc>
          <w:tcPr>
            <w:tcW w:w="720" w:type="dxa"/>
            <w:vAlign w:val="bottom"/>
            <w:tcBorders>
              <w:bottom w:val="single" w:sz="8" w:color="005CA9"/>
            </w:tcBorders>
            <w:shd w:val="clear" w:color="auto" w:fill="CFF0FC"/>
          </w:tcPr>
          <w:p>
            <w:pPr>
              <w:spacing w:after="0"/>
              <w:rPr>
                <w:sz w:val="15"/>
                <w:szCs w:val="15"/>
                <w:color w:val="auto"/>
              </w:rPr>
            </w:pPr>
          </w:p>
        </w:tc>
        <w:tc>
          <w:tcPr>
            <w:tcW w:w="1240" w:type="dxa"/>
            <w:vAlign w:val="bottom"/>
            <w:tcBorders>
              <w:bottom w:val="single" w:sz="8" w:color="005CA9"/>
            </w:tcBorders>
            <w:shd w:val="clear" w:color="auto" w:fill="CFF0FC"/>
          </w:tcPr>
          <w:p>
            <w:pPr>
              <w:jc w:val="right"/>
              <w:ind w:right="8"/>
              <w:spacing w:after="0"/>
              <w:rPr>
                <w:sz w:val="20"/>
                <w:szCs w:val="20"/>
                <w:color w:val="auto"/>
              </w:rPr>
            </w:pPr>
            <w:r>
              <w:rPr>
                <w:rFonts w:ascii="Calibri" w:cs="Calibri" w:eastAsia="Calibri" w:hAnsi="Calibri"/>
                <w:sz w:val="14"/>
                <w:szCs w:val="14"/>
                <w:color w:val="auto"/>
              </w:rPr>
              <w:t>1,313,960</w:t>
            </w:r>
          </w:p>
        </w:tc>
        <w:tc>
          <w:tcPr>
            <w:tcW w:w="880" w:type="dxa"/>
            <w:vAlign w:val="bottom"/>
            <w:tcBorders>
              <w:bottom w:val="single" w:sz="8" w:color="005CA9"/>
            </w:tcBorders>
            <w:shd w:val="clear" w:color="auto" w:fill="CFF0FC"/>
          </w:tcPr>
          <w:p>
            <w:pPr>
              <w:spacing w:after="0"/>
              <w:rPr>
                <w:sz w:val="15"/>
                <w:szCs w:val="15"/>
                <w:color w:val="auto"/>
              </w:rPr>
            </w:pPr>
          </w:p>
        </w:tc>
        <w:tc>
          <w:tcPr>
            <w:tcW w:w="1400" w:type="dxa"/>
            <w:vAlign w:val="bottom"/>
            <w:tcBorders>
              <w:bottom w:val="single" w:sz="8" w:color="005CA9"/>
            </w:tcBorders>
            <w:shd w:val="clear" w:color="auto" w:fill="CFF0FC"/>
          </w:tcPr>
          <w:p>
            <w:pPr>
              <w:jc w:val="right"/>
              <w:spacing w:after="0"/>
              <w:rPr>
                <w:sz w:val="20"/>
                <w:szCs w:val="20"/>
                <w:color w:val="auto"/>
              </w:rPr>
            </w:pPr>
            <w:r>
              <w:rPr>
                <w:rFonts w:ascii="Calibri" w:cs="Calibri" w:eastAsia="Calibri" w:hAnsi="Calibri"/>
                <w:sz w:val="14"/>
                <w:szCs w:val="14"/>
                <w:color w:val="auto"/>
              </w:rPr>
              <w:t>3,670,333</w:t>
            </w:r>
          </w:p>
        </w:tc>
        <w:tc>
          <w:tcPr>
            <w:tcW w:w="760" w:type="dxa"/>
            <w:vAlign w:val="bottom"/>
            <w:tcBorders>
              <w:bottom w:val="single" w:sz="8" w:color="005CA9"/>
            </w:tcBorders>
            <w:shd w:val="clear" w:color="auto" w:fill="CFF0FC"/>
          </w:tcPr>
          <w:p>
            <w:pPr>
              <w:spacing w:after="0"/>
              <w:rPr>
                <w:sz w:val="15"/>
                <w:szCs w:val="15"/>
                <w:color w:val="auto"/>
              </w:rPr>
            </w:pPr>
          </w:p>
        </w:tc>
        <w:tc>
          <w:tcPr>
            <w:tcW w:w="1180" w:type="dxa"/>
            <w:vAlign w:val="bottom"/>
            <w:tcBorders>
              <w:bottom w:val="single" w:sz="8" w:color="005CA9"/>
            </w:tcBorders>
            <w:shd w:val="clear" w:color="auto" w:fill="CFF0FC"/>
          </w:tcPr>
          <w:p>
            <w:pPr>
              <w:jc w:val="right"/>
              <w:ind w:right="28"/>
              <w:spacing w:after="0"/>
              <w:rPr>
                <w:sz w:val="20"/>
                <w:szCs w:val="20"/>
                <w:color w:val="auto"/>
              </w:rPr>
            </w:pPr>
            <w:r>
              <w:rPr>
                <w:rFonts w:ascii="Calibri" w:cs="Calibri" w:eastAsia="Calibri" w:hAnsi="Calibri"/>
                <w:sz w:val="14"/>
                <w:szCs w:val="14"/>
                <w:color w:val="auto"/>
              </w:rPr>
              <w:t>30,346</w:t>
            </w:r>
          </w:p>
        </w:tc>
        <w:tc>
          <w:tcPr>
            <w:tcW w:w="660" w:type="dxa"/>
            <w:vAlign w:val="bottom"/>
            <w:tcBorders>
              <w:bottom w:val="single" w:sz="8" w:color="005CA9"/>
            </w:tcBorders>
            <w:shd w:val="clear" w:color="auto" w:fill="CFF0FC"/>
          </w:tcPr>
          <w:p>
            <w:pPr>
              <w:spacing w:after="0"/>
              <w:rPr>
                <w:sz w:val="15"/>
                <w:szCs w:val="15"/>
                <w:color w:val="auto"/>
              </w:rPr>
            </w:pPr>
          </w:p>
        </w:tc>
        <w:tc>
          <w:tcPr>
            <w:tcW w:w="1260" w:type="dxa"/>
            <w:vAlign w:val="bottom"/>
            <w:tcBorders>
              <w:bottom w:val="single" w:sz="8" w:color="005CA9"/>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4,438,637</w:t>
            </w:r>
          </w:p>
        </w:tc>
      </w:tr>
    </w:tbl>
    <w:p>
      <w:pPr>
        <w:ind w:left="200" w:hanging="192"/>
        <w:spacing w:after="0" w:line="218" w:lineRule="auto"/>
        <w:tabs>
          <w:tab w:leader="none" w:pos="200" w:val="left"/>
        </w:tabs>
        <w:numPr>
          <w:ilvl w:val="0"/>
          <w:numId w:val="48"/>
        </w:numPr>
        <w:rPr>
          <w:rFonts w:ascii="Calibri" w:cs="Calibri" w:eastAsia="Calibri" w:hAnsi="Calibri"/>
          <w:sz w:val="14"/>
          <w:szCs w:val="14"/>
          <w:color w:val="auto"/>
        </w:rPr>
      </w:pPr>
      <w:r>
        <w:rPr>
          <w:rFonts w:ascii="Calibri" w:cs="Calibri" w:eastAsia="Calibri" w:hAnsi="Calibri"/>
          <w:sz w:val="14"/>
          <w:szCs w:val="14"/>
          <w:color w:val="auto"/>
        </w:rPr>
        <w:t>The dollar amounts reported is the average of the amounts of total compensaton reported for our Non-PEO NEOs in the Summary Compensaton Table for the applicable fscal year.</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48"/>
        </w:numPr>
        <w:rPr>
          <w:rFonts w:ascii="Calibri" w:cs="Calibri" w:eastAsia="Calibri" w:hAnsi="Calibri"/>
          <w:sz w:val="14"/>
          <w:szCs w:val="14"/>
          <w:color w:val="auto"/>
        </w:rPr>
      </w:pPr>
      <w:r>
        <w:rPr>
          <w:rFonts w:ascii="Calibri" w:cs="Calibri" w:eastAsia="Calibri" w:hAnsi="Calibri"/>
          <w:sz w:val="14"/>
          <w:szCs w:val="14"/>
          <w:color w:val="auto"/>
        </w:rPr>
        <w:t>Represents the grant date fair value of the equity awards to our Non-PEO NEOs, as reported in the “Stock Awards” column in the Summary Compensaton Table for each applicable year.</w:t>
      </w:r>
    </w:p>
    <w:p>
      <w:pPr>
        <w:spacing w:after="0" w:line="5" w:lineRule="exact"/>
        <w:rPr>
          <w:rFonts w:ascii="Calibri" w:cs="Calibri" w:eastAsia="Calibri" w:hAnsi="Calibri"/>
          <w:sz w:val="14"/>
          <w:szCs w:val="14"/>
          <w:color w:val="auto"/>
        </w:rPr>
      </w:pPr>
    </w:p>
    <w:p>
      <w:pPr>
        <w:jc w:val="both"/>
        <w:ind w:firstLine="8"/>
        <w:spacing w:after="0" w:line="245" w:lineRule="auto"/>
        <w:tabs>
          <w:tab w:leader="none" w:pos="194" w:val="left"/>
        </w:tabs>
        <w:numPr>
          <w:ilvl w:val="0"/>
          <w:numId w:val="48"/>
        </w:numPr>
        <w:rPr>
          <w:rFonts w:ascii="Calibri" w:cs="Calibri" w:eastAsia="Calibri" w:hAnsi="Calibri"/>
          <w:sz w:val="14"/>
          <w:szCs w:val="14"/>
          <w:color w:val="auto"/>
        </w:rPr>
      </w:pPr>
      <w:r>
        <w:rPr>
          <w:rFonts w:ascii="Calibri" w:cs="Calibri" w:eastAsia="Calibri" w:hAnsi="Calibri"/>
          <w:sz w:val="14"/>
          <w:szCs w:val="14"/>
          <w:color w:val="auto"/>
        </w:rPr>
        <w:t>Represents the year-over-year change in the fair value of equity awards to our Non-PEO NEOS, as itemized in the table below. No awards vested in the year they were granted. Fair value or change in fair value, as applicable, of equity awards in the "Compensaton Actually Paid" columns was determined by reference to (a) for RSU awards, closing price on applicable year-end dates</w:t>
      </w:r>
    </w:p>
    <w:p>
      <w:pPr>
        <w:spacing w:after="0" w:line="1" w:lineRule="exact"/>
        <w:rPr>
          <w:rFonts w:ascii="Calibri" w:cs="Calibri" w:eastAsia="Calibri" w:hAnsi="Calibri"/>
          <w:sz w:val="14"/>
          <w:szCs w:val="14"/>
          <w:color w:val="auto"/>
        </w:rPr>
      </w:pPr>
    </w:p>
    <w:p>
      <w:pPr>
        <w:spacing w:after="0"/>
        <w:rPr>
          <w:rFonts w:ascii="Calibri" w:cs="Calibri" w:eastAsia="Calibri" w:hAnsi="Calibri"/>
          <w:sz w:val="14"/>
          <w:szCs w:val="14"/>
          <w:color w:val="auto"/>
        </w:rPr>
      </w:pPr>
      <w:r>
        <w:rPr>
          <w:rFonts w:ascii="Calibri" w:cs="Calibri" w:eastAsia="Calibri" w:hAnsi="Calibri"/>
          <w:sz w:val="14"/>
          <w:szCs w:val="14"/>
          <w:color w:val="auto"/>
        </w:rPr>
        <w:t>(b) for PSU awards, the same valuaton methodology as RSU awards above except year-end share amounts are multplied by the probability of achievement as of each such date.</w:t>
      </w:r>
    </w:p>
    <w:p>
      <w:pPr>
        <w:spacing w:after="0" w:line="32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61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64" w:name="page65"/>
    <w:bookmarkEnd w:id="64"/>
    <w:p>
      <w:pPr>
        <w:jc w:val="center"/>
        <w:ind w:right="100"/>
        <w:spacing w:after="0"/>
        <w:rPr>
          <w:sz w:val="20"/>
          <w:szCs w:val="20"/>
          <w:color w:val="auto"/>
        </w:rPr>
      </w:pPr>
      <w:r>
        <w:rPr>
          <w:rFonts w:ascii="Calibri" w:cs="Calibri" w:eastAsia="Calibri" w:hAnsi="Calibri"/>
          <w:sz w:val="20"/>
          <w:szCs w:val="20"/>
          <w:color w:val="auto"/>
        </w:rPr>
        <w:t>Average Equity Award Adjustments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900" w:type="dxa"/>
            <w:vAlign w:val="bottom"/>
          </w:tcPr>
          <w:p>
            <w:pPr>
              <w:jc w:val="right"/>
              <w:ind w:right="383"/>
              <w:spacing w:after="0"/>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880" w:type="dxa"/>
            <w:vAlign w:val="bottom"/>
          </w:tcPr>
          <w:p>
            <w:pPr>
              <w:jc w:val="right"/>
              <w:ind w:right="408"/>
              <w:spacing w:after="0"/>
              <w:rPr>
                <w:sz w:val="20"/>
                <w:szCs w:val="20"/>
                <w:color w:val="auto"/>
              </w:rPr>
            </w:pPr>
            <w:r>
              <w:rPr>
                <w:rFonts w:ascii="Calibri" w:cs="Calibri" w:eastAsia="Calibri" w:hAnsi="Calibri"/>
                <w:sz w:val="14"/>
                <w:szCs w:val="14"/>
                <w:b w:val="1"/>
                <w:bCs w:val="1"/>
                <w:color w:val="auto"/>
              </w:rPr>
              <w:t>2022</w:t>
            </w:r>
          </w:p>
        </w:tc>
        <w:tc>
          <w:tcPr>
            <w:tcW w:w="34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alibri" w:cs="Calibri" w:eastAsia="Calibri" w:hAnsi="Calibri"/>
                <w:sz w:val="14"/>
                <w:szCs w:val="14"/>
                <w:b w:val="1"/>
                <w:bCs w:val="1"/>
                <w:color w:val="auto"/>
              </w:rPr>
              <w:t>2021</w:t>
            </w:r>
          </w:p>
        </w:tc>
        <w:tc>
          <w:tcPr>
            <w:tcW w:w="38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alibri" w:cs="Calibri" w:eastAsia="Calibri" w:hAnsi="Calibri"/>
                <w:sz w:val="14"/>
                <w:szCs w:val="14"/>
                <w:b w:val="1"/>
                <w:bCs w:val="1"/>
                <w:color w:val="auto"/>
              </w:rPr>
              <w:t>2020</w:t>
            </w:r>
          </w:p>
        </w:tc>
      </w:tr>
      <w:tr>
        <w:trPr>
          <w:trHeight w:val="40"/>
        </w:trPr>
        <w:tc>
          <w:tcPr>
            <w:tcW w:w="4660" w:type="dxa"/>
            <w:vAlign w:val="bottom"/>
            <w:tcBorders>
              <w:bottom w:val="single" w:sz="8" w:color="005CA9"/>
            </w:tcBorders>
          </w:tcPr>
          <w:p>
            <w:pPr>
              <w:spacing w:after="0"/>
              <w:rPr>
                <w:sz w:val="3"/>
                <w:szCs w:val="3"/>
                <w:color w:val="auto"/>
              </w:rPr>
            </w:pPr>
          </w:p>
        </w:tc>
        <w:tc>
          <w:tcPr>
            <w:tcW w:w="560" w:type="dxa"/>
            <w:vAlign w:val="bottom"/>
            <w:tcBorders>
              <w:bottom w:val="single" w:sz="8" w:color="005CA9"/>
            </w:tcBorders>
          </w:tcPr>
          <w:p>
            <w:pPr>
              <w:spacing w:after="0"/>
              <w:rPr>
                <w:sz w:val="3"/>
                <w:szCs w:val="3"/>
                <w:color w:val="auto"/>
              </w:rPr>
            </w:pPr>
          </w:p>
        </w:tc>
        <w:tc>
          <w:tcPr>
            <w:tcW w:w="960" w:type="dxa"/>
            <w:vAlign w:val="bottom"/>
            <w:tcBorders>
              <w:bottom w:val="single" w:sz="8" w:color="005CA9"/>
            </w:tcBorders>
          </w:tcPr>
          <w:p>
            <w:pPr>
              <w:spacing w:after="0"/>
              <w:rPr>
                <w:sz w:val="3"/>
                <w:szCs w:val="3"/>
                <w:color w:val="auto"/>
              </w:rPr>
            </w:pPr>
          </w:p>
        </w:tc>
        <w:tc>
          <w:tcPr>
            <w:tcW w:w="280" w:type="dxa"/>
            <w:vAlign w:val="bottom"/>
            <w:tcBorders>
              <w:bottom w:val="single" w:sz="8" w:color="005CA9"/>
            </w:tcBorders>
          </w:tcPr>
          <w:p>
            <w:pPr>
              <w:spacing w:after="0"/>
              <w:rPr>
                <w:sz w:val="3"/>
                <w:szCs w:val="3"/>
                <w:color w:val="auto"/>
              </w:rPr>
            </w:pPr>
          </w:p>
        </w:tc>
        <w:tc>
          <w:tcPr>
            <w:tcW w:w="900" w:type="dxa"/>
            <w:vAlign w:val="bottom"/>
            <w:tcBorders>
              <w:bottom w:val="single" w:sz="8" w:color="005CA9"/>
            </w:tcBorders>
          </w:tcPr>
          <w:p>
            <w:pPr>
              <w:spacing w:after="0"/>
              <w:rPr>
                <w:sz w:val="3"/>
                <w:szCs w:val="3"/>
                <w:color w:val="auto"/>
              </w:rPr>
            </w:pPr>
          </w:p>
        </w:tc>
        <w:tc>
          <w:tcPr>
            <w:tcW w:w="340" w:type="dxa"/>
            <w:vAlign w:val="bottom"/>
            <w:tcBorders>
              <w:bottom w:val="single" w:sz="8" w:color="005CA9"/>
            </w:tcBorders>
          </w:tcPr>
          <w:p>
            <w:pPr>
              <w:spacing w:after="0"/>
              <w:rPr>
                <w:sz w:val="3"/>
                <w:szCs w:val="3"/>
                <w:color w:val="auto"/>
              </w:rPr>
            </w:pPr>
          </w:p>
        </w:tc>
        <w:tc>
          <w:tcPr>
            <w:tcW w:w="880" w:type="dxa"/>
            <w:vAlign w:val="bottom"/>
            <w:tcBorders>
              <w:bottom w:val="single" w:sz="8" w:color="005CA9"/>
            </w:tcBorders>
          </w:tcPr>
          <w:p>
            <w:pPr>
              <w:spacing w:after="0"/>
              <w:rPr>
                <w:sz w:val="3"/>
                <w:szCs w:val="3"/>
                <w:color w:val="auto"/>
              </w:rPr>
            </w:pPr>
          </w:p>
        </w:tc>
        <w:tc>
          <w:tcPr>
            <w:tcW w:w="340" w:type="dxa"/>
            <w:vAlign w:val="bottom"/>
            <w:tcBorders>
              <w:bottom w:val="single" w:sz="8" w:color="005CA9"/>
            </w:tcBorders>
          </w:tcPr>
          <w:p>
            <w:pPr>
              <w:spacing w:after="0"/>
              <w:rPr>
                <w:sz w:val="3"/>
                <w:szCs w:val="3"/>
                <w:color w:val="auto"/>
              </w:rPr>
            </w:pPr>
          </w:p>
        </w:tc>
        <w:tc>
          <w:tcPr>
            <w:tcW w:w="980" w:type="dxa"/>
            <w:vAlign w:val="bottom"/>
            <w:tcBorders>
              <w:bottom w:val="single" w:sz="8" w:color="005CA9"/>
            </w:tcBorders>
          </w:tcPr>
          <w:p>
            <w:pPr>
              <w:spacing w:after="0"/>
              <w:rPr>
                <w:sz w:val="3"/>
                <w:szCs w:val="3"/>
                <w:color w:val="auto"/>
              </w:rPr>
            </w:pPr>
          </w:p>
        </w:tc>
        <w:tc>
          <w:tcPr>
            <w:tcW w:w="380" w:type="dxa"/>
            <w:vAlign w:val="bottom"/>
            <w:tcBorders>
              <w:bottom w:val="single" w:sz="8" w:color="005CA9"/>
            </w:tcBorders>
          </w:tcPr>
          <w:p>
            <w:pPr>
              <w:spacing w:after="0"/>
              <w:rPr>
                <w:sz w:val="3"/>
                <w:szCs w:val="3"/>
                <w:color w:val="auto"/>
              </w:rPr>
            </w:pPr>
          </w:p>
        </w:tc>
        <w:tc>
          <w:tcPr>
            <w:tcW w:w="960" w:type="dxa"/>
            <w:vAlign w:val="bottom"/>
            <w:tcBorders>
              <w:bottom w:val="single" w:sz="8" w:color="005CA9"/>
            </w:tcBorders>
          </w:tcPr>
          <w:p>
            <w:pPr>
              <w:spacing w:after="0"/>
              <w:rPr>
                <w:sz w:val="3"/>
                <w:szCs w:val="3"/>
                <w:color w:val="auto"/>
              </w:rPr>
            </w:pPr>
          </w:p>
        </w:tc>
      </w:tr>
      <w:tr>
        <w:trPr>
          <w:trHeight w:val="183"/>
        </w:trPr>
        <w:tc>
          <w:tcPr>
            <w:tcW w:w="4660" w:type="dxa"/>
            <w:vAlign w:val="bottom"/>
          </w:tcPr>
          <w:p>
            <w:pPr>
              <w:ind w:left="20"/>
              <w:spacing w:after="0"/>
              <w:rPr>
                <w:sz w:val="20"/>
                <w:szCs w:val="20"/>
                <w:color w:val="auto"/>
              </w:rPr>
            </w:pPr>
            <w:r>
              <w:rPr>
                <w:rFonts w:ascii="Calibri" w:cs="Calibri" w:eastAsia="Calibri" w:hAnsi="Calibri"/>
                <w:sz w:val="14"/>
                <w:szCs w:val="14"/>
                <w:color w:val="auto"/>
              </w:rPr>
              <w:t>Fair Value of Equity Awards for Non-PEO NEOs</w:t>
            </w: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61"/>
        </w:trPr>
        <w:tc>
          <w:tcPr>
            <w:tcW w:w="4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183"/>
        </w:trPr>
        <w:tc>
          <w:tcPr>
            <w:tcW w:w="46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Plus as of year-end value for awards granted during the year</w:t>
            </w:r>
          </w:p>
        </w:tc>
        <w:tc>
          <w:tcPr>
            <w:tcW w:w="5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960" w:type="dxa"/>
            <w:vAlign w:val="bottom"/>
            <w:shd w:val="clear" w:color="auto" w:fill="CFF0FC"/>
          </w:tcPr>
          <w:p>
            <w:pPr>
              <w:jc w:val="right"/>
              <w:ind w:right="123"/>
              <w:spacing w:after="0"/>
              <w:rPr>
                <w:sz w:val="20"/>
                <w:szCs w:val="20"/>
                <w:color w:val="auto"/>
              </w:rPr>
            </w:pPr>
            <w:r>
              <w:rPr>
                <w:rFonts w:ascii="Calibri" w:cs="Calibri" w:eastAsia="Calibri" w:hAnsi="Calibri"/>
                <w:sz w:val="14"/>
                <w:szCs w:val="14"/>
                <w:color w:val="auto"/>
              </w:rPr>
              <w:t>2,286,269</w:t>
            </w:r>
          </w:p>
        </w:tc>
        <w:tc>
          <w:tcPr>
            <w:tcW w:w="280" w:type="dxa"/>
            <w:vAlign w:val="bottom"/>
            <w:shd w:val="clear" w:color="auto" w:fill="CFF0FC"/>
          </w:tcPr>
          <w:p>
            <w:pPr>
              <w:jc w:val="right"/>
              <w:ind w:right="28"/>
              <w:spacing w:after="0"/>
              <w:rPr>
                <w:sz w:val="20"/>
                <w:szCs w:val="20"/>
                <w:color w:val="auto"/>
              </w:rPr>
            </w:pPr>
            <w:r>
              <w:rPr>
                <w:rFonts w:ascii="Calibri" w:cs="Calibri" w:eastAsia="Calibri" w:hAnsi="Calibri"/>
                <w:sz w:val="14"/>
                <w:szCs w:val="14"/>
                <w:color w:val="auto"/>
              </w:rPr>
              <w:t>$</w:t>
            </w:r>
          </w:p>
        </w:tc>
        <w:tc>
          <w:tcPr>
            <w:tcW w:w="900" w:type="dxa"/>
            <w:vAlign w:val="bottom"/>
            <w:shd w:val="clear" w:color="auto" w:fill="CFF0FC"/>
          </w:tcPr>
          <w:p>
            <w:pPr>
              <w:jc w:val="right"/>
              <w:ind w:right="43"/>
              <w:spacing w:after="0"/>
              <w:rPr>
                <w:sz w:val="20"/>
                <w:szCs w:val="20"/>
                <w:color w:val="auto"/>
              </w:rPr>
            </w:pPr>
            <w:r>
              <w:rPr>
                <w:rFonts w:ascii="Calibri" w:cs="Calibri" w:eastAsia="Calibri" w:hAnsi="Calibri"/>
                <w:sz w:val="14"/>
                <w:szCs w:val="14"/>
                <w:color w:val="auto"/>
              </w:rPr>
              <w:t>1,872,090</w:t>
            </w:r>
          </w:p>
        </w:tc>
        <w:tc>
          <w:tcPr>
            <w:tcW w:w="34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Calibri" w:cs="Calibri" w:eastAsia="Calibri" w:hAnsi="Calibri"/>
                <w:sz w:val="14"/>
                <w:szCs w:val="14"/>
                <w:color w:val="auto"/>
              </w:rPr>
              <w:t>1,878,755</w:t>
            </w:r>
          </w:p>
        </w:tc>
        <w:tc>
          <w:tcPr>
            <w:tcW w:w="340" w:type="dxa"/>
            <w:vAlign w:val="bottom"/>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Calibri" w:cs="Calibri" w:eastAsia="Calibri" w:hAnsi="Calibri"/>
                <w:sz w:val="14"/>
                <w:szCs w:val="14"/>
                <w:color w:val="auto"/>
              </w:rPr>
              <w:t>2,709,562</w:t>
            </w:r>
          </w:p>
        </w:tc>
        <w:tc>
          <w:tcPr>
            <w:tcW w:w="380" w:type="dxa"/>
            <w:vAlign w:val="bottom"/>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Calibri" w:cs="Calibri" w:eastAsia="Calibri" w:hAnsi="Calibri"/>
                <w:sz w:val="14"/>
                <w:szCs w:val="14"/>
                <w:color w:val="auto"/>
              </w:rPr>
              <w:t>2,807,663</w:t>
            </w:r>
          </w:p>
        </w:tc>
      </w:tr>
      <w:tr>
        <w:trPr>
          <w:trHeight w:val="60"/>
        </w:trPr>
        <w:tc>
          <w:tcPr>
            <w:tcW w:w="466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r>
      <w:tr>
        <w:trPr>
          <w:trHeight w:val="193"/>
        </w:trPr>
        <w:tc>
          <w:tcPr>
            <w:tcW w:w="4660" w:type="dxa"/>
            <w:vAlign w:val="bottom"/>
          </w:tcPr>
          <w:p>
            <w:pPr>
              <w:ind w:left="20"/>
              <w:spacing w:after="0"/>
              <w:rPr>
                <w:sz w:val="20"/>
                <w:szCs w:val="20"/>
                <w:color w:val="auto"/>
              </w:rPr>
            </w:pPr>
            <w:r>
              <w:rPr>
                <w:rFonts w:ascii="Calibri" w:cs="Calibri" w:eastAsia="Calibri" w:hAnsi="Calibri"/>
                <w:sz w:val="14"/>
                <w:szCs w:val="14"/>
                <w:color w:val="auto"/>
              </w:rPr>
              <w:t>Plus year-over-year change of unvested awards granted in previous years</w:t>
            </w:r>
          </w:p>
        </w:tc>
        <w:tc>
          <w:tcPr>
            <w:tcW w:w="560" w:type="dxa"/>
            <w:vAlign w:val="bottom"/>
          </w:tcPr>
          <w:p>
            <w:pPr>
              <w:spacing w:after="0"/>
              <w:rPr>
                <w:sz w:val="16"/>
                <w:szCs w:val="16"/>
                <w:color w:val="auto"/>
              </w:rPr>
            </w:pPr>
          </w:p>
        </w:tc>
        <w:tc>
          <w:tcPr>
            <w:tcW w:w="960" w:type="dxa"/>
            <w:vAlign w:val="bottom"/>
          </w:tcPr>
          <w:p>
            <w:pPr>
              <w:jc w:val="right"/>
              <w:ind w:right="43"/>
              <w:spacing w:after="0" w:line="193" w:lineRule="exact"/>
              <w:rPr>
                <w:sz w:val="20"/>
                <w:szCs w:val="20"/>
                <w:color w:val="auto"/>
              </w:rPr>
            </w:pPr>
            <w:r>
              <w:rPr>
                <w:rFonts w:ascii="Calibri" w:cs="Calibri" w:eastAsia="Calibri" w:hAnsi="Calibri"/>
                <w:sz w:val="16"/>
                <w:szCs w:val="16"/>
                <w:color w:val="auto"/>
              </w:rPr>
              <w:t>(462,002 )</w:t>
            </w:r>
          </w:p>
        </w:tc>
        <w:tc>
          <w:tcPr>
            <w:tcW w:w="280" w:type="dxa"/>
            <w:vAlign w:val="bottom"/>
          </w:tcPr>
          <w:p>
            <w:pPr>
              <w:spacing w:after="0"/>
              <w:rPr>
                <w:sz w:val="16"/>
                <w:szCs w:val="16"/>
                <w:color w:val="auto"/>
              </w:rPr>
            </w:pPr>
          </w:p>
        </w:tc>
        <w:tc>
          <w:tcPr>
            <w:tcW w:w="900" w:type="dxa"/>
            <w:vAlign w:val="bottom"/>
          </w:tcPr>
          <w:p>
            <w:pPr>
              <w:jc w:val="right"/>
              <w:ind w:right="43"/>
              <w:spacing w:after="0" w:line="193" w:lineRule="exact"/>
              <w:rPr>
                <w:sz w:val="20"/>
                <w:szCs w:val="20"/>
                <w:color w:val="auto"/>
              </w:rPr>
            </w:pPr>
            <w:r>
              <w:rPr>
                <w:rFonts w:ascii="Calibri" w:cs="Calibri" w:eastAsia="Calibri" w:hAnsi="Calibri"/>
                <w:sz w:val="16"/>
                <w:szCs w:val="16"/>
                <w:color w:val="auto"/>
              </w:rPr>
              <w:t>91,255</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Calibri" w:cs="Calibri" w:eastAsia="Calibri" w:hAnsi="Calibri"/>
                <w:sz w:val="14"/>
                <w:szCs w:val="14"/>
                <w:color w:val="auto"/>
              </w:rPr>
              <w:t>(885,837 )</w:t>
            </w:r>
          </w:p>
        </w:tc>
        <w:tc>
          <w:tcPr>
            <w:tcW w:w="34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Calibri" w:cs="Calibri" w:eastAsia="Calibri" w:hAnsi="Calibri"/>
                <w:sz w:val="14"/>
                <w:szCs w:val="14"/>
                <w:color w:val="auto"/>
              </w:rPr>
              <w:t>919,834</w:t>
            </w:r>
          </w:p>
        </w:tc>
        <w:tc>
          <w:tcPr>
            <w:tcW w:w="3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Calibri" w:cs="Calibri" w:eastAsia="Calibri" w:hAnsi="Calibri"/>
                <w:sz w:val="14"/>
                <w:szCs w:val="14"/>
                <w:color w:val="auto"/>
              </w:rPr>
              <w:t>493,725</w:t>
            </w:r>
          </w:p>
        </w:tc>
      </w:tr>
      <w:tr>
        <w:trPr>
          <w:trHeight w:val="50"/>
        </w:trPr>
        <w:tc>
          <w:tcPr>
            <w:tcW w:w="4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23"/>
        </w:trPr>
        <w:tc>
          <w:tcPr>
            <w:tcW w:w="4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Plus change from prior fscal year-end awards that vested during the year</w:t>
            </w:r>
          </w:p>
        </w:tc>
        <w:tc>
          <w:tcPr>
            <w:tcW w:w="5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ind w:right="43"/>
              <w:spacing w:after="0" w:line="193" w:lineRule="exact"/>
              <w:rPr>
                <w:sz w:val="20"/>
                <w:szCs w:val="20"/>
                <w:color w:val="auto"/>
              </w:rPr>
            </w:pPr>
            <w:r>
              <w:rPr>
                <w:rFonts w:ascii="Calibri" w:cs="Calibri" w:eastAsia="Calibri" w:hAnsi="Calibri"/>
                <w:sz w:val="16"/>
                <w:szCs w:val="16"/>
                <w:color w:val="auto"/>
              </w:rPr>
              <w:t>(89,883 )</w:t>
            </w: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43"/>
              <w:spacing w:after="0" w:line="193" w:lineRule="exact"/>
              <w:rPr>
                <w:sz w:val="20"/>
                <w:szCs w:val="20"/>
                <w:color w:val="auto"/>
              </w:rPr>
            </w:pPr>
            <w:r>
              <w:rPr>
                <w:rFonts w:ascii="Calibri" w:cs="Calibri" w:eastAsia="Calibri" w:hAnsi="Calibri"/>
                <w:sz w:val="16"/>
                <w:szCs w:val="16"/>
                <w:color w:val="auto"/>
              </w:rPr>
              <w:t>135,890</w:t>
            </w:r>
          </w:p>
        </w:tc>
        <w:tc>
          <w:tcPr>
            <w:tcW w:w="3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ind w:right="28"/>
              <w:spacing w:after="0"/>
              <w:rPr>
                <w:sz w:val="20"/>
                <w:szCs w:val="20"/>
                <w:color w:val="auto"/>
              </w:rPr>
            </w:pPr>
            <w:r>
              <w:rPr>
                <w:rFonts w:ascii="Calibri" w:cs="Calibri" w:eastAsia="Calibri" w:hAnsi="Calibri"/>
                <w:sz w:val="14"/>
                <w:szCs w:val="14"/>
                <w:color w:val="auto"/>
              </w:rPr>
              <w:t>(836,481 )</w:t>
            </w:r>
          </w:p>
        </w:tc>
        <w:tc>
          <w:tcPr>
            <w:tcW w:w="3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rPr>
              <w:t>986,023</w:t>
            </w:r>
          </w:p>
        </w:tc>
        <w:tc>
          <w:tcPr>
            <w:tcW w:w="3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ind w:right="48"/>
              <w:spacing w:after="0"/>
              <w:rPr>
                <w:sz w:val="20"/>
                <w:szCs w:val="20"/>
                <w:color w:val="auto"/>
              </w:rPr>
            </w:pPr>
            <w:r>
              <w:rPr>
                <w:rFonts w:ascii="Calibri" w:cs="Calibri" w:eastAsia="Calibri" w:hAnsi="Calibri"/>
                <w:sz w:val="14"/>
                <w:szCs w:val="14"/>
                <w:color w:val="auto"/>
              </w:rPr>
              <w:t>368,945</w:t>
            </w:r>
          </w:p>
        </w:tc>
      </w:tr>
      <w:tr>
        <w:trPr>
          <w:trHeight w:val="198"/>
        </w:trPr>
        <w:tc>
          <w:tcPr>
            <w:tcW w:w="4660" w:type="dxa"/>
            <w:vAlign w:val="bottom"/>
            <w:tcBorders>
              <w:bottom w:val="single" w:sz="8" w:color="005CA9"/>
            </w:tcBorders>
          </w:tcPr>
          <w:p>
            <w:pPr>
              <w:ind w:left="20"/>
              <w:spacing w:after="0"/>
              <w:rPr>
                <w:sz w:val="20"/>
                <w:szCs w:val="20"/>
                <w:color w:val="auto"/>
              </w:rPr>
            </w:pPr>
            <w:r>
              <w:rPr>
                <w:rFonts w:ascii="Calibri" w:cs="Calibri" w:eastAsia="Calibri" w:hAnsi="Calibri"/>
                <w:sz w:val="14"/>
                <w:szCs w:val="14"/>
                <w:color w:val="auto"/>
              </w:rPr>
              <w:t>Total equity award adjustments</w:t>
            </w:r>
          </w:p>
        </w:tc>
        <w:tc>
          <w:tcPr>
            <w:tcW w:w="560" w:type="dxa"/>
            <w:vAlign w:val="bottom"/>
            <w:tcBorders>
              <w:bottom w:val="single" w:sz="8" w:color="005CA9"/>
            </w:tcBorders>
          </w:tcPr>
          <w:p>
            <w:pPr>
              <w:spacing w:after="0"/>
              <w:rPr>
                <w:sz w:val="17"/>
                <w:szCs w:val="17"/>
                <w:color w:val="auto"/>
              </w:rPr>
            </w:pPr>
          </w:p>
        </w:tc>
        <w:tc>
          <w:tcPr>
            <w:tcW w:w="960" w:type="dxa"/>
            <w:vAlign w:val="bottom"/>
            <w:tcBorders>
              <w:bottom w:val="single" w:sz="8" w:color="005CA9"/>
            </w:tcBorders>
          </w:tcPr>
          <w:p>
            <w:pPr>
              <w:jc w:val="right"/>
              <w:ind w:right="123"/>
              <w:spacing w:after="0" w:line="193" w:lineRule="exact"/>
              <w:rPr>
                <w:sz w:val="20"/>
                <w:szCs w:val="20"/>
                <w:color w:val="auto"/>
              </w:rPr>
            </w:pPr>
            <w:r>
              <w:rPr>
                <w:rFonts w:ascii="Calibri" w:cs="Calibri" w:eastAsia="Calibri" w:hAnsi="Calibri"/>
                <w:sz w:val="16"/>
                <w:szCs w:val="16"/>
                <w:color w:val="auto"/>
              </w:rPr>
              <w:t>1,734,384</w:t>
            </w:r>
          </w:p>
        </w:tc>
        <w:tc>
          <w:tcPr>
            <w:tcW w:w="280" w:type="dxa"/>
            <w:vAlign w:val="bottom"/>
            <w:tcBorders>
              <w:bottom w:val="single" w:sz="8" w:color="005CA9"/>
            </w:tcBorders>
          </w:tcPr>
          <w:p>
            <w:pPr>
              <w:spacing w:after="0"/>
              <w:rPr>
                <w:sz w:val="17"/>
                <w:szCs w:val="17"/>
                <w:color w:val="auto"/>
              </w:rPr>
            </w:pPr>
          </w:p>
        </w:tc>
        <w:tc>
          <w:tcPr>
            <w:tcW w:w="900" w:type="dxa"/>
            <w:vAlign w:val="bottom"/>
            <w:tcBorders>
              <w:bottom w:val="single" w:sz="8" w:color="005CA9"/>
            </w:tcBorders>
          </w:tcPr>
          <w:p>
            <w:pPr>
              <w:jc w:val="right"/>
              <w:ind w:right="43"/>
              <w:spacing w:after="0" w:line="193" w:lineRule="exact"/>
              <w:rPr>
                <w:sz w:val="20"/>
                <w:szCs w:val="20"/>
                <w:color w:val="auto"/>
              </w:rPr>
            </w:pPr>
            <w:r>
              <w:rPr>
                <w:rFonts w:ascii="Calibri" w:cs="Calibri" w:eastAsia="Calibri" w:hAnsi="Calibri"/>
                <w:sz w:val="16"/>
                <w:szCs w:val="16"/>
                <w:color w:val="auto"/>
              </w:rPr>
              <w:t>2,099,234</w:t>
            </w:r>
          </w:p>
        </w:tc>
        <w:tc>
          <w:tcPr>
            <w:tcW w:w="340" w:type="dxa"/>
            <w:vAlign w:val="bottom"/>
            <w:tcBorders>
              <w:bottom w:val="single" w:sz="8" w:color="005CA9"/>
            </w:tcBorders>
          </w:tcPr>
          <w:p>
            <w:pPr>
              <w:spacing w:after="0"/>
              <w:rPr>
                <w:sz w:val="17"/>
                <w:szCs w:val="17"/>
                <w:color w:val="auto"/>
              </w:rPr>
            </w:pPr>
          </w:p>
        </w:tc>
        <w:tc>
          <w:tcPr>
            <w:tcW w:w="880" w:type="dxa"/>
            <w:vAlign w:val="bottom"/>
            <w:tcBorders>
              <w:bottom w:val="single" w:sz="8" w:color="005CA9"/>
            </w:tcBorders>
          </w:tcPr>
          <w:p>
            <w:pPr>
              <w:jc w:val="right"/>
              <w:ind w:right="88"/>
              <w:spacing w:after="0"/>
              <w:rPr>
                <w:sz w:val="20"/>
                <w:szCs w:val="20"/>
                <w:color w:val="auto"/>
              </w:rPr>
            </w:pPr>
            <w:r>
              <w:rPr>
                <w:rFonts w:ascii="Calibri" w:cs="Calibri" w:eastAsia="Calibri" w:hAnsi="Calibri"/>
                <w:sz w:val="14"/>
                <w:szCs w:val="14"/>
                <w:color w:val="auto"/>
              </w:rPr>
              <w:t>156,437</w:t>
            </w:r>
          </w:p>
        </w:tc>
        <w:tc>
          <w:tcPr>
            <w:tcW w:w="340" w:type="dxa"/>
            <w:vAlign w:val="bottom"/>
            <w:tcBorders>
              <w:bottom w:val="single" w:sz="8" w:color="005CA9"/>
            </w:tcBorders>
          </w:tcPr>
          <w:p>
            <w:pPr>
              <w:spacing w:after="0"/>
              <w:rPr>
                <w:sz w:val="17"/>
                <w:szCs w:val="17"/>
                <w:color w:val="auto"/>
              </w:rPr>
            </w:pPr>
          </w:p>
        </w:tc>
        <w:tc>
          <w:tcPr>
            <w:tcW w:w="980" w:type="dxa"/>
            <w:vAlign w:val="bottom"/>
            <w:tcBorders>
              <w:bottom w:val="single" w:sz="8" w:color="005CA9"/>
            </w:tcBorders>
          </w:tcPr>
          <w:p>
            <w:pPr>
              <w:jc w:val="right"/>
              <w:ind w:right="68"/>
              <w:spacing w:after="0"/>
              <w:rPr>
                <w:sz w:val="20"/>
                <w:szCs w:val="20"/>
                <w:color w:val="auto"/>
              </w:rPr>
            </w:pPr>
            <w:r>
              <w:rPr>
                <w:rFonts w:ascii="Calibri" w:cs="Calibri" w:eastAsia="Calibri" w:hAnsi="Calibri"/>
                <w:sz w:val="14"/>
                <w:szCs w:val="14"/>
                <w:color w:val="auto"/>
              </w:rPr>
              <w:t>4,615,418</w:t>
            </w:r>
          </w:p>
        </w:tc>
        <w:tc>
          <w:tcPr>
            <w:tcW w:w="380" w:type="dxa"/>
            <w:vAlign w:val="bottom"/>
            <w:tcBorders>
              <w:bottom w:val="single" w:sz="8" w:color="005CA9"/>
            </w:tcBorders>
          </w:tcPr>
          <w:p>
            <w:pPr>
              <w:spacing w:after="0"/>
              <w:rPr>
                <w:sz w:val="17"/>
                <w:szCs w:val="17"/>
                <w:color w:val="auto"/>
              </w:rPr>
            </w:pPr>
          </w:p>
        </w:tc>
        <w:tc>
          <w:tcPr>
            <w:tcW w:w="960" w:type="dxa"/>
            <w:vAlign w:val="bottom"/>
            <w:tcBorders>
              <w:bottom w:val="single" w:sz="8" w:color="005CA9"/>
            </w:tcBorders>
          </w:tcPr>
          <w:p>
            <w:pPr>
              <w:jc w:val="right"/>
              <w:ind w:right="48"/>
              <w:spacing w:after="0"/>
              <w:rPr>
                <w:sz w:val="20"/>
                <w:szCs w:val="20"/>
                <w:color w:val="auto"/>
              </w:rPr>
            </w:pPr>
            <w:r>
              <w:rPr>
                <w:rFonts w:ascii="Calibri" w:cs="Calibri" w:eastAsia="Calibri" w:hAnsi="Calibri"/>
                <w:sz w:val="14"/>
                <w:szCs w:val="14"/>
                <w:color w:val="auto"/>
              </w:rPr>
              <w:t>3,670,333</w:t>
            </w:r>
          </w:p>
        </w:tc>
      </w:tr>
    </w:tbl>
    <w:p>
      <w:pPr>
        <w:spacing w:after="0" w:line="8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graphs illustrates the relatonship of CAP for our PEO and the average CAP for our Non-PEO NEOs in relatonship to our Total Shareholder Return ("TSR"), net income and net sales. Additonally, the graphs also describe the relatonship between our own TSR versus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312420</wp:posOffset>
            </wp:positionV>
            <wp:extent cx="4800600" cy="3214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0060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62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1330960</wp:posOffset>
            </wp:positionH>
            <wp:positionV relativeFrom="page">
              <wp:posOffset>568960</wp:posOffset>
            </wp:positionV>
            <wp:extent cx="4886325" cy="6317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86325" cy="631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three fnancial performance measures listed in the following table represent an unranked list of the “most important” fnancial performance measures linking CAP to the NEOs for 2024 and company performance. Afer net sales, we do not consider any one of the other following fnancial performance measures to be a more important measure than the other when measuring performance for our company or executve compensaton program. See the discussion above in "Compensaton Discussion and Analysis" for additonal discussion related to executve pay.</w:t>
      </w:r>
    </w:p>
    <w:p>
      <w:pPr>
        <w:spacing w:after="0" w:line="127"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111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Operatng income</w:t>
      </w:r>
    </w:p>
    <w:p>
      <w:pPr>
        <w:spacing w:after="0" w:line="45"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Non-GAAP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117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63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ind w:left="4060"/>
        <w:spacing w:after="0"/>
        <w:rPr>
          <w:sz w:val="20"/>
          <w:szCs w:val="20"/>
          <w:color w:val="auto"/>
        </w:rPr>
      </w:pPr>
      <w:r>
        <w:rPr>
          <w:rFonts w:ascii="Calibri" w:cs="Calibri" w:eastAsia="Calibri" w:hAnsi="Calibri"/>
          <w:sz w:val="43"/>
          <w:szCs w:val="43"/>
          <w:color w:val="005CA9"/>
        </w:rPr>
        <w:t>PROPOSAL THREE</w:t>
      </w:r>
    </w:p>
    <w:p>
      <w:pPr>
        <w:spacing w:after="0" w:line="148" w:lineRule="exact"/>
        <w:rPr>
          <w:sz w:val="20"/>
          <w:szCs w:val="20"/>
          <w:color w:val="auto"/>
        </w:rPr>
      </w:pPr>
    </w:p>
    <w:p>
      <w:pPr>
        <w:ind w:left="660"/>
        <w:spacing w:after="0"/>
        <w:rPr>
          <w:sz w:val="20"/>
          <w:szCs w:val="20"/>
          <w:color w:val="auto"/>
        </w:rPr>
      </w:pPr>
      <w:r>
        <w:rPr>
          <w:rFonts w:ascii="Calibri" w:cs="Calibri" w:eastAsia="Calibri" w:hAnsi="Calibri"/>
          <w:sz w:val="43"/>
          <w:szCs w:val="43"/>
          <w:color w:val="005CA9"/>
        </w:rPr>
        <w:t>RATIFICATION OF THE APPOINTMENT OF INDEPENDENT</w:t>
      </w:r>
    </w:p>
    <w:p>
      <w:pPr>
        <w:spacing w:after="0" w:line="2" w:lineRule="exact"/>
        <w:rPr>
          <w:sz w:val="20"/>
          <w:szCs w:val="20"/>
          <w:color w:val="auto"/>
        </w:rPr>
      </w:pPr>
    </w:p>
    <w:p>
      <w:pPr>
        <w:jc w:val="center"/>
        <w:ind w:right="100"/>
        <w:spacing w:after="0"/>
        <w:rPr>
          <w:sz w:val="20"/>
          <w:szCs w:val="20"/>
          <w:color w:val="auto"/>
        </w:rPr>
      </w:pPr>
      <w:r>
        <w:rPr>
          <w:rFonts w:ascii="Calibri" w:cs="Calibri" w:eastAsia="Calibri" w:hAnsi="Calibri"/>
          <w:sz w:val="43"/>
          <w:szCs w:val="43"/>
          <w:color w:val="005CA9"/>
        </w:rPr>
        <w:t>REGISTERED PUBLIC ACCOUNTING FIRM</w:t>
      </w:r>
    </w:p>
    <w:p>
      <w:pPr>
        <w:spacing w:after="0" w:line="32"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frm of Moss Adams LLP has been the Company’s independent registered public accountng frm since 1993 and has been selected by the Board, upon the recommendaton of the Audit Commitee, to serve as the Company’s independent registered public accountng frm for the fscal year ending December 31, 2025. Professional services rendered by Moss Adams LLP for 2024 consisted of an audit of the Company’s annual fnancial statements (including services incurred with rendering an opinion under Secton 404 of the Sarbanes-Oxley Act of 2002) and review of quarterly fnancial statements, services related to flings with the SEC and meetngs with the Company’s Audit Commitee. All professional services rendered by Moss Adams LLP during 2024 were furnished at customary rates and terms. Representatves of Moss Adams LLP are expected to be present at the Meetng and will have the opportunity to make a statement, if they so desire, and respond to appropriate questons, previously submited,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5CA9"/>
        </w:rPr>
        <w:t>AUDIT FEES, AUDIT-RELATED FEES, TAX FEES AND ALL OTHER FEES</w:t>
      </w:r>
    </w:p>
    <w:p>
      <w:pPr>
        <w:spacing w:after="0" w:line="49" w:lineRule="exact"/>
        <w:rPr>
          <w:sz w:val="20"/>
          <w:szCs w:val="20"/>
          <w:color w:val="auto"/>
        </w:rPr>
      </w:pPr>
    </w:p>
    <w:p>
      <w:pPr>
        <w:jc w:val="both"/>
        <w:ind w:right="20"/>
        <w:spacing w:after="0"/>
        <w:rPr>
          <w:sz w:val="20"/>
          <w:szCs w:val="20"/>
          <w:color w:val="auto"/>
        </w:rPr>
      </w:pPr>
      <w:r>
        <w:rPr>
          <w:rFonts w:ascii="Calibri" w:cs="Calibri" w:eastAsia="Calibri" w:hAnsi="Calibri"/>
          <w:sz w:val="20"/>
          <w:szCs w:val="20"/>
          <w:color w:val="auto"/>
        </w:rPr>
        <w:t>For the fscal years ended December 31, 2024 and 2023, fees for the services provided by Moss Adams LLP were approximately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860" w:type="dxa"/>
            <w:vAlign w:val="bottom"/>
            <w:tcBorders>
              <w:top w:val="single" w:sz="8" w:color="005CA9"/>
            </w:tcBorders>
          </w:tcPr>
          <w:p>
            <w:pPr>
              <w:ind w:left="20"/>
              <w:spacing w:after="0"/>
              <w:rPr>
                <w:sz w:val="20"/>
                <w:szCs w:val="20"/>
                <w:color w:val="auto"/>
              </w:rPr>
            </w:pPr>
            <w:r>
              <w:rPr>
                <w:rFonts w:ascii="Calibri" w:cs="Calibri" w:eastAsia="Calibri" w:hAnsi="Calibri"/>
                <w:sz w:val="20"/>
                <w:szCs w:val="20"/>
                <w:b w:val="1"/>
                <w:bCs w:val="1"/>
                <w:color w:val="auto"/>
              </w:rPr>
              <w:t>Descripton</w:t>
            </w:r>
          </w:p>
        </w:tc>
        <w:tc>
          <w:tcPr>
            <w:tcW w:w="460" w:type="dxa"/>
            <w:vAlign w:val="bottom"/>
            <w:tcBorders>
              <w:top w:val="single" w:sz="8" w:color="005CA9"/>
            </w:tcBorders>
          </w:tcPr>
          <w:p>
            <w:pPr>
              <w:spacing w:after="0"/>
              <w:rPr>
                <w:sz w:val="21"/>
                <w:szCs w:val="21"/>
                <w:color w:val="auto"/>
              </w:rPr>
            </w:pPr>
          </w:p>
        </w:tc>
        <w:tc>
          <w:tcPr>
            <w:tcW w:w="1620" w:type="dxa"/>
            <w:vAlign w:val="bottom"/>
            <w:tcBorders>
              <w:top w:val="single" w:sz="8" w:color="005CA9"/>
            </w:tcBorders>
          </w:tcPr>
          <w:p>
            <w:pPr>
              <w:jc w:val="right"/>
              <w:ind w:right="781"/>
              <w:spacing w:after="0"/>
              <w:rPr>
                <w:sz w:val="20"/>
                <w:szCs w:val="20"/>
                <w:color w:val="auto"/>
              </w:rPr>
            </w:pPr>
            <w:r>
              <w:rPr>
                <w:rFonts w:ascii="Calibri" w:cs="Calibri" w:eastAsia="Calibri" w:hAnsi="Calibri"/>
                <w:sz w:val="20"/>
                <w:szCs w:val="20"/>
                <w:b w:val="1"/>
                <w:bCs w:val="1"/>
                <w:color w:val="auto"/>
              </w:rPr>
              <w:t>2024</w:t>
            </w:r>
          </w:p>
        </w:tc>
        <w:tc>
          <w:tcPr>
            <w:tcW w:w="220" w:type="dxa"/>
            <w:vAlign w:val="bottom"/>
            <w:tcBorders>
              <w:top w:val="single" w:sz="8" w:color="005CA9"/>
            </w:tcBorders>
          </w:tcPr>
          <w:p>
            <w:pPr>
              <w:spacing w:after="0"/>
              <w:rPr>
                <w:sz w:val="21"/>
                <w:szCs w:val="21"/>
                <w:color w:val="auto"/>
              </w:rPr>
            </w:pPr>
          </w:p>
        </w:tc>
        <w:tc>
          <w:tcPr>
            <w:tcW w:w="440" w:type="dxa"/>
            <w:vAlign w:val="bottom"/>
            <w:tcBorders>
              <w:top w:val="single" w:sz="8" w:color="005CA9"/>
            </w:tcBorders>
          </w:tcPr>
          <w:p>
            <w:pPr>
              <w:spacing w:after="0"/>
              <w:rPr>
                <w:sz w:val="21"/>
                <w:szCs w:val="21"/>
                <w:color w:val="auto"/>
              </w:rPr>
            </w:pPr>
          </w:p>
        </w:tc>
        <w:tc>
          <w:tcPr>
            <w:tcW w:w="1640" w:type="dxa"/>
            <w:vAlign w:val="bottom"/>
            <w:tcBorders>
              <w:top w:val="single" w:sz="8" w:color="005CA9"/>
            </w:tcBorders>
          </w:tcPr>
          <w:p>
            <w:pPr>
              <w:jc w:val="right"/>
              <w:ind w:right="801"/>
              <w:spacing w:after="0"/>
              <w:rPr>
                <w:sz w:val="20"/>
                <w:szCs w:val="20"/>
                <w:color w:val="auto"/>
              </w:rPr>
            </w:pPr>
            <w:r>
              <w:rPr>
                <w:rFonts w:ascii="Calibri" w:cs="Calibri" w:eastAsia="Calibri" w:hAnsi="Calibri"/>
                <w:sz w:val="20"/>
                <w:szCs w:val="20"/>
                <w:b w:val="1"/>
                <w:bCs w:val="1"/>
                <w:color w:val="auto"/>
              </w:rPr>
              <w:t>2023</w:t>
            </w:r>
          </w:p>
        </w:tc>
      </w:tr>
      <w:tr>
        <w:trPr>
          <w:trHeight w:val="234"/>
        </w:trPr>
        <w:tc>
          <w:tcPr>
            <w:tcW w:w="6860" w:type="dxa"/>
            <w:vAlign w:val="bottom"/>
          </w:tcPr>
          <w:p>
            <w:pPr>
              <w:ind w:left="120"/>
              <w:spacing w:after="0" w:line="234" w:lineRule="exact"/>
              <w:rPr>
                <w:sz w:val="20"/>
                <w:szCs w:val="20"/>
                <w:color w:val="auto"/>
              </w:rPr>
            </w:pPr>
            <w:r>
              <w:rPr>
                <w:rFonts w:ascii="Calibri" w:cs="Calibri" w:eastAsia="Calibri" w:hAnsi="Calibri"/>
                <w:sz w:val="19"/>
                <w:szCs w:val="19"/>
                <w:color w:val="auto"/>
              </w:rPr>
              <w:t xml:space="preserve">Audit fees </w:t>
            </w:r>
            <w:r>
              <w:rPr>
                <w:rFonts w:ascii="Calibri" w:cs="Calibri" w:eastAsia="Calibri" w:hAnsi="Calibri"/>
                <w:sz w:val="25"/>
                <w:szCs w:val="25"/>
                <w:color w:val="auto"/>
                <w:vertAlign w:val="superscript"/>
              </w:rPr>
              <w:t>(1)</w:t>
            </w:r>
          </w:p>
        </w:tc>
        <w:tc>
          <w:tcPr>
            <w:tcW w:w="46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w w:val="98"/>
              </w:rPr>
              <w:t>$</w:t>
            </w:r>
          </w:p>
        </w:tc>
        <w:tc>
          <w:tcPr>
            <w:tcW w:w="162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3,090,188</w:t>
            </w:r>
          </w:p>
        </w:tc>
        <w:tc>
          <w:tcPr>
            <w:tcW w:w="660" w:type="dxa"/>
            <w:vAlign w:val="bottom"/>
            <w:gridSpan w:val="2"/>
          </w:tcPr>
          <w:p>
            <w:pPr>
              <w:jc w:val="right"/>
              <w:ind w:right="221"/>
              <w:spacing w:after="0" w:line="234" w:lineRule="exact"/>
              <w:rPr>
                <w:sz w:val="20"/>
                <w:szCs w:val="20"/>
                <w:color w:val="auto"/>
              </w:rPr>
            </w:pPr>
            <w:r>
              <w:rPr>
                <w:rFonts w:ascii="Calibri" w:cs="Calibri" w:eastAsia="Calibri" w:hAnsi="Calibri"/>
                <w:sz w:val="20"/>
                <w:szCs w:val="20"/>
                <w:color w:val="auto"/>
              </w:rPr>
              <w:t>$</w:t>
            </w:r>
          </w:p>
        </w:tc>
        <w:tc>
          <w:tcPr>
            <w:tcW w:w="164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2,934,111</w:t>
            </w:r>
          </w:p>
        </w:tc>
      </w:tr>
      <w:tr>
        <w:trPr>
          <w:trHeight w:val="301"/>
        </w:trPr>
        <w:tc>
          <w:tcPr>
            <w:tcW w:w="6860" w:type="dxa"/>
            <w:vAlign w:val="bottom"/>
          </w:tcPr>
          <w:p>
            <w:pPr>
              <w:ind w:left="120"/>
              <w:spacing w:after="0" w:line="301" w:lineRule="exact"/>
              <w:rPr>
                <w:sz w:val="20"/>
                <w:szCs w:val="20"/>
                <w:color w:val="auto"/>
              </w:rPr>
            </w:pPr>
            <w:r>
              <w:rPr>
                <w:rFonts w:ascii="Calibri" w:cs="Calibri" w:eastAsia="Calibri" w:hAnsi="Calibri"/>
                <w:sz w:val="20"/>
                <w:szCs w:val="20"/>
                <w:color w:val="auto"/>
              </w:rPr>
              <w:t xml:space="preserve">Audit-related fees </w:t>
            </w:r>
            <w:r>
              <w:rPr>
                <w:rFonts w:ascii="Calibri" w:cs="Calibri" w:eastAsia="Calibri" w:hAnsi="Calibri"/>
                <w:sz w:val="26"/>
                <w:szCs w:val="26"/>
                <w:color w:val="auto"/>
                <w:vertAlign w:val="superscript"/>
              </w:rPr>
              <w:t>(2)</w:t>
            </w:r>
          </w:p>
        </w:tc>
        <w:tc>
          <w:tcPr>
            <w:tcW w:w="460" w:type="dxa"/>
            <w:vAlign w:val="bottom"/>
          </w:tcPr>
          <w:p>
            <w:pPr>
              <w:spacing w:after="0"/>
              <w:rPr>
                <w:sz w:val="24"/>
                <w:szCs w:val="24"/>
                <w:color w:val="auto"/>
              </w:rPr>
            </w:pPr>
          </w:p>
        </w:tc>
        <w:tc>
          <w:tcPr>
            <w:tcW w:w="162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jc w:val="right"/>
              <w:ind w:right="21"/>
              <w:spacing w:after="0"/>
              <w:rPr>
                <w:sz w:val="20"/>
                <w:szCs w:val="20"/>
                <w:color w:val="auto"/>
              </w:rPr>
            </w:pPr>
            <w:r>
              <w:rPr>
                <w:rFonts w:ascii="Calibri" w:cs="Calibri" w:eastAsia="Calibri" w:hAnsi="Calibri"/>
                <w:sz w:val="20"/>
                <w:szCs w:val="20"/>
                <w:color w:val="auto"/>
              </w:rPr>
              <w:t>—</w:t>
            </w:r>
          </w:p>
        </w:tc>
      </w:tr>
      <w:tr>
        <w:trPr>
          <w:trHeight w:val="243"/>
        </w:trPr>
        <w:tc>
          <w:tcPr>
            <w:tcW w:w="686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Tax fees, professional services related to income tax</w:t>
            </w:r>
          </w:p>
        </w:tc>
        <w:tc>
          <w:tcPr>
            <w:tcW w:w="4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w:t>
            </w:r>
          </w:p>
        </w:tc>
      </w:tr>
      <w:tr>
        <w:trPr>
          <w:trHeight w:val="239"/>
        </w:trPr>
        <w:tc>
          <w:tcPr>
            <w:tcW w:w="6860" w:type="dxa"/>
            <w:vAlign w:val="bottom"/>
          </w:tcPr>
          <w:p>
            <w:pPr>
              <w:ind w:left="120"/>
              <w:spacing w:after="0" w:line="234" w:lineRule="exact"/>
              <w:rPr>
                <w:sz w:val="20"/>
                <w:szCs w:val="20"/>
                <w:color w:val="auto"/>
              </w:rPr>
            </w:pPr>
            <w:r>
              <w:rPr>
                <w:rFonts w:ascii="Calibri" w:cs="Calibri" w:eastAsia="Calibri" w:hAnsi="Calibri"/>
                <w:sz w:val="20"/>
                <w:szCs w:val="20"/>
                <w:color w:val="auto"/>
              </w:rPr>
              <w:t>All other fees, not included above</w:t>
            </w:r>
          </w:p>
        </w:tc>
        <w:tc>
          <w:tcPr>
            <w:tcW w:w="460" w:type="dxa"/>
            <w:vAlign w:val="bottom"/>
            <w:tcBorders>
              <w:bottom w:val="single" w:sz="8" w:color="4F81BD"/>
            </w:tcBorders>
          </w:tcPr>
          <w:p>
            <w:pPr>
              <w:spacing w:after="0"/>
              <w:rPr>
                <w:sz w:val="20"/>
                <w:szCs w:val="20"/>
                <w:color w:val="auto"/>
              </w:rPr>
            </w:pPr>
          </w:p>
        </w:tc>
        <w:tc>
          <w:tcPr>
            <w:tcW w:w="1620" w:type="dxa"/>
            <w:vAlign w:val="bottom"/>
            <w:tcBorders>
              <w:bottom w:val="single" w:sz="8" w:color="4F81BD"/>
            </w:tcBorders>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220" w:type="dxa"/>
            <w:vAlign w:val="bottom"/>
          </w:tcPr>
          <w:p>
            <w:pPr>
              <w:spacing w:after="0"/>
              <w:rPr>
                <w:sz w:val="20"/>
                <w:szCs w:val="20"/>
                <w:color w:val="auto"/>
              </w:rPr>
            </w:pPr>
          </w:p>
        </w:tc>
        <w:tc>
          <w:tcPr>
            <w:tcW w:w="440" w:type="dxa"/>
            <w:vAlign w:val="bottom"/>
            <w:tcBorders>
              <w:bottom w:val="single" w:sz="8" w:color="4F81BD"/>
            </w:tcBorders>
          </w:tcPr>
          <w:p>
            <w:pPr>
              <w:spacing w:after="0"/>
              <w:rPr>
                <w:sz w:val="20"/>
                <w:szCs w:val="20"/>
                <w:color w:val="auto"/>
              </w:rPr>
            </w:pPr>
          </w:p>
        </w:tc>
        <w:tc>
          <w:tcPr>
            <w:tcW w:w="1640" w:type="dxa"/>
            <w:vAlign w:val="bottom"/>
            <w:tcBorders>
              <w:bottom w:val="single" w:sz="8" w:color="4F81BD"/>
            </w:tcBorders>
          </w:tcPr>
          <w:p>
            <w:pPr>
              <w:jc w:val="right"/>
              <w:ind w:right="21"/>
              <w:spacing w:after="0" w:line="234" w:lineRule="exact"/>
              <w:rPr>
                <w:sz w:val="20"/>
                <w:szCs w:val="20"/>
                <w:color w:val="auto"/>
              </w:rPr>
            </w:pPr>
            <w:r>
              <w:rPr>
                <w:rFonts w:ascii="Calibri" w:cs="Calibri" w:eastAsia="Calibri" w:hAnsi="Calibri"/>
                <w:sz w:val="20"/>
                <w:szCs w:val="20"/>
                <w:color w:val="auto"/>
              </w:rPr>
              <w:t>—</w:t>
            </w:r>
          </w:p>
        </w:tc>
      </w:tr>
      <w:tr>
        <w:trPr>
          <w:trHeight w:val="236"/>
        </w:trPr>
        <w:tc>
          <w:tcPr>
            <w:tcW w:w="6860" w:type="dxa"/>
            <w:vAlign w:val="bottom"/>
            <w:tcBorders>
              <w:bottom w:val="single" w:sz="8" w:color="005CA9"/>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Total</w:t>
            </w:r>
          </w:p>
        </w:tc>
        <w:tc>
          <w:tcPr>
            <w:tcW w:w="460" w:type="dxa"/>
            <w:vAlign w:val="bottom"/>
            <w:tcBorders>
              <w:bottom w:val="single" w:sz="8" w:color="005CA9"/>
            </w:tcBorders>
            <w:shd w:val="clear" w:color="auto" w:fill="CFF0FC"/>
          </w:tcPr>
          <w:p>
            <w:pPr>
              <w:jc w:val="right"/>
              <w:ind w:right="241"/>
              <w:spacing w:after="0" w:line="234" w:lineRule="exact"/>
              <w:rPr>
                <w:sz w:val="20"/>
                <w:szCs w:val="20"/>
                <w:color w:val="auto"/>
              </w:rPr>
            </w:pPr>
            <w:r>
              <w:rPr>
                <w:rFonts w:ascii="Calibri" w:cs="Calibri" w:eastAsia="Calibri" w:hAnsi="Calibri"/>
                <w:sz w:val="20"/>
                <w:szCs w:val="20"/>
                <w:color w:val="auto"/>
                <w:w w:val="98"/>
              </w:rPr>
              <w:t>$</w:t>
            </w:r>
          </w:p>
        </w:tc>
        <w:tc>
          <w:tcPr>
            <w:tcW w:w="1620" w:type="dxa"/>
            <w:vAlign w:val="bottom"/>
            <w:tcBorders>
              <w:bottom w:val="single" w:sz="8" w:color="005CA9"/>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3,090,188</w:t>
            </w:r>
          </w:p>
        </w:tc>
        <w:tc>
          <w:tcPr>
            <w:tcW w:w="220" w:type="dxa"/>
            <w:vAlign w:val="bottom"/>
            <w:tcBorders>
              <w:bottom w:val="single" w:sz="8" w:color="4F81BD"/>
            </w:tcBorders>
            <w:shd w:val="clear" w:color="auto" w:fill="CFF0FC"/>
          </w:tcPr>
          <w:p>
            <w:pPr>
              <w:spacing w:after="0"/>
              <w:rPr>
                <w:sz w:val="20"/>
                <w:szCs w:val="20"/>
                <w:color w:val="auto"/>
              </w:rPr>
            </w:pPr>
          </w:p>
        </w:tc>
        <w:tc>
          <w:tcPr>
            <w:tcW w:w="440" w:type="dxa"/>
            <w:vAlign w:val="bottom"/>
            <w:tcBorders>
              <w:bottom w:val="single" w:sz="8" w:color="005CA9"/>
            </w:tcBorders>
            <w:shd w:val="clear" w:color="auto" w:fill="CFF0FC"/>
          </w:tcPr>
          <w:p>
            <w:pPr>
              <w:jc w:val="right"/>
              <w:ind w:right="221"/>
              <w:spacing w:after="0" w:line="234" w:lineRule="exact"/>
              <w:rPr>
                <w:sz w:val="20"/>
                <w:szCs w:val="20"/>
                <w:color w:val="auto"/>
              </w:rPr>
            </w:pPr>
            <w:r>
              <w:rPr>
                <w:rFonts w:ascii="Calibri" w:cs="Calibri" w:eastAsia="Calibri" w:hAnsi="Calibri"/>
                <w:sz w:val="20"/>
                <w:szCs w:val="20"/>
                <w:color w:val="auto"/>
                <w:w w:val="98"/>
              </w:rPr>
              <w:t>$</w:t>
            </w:r>
          </w:p>
        </w:tc>
        <w:tc>
          <w:tcPr>
            <w:tcW w:w="1640" w:type="dxa"/>
            <w:vAlign w:val="bottom"/>
            <w:tcBorders>
              <w:bottom w:val="single" w:sz="8" w:color="005CA9"/>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2,934,111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p>
    <w:p>
      <w:pPr>
        <w:jc w:val="both"/>
        <w:ind w:left="160" w:hanging="10"/>
        <w:spacing w:after="0" w:line="245" w:lineRule="auto"/>
        <w:tabs>
          <w:tab w:leader="none" w:pos="361" w:val="left"/>
        </w:tabs>
        <w:numPr>
          <w:ilvl w:val="0"/>
          <w:numId w:val="49"/>
        </w:numPr>
        <w:rPr>
          <w:rFonts w:ascii="Calibri" w:cs="Calibri" w:eastAsia="Calibri" w:hAnsi="Calibri"/>
          <w:sz w:val="14"/>
          <w:szCs w:val="14"/>
          <w:color w:val="auto"/>
        </w:rPr>
      </w:pPr>
      <w:r>
        <w:rPr>
          <w:rFonts w:ascii="Calibri" w:cs="Calibri" w:eastAsia="Calibri" w:hAnsi="Calibri"/>
          <w:sz w:val="14"/>
          <w:szCs w:val="14"/>
          <w:color w:val="auto"/>
        </w:rPr>
        <w:t>Includes fees for professional services necessary to perform an audit or review in accordance with the standards of the Public Company Accountng Oversight Board, including services rendered for the audit of the Company’s fnancial statements (including services incurred with rendering an opinion under Secton 404 of the Sarbanes-Oxley Act of 2002) included in the Annual Report on Form 10-K and review of fnancial statements included in the Quarterly Reports on Form 10-Q.</w:t>
      </w:r>
    </w:p>
    <w:p>
      <w:pPr>
        <w:spacing w:after="0" w:line="3" w:lineRule="exact"/>
        <w:rPr>
          <w:rFonts w:ascii="Calibri" w:cs="Calibri" w:eastAsia="Calibri" w:hAnsi="Calibri"/>
          <w:sz w:val="14"/>
          <w:szCs w:val="14"/>
          <w:color w:val="auto"/>
        </w:rPr>
      </w:pPr>
    </w:p>
    <w:p>
      <w:pPr>
        <w:ind w:left="160" w:hanging="10"/>
        <w:spacing w:after="0" w:line="245" w:lineRule="auto"/>
        <w:tabs>
          <w:tab w:leader="none" w:pos="361" w:val="left"/>
        </w:tabs>
        <w:numPr>
          <w:ilvl w:val="0"/>
          <w:numId w:val="49"/>
        </w:numPr>
        <w:rPr>
          <w:rFonts w:ascii="Calibri" w:cs="Calibri" w:eastAsia="Calibri" w:hAnsi="Calibri"/>
          <w:sz w:val="14"/>
          <w:szCs w:val="14"/>
          <w:color w:val="auto"/>
        </w:rPr>
      </w:pPr>
      <w:r>
        <w:rPr>
          <w:rFonts w:ascii="Calibri" w:cs="Calibri" w:eastAsia="Calibri" w:hAnsi="Calibri"/>
          <w:sz w:val="14"/>
          <w:szCs w:val="14"/>
          <w:color w:val="auto"/>
        </w:rPr>
        <w:t>Includes assurance and related services that are reasonably related to the performance of the audit or review of the Company’s fnancial statements and are not reported under Audit Fees of this secton.</w:t>
      </w:r>
    </w:p>
    <w:p>
      <w:pPr>
        <w:spacing w:after="0" w:line="10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Audit Commitee administers the Company’s engagement of Moss Adams LLP and pre-approves all audit and permissible non-audit services on a case-by-case basis. In approving non-audit services, the Audit Commitee considers whether the engagement could compromise the independence of Moss Adams LLP, and whether for reasons of efciency or convenience it is in the best interest of the Company to engage its independent registered public accountng frm to perform the services.</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Moss Adams LLP has advised the Company that neither the frm, nor any member of the frm, has any fnancial interest, direct or indirect, in any capacity in the Company or its subsidiaries. The Audit Commitee, in reliance on the independent registered public accountng frm, determined that the provision of these services is compatble with maintaining the independence of Moss Adams LLP.</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Prior to engagement, the Audit Commitee pre-approves all independent registered public accountng frm services. The fees are budgeted, and the Audit Commitee may require the independent registered public accountng frm and management to report actual fees versus the budget periodically throughout the year by category of service. During the year, circumstances may arise when it may become necessary to engage the independent registered public accountng frm for additonal services not contemplated in the original pre-approved categories. In those instances, the Audit Commitee is required to specifcally pre-approve such additonal services before engaging the independent registered public accountng frm.</w:t>
      </w:r>
    </w:p>
    <w:p>
      <w:pPr>
        <w:spacing w:after="0" w:line="120"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Audit Commitee has delegated pre-approval authority to each of its members. Each member must report, for informatonal purposes only, any pre-approval decisions to the Audit Commitee at its next scheduled meetng.</w:t>
      </w:r>
    </w:p>
    <w:p>
      <w:pPr>
        <w:spacing w:after="0" w:line="23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64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67" w:name="page68"/>
    <w:bookmarkEnd w:id="67"/>
    <w:p>
      <w:pPr>
        <w:jc w:val="both"/>
        <w:spacing w:after="0"/>
        <w:rPr>
          <w:sz w:val="20"/>
          <w:szCs w:val="20"/>
          <w:color w:val="auto"/>
        </w:rPr>
      </w:pPr>
      <w:r>
        <w:rPr>
          <w:rFonts w:ascii="Calibri" w:cs="Calibri" w:eastAsia="Calibri" w:hAnsi="Calibri"/>
          <w:sz w:val="20"/>
          <w:szCs w:val="20"/>
          <w:color w:val="auto"/>
        </w:rPr>
        <w:t>Although the appointment of Moss Adams LLP as the Company’s independent registered public accountng frm for the fscal year ending December 31, 2025 is not required to be submited to a vote of stockholders, the Audit Commitee believes that it is appropriate as a mater of policy to request that the stockholders ratfy the appointment. If the stockholders do not ratfy the appointment, which requires the afrmatve vote of a majority of the outstanding shares of Common Stock present, in person via the Internet or by proxy, and enttled to vote on the proposal at the Meetng, the Board will consider the selecton of another independent registered public accountng frm.</w:t>
      </w:r>
    </w:p>
    <w:p>
      <w:pPr>
        <w:spacing w:after="0" w:line="34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auto"/>
        </w:rPr>
        <w:t>THE BOARD UNANIMOUSLY RECOMMENDS A VOTE “FOR” THE RATIFICATION OF THE APPOINTMENT OF MOSS ADAMS LLP AS THE COMPANY’S INDEPENDENT REGISTERED PUBLIC ACCOUNTING FIRM FOR THE FISCAL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65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8" w:name="page69"/>
    <w:bookmarkEnd w:id="68"/>
    <w:p>
      <w:pPr>
        <w:ind w:left="1720" w:right="1100" w:hanging="711"/>
        <w:spacing w:after="0" w:line="238" w:lineRule="auto"/>
        <w:rPr>
          <w:sz w:val="20"/>
          <w:szCs w:val="20"/>
          <w:color w:val="auto"/>
        </w:rPr>
      </w:pPr>
      <w:r>
        <w:rPr>
          <w:rFonts w:ascii="Calibri" w:cs="Calibri" w:eastAsia="Calibri" w:hAnsi="Calibri"/>
          <w:sz w:val="43"/>
          <w:szCs w:val="43"/>
          <w:color w:val="005CA9"/>
        </w:rPr>
        <w:t>PROPOSALS OF STOCKHOLDERS AND STOCKHOLDER NOMINATIONS FOR 2026 ANNUAL MEETING</w:t>
      </w:r>
    </w:p>
    <w:p>
      <w:pPr>
        <w:spacing w:after="0" w:line="182"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Under certain circumstances, stockholders are enttled to present proposals at stockholder meetngs. Currently, the 2026 annual meetng of stockholders is expected to be held on or about May 19, 2026.</w:t>
      </w:r>
    </w:p>
    <w:p>
      <w:pPr>
        <w:spacing w:after="0" w:line="14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SEC Rule 14a-8 provides that any stockholder proposal to be included in the proxy statement for the Company’s 2026 annual meetng must be received by the Secretary of the Company at the Company’s ofce at 4949 Hedgcoxe Road, Suite 200, Plano, Texas 75024 on or before December 3, 2025, in a form that complies with applicable regulatons. If the date of the 2026 annual meetng is advanced or delayed more than 30 days from the anniversary date of the 2025 annual meetng, stockholder proposals intended to be included in the proxy statement for the 2026 annual meetng must be received by the Company within a reasonable tme before the Company begins to print and mail the proxy statement for the 2026 annual meetng. Upon any determinaton that the date of the 2026 annual meetng will be advanced or delayed by more than 30 days from the anniversary date of the 2025 annual meetng, the Company will disclose the change in the earliest practcable Quarterly Report on Form 10-Q.</w:t>
      </w:r>
    </w:p>
    <w:p>
      <w:pPr>
        <w:spacing w:after="0" w:line="164"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In additon, the Company’s Bylaws require advance writen notce of nominatons or other maters that stockholders wish to present for acton at an annual meetng other than those to be included in our proxy statement under Rule 14a-8. The Company must receive writen notce of such nominatons or other proposals to be presented at the 2026 annual meetng, at the address stated in the preceding paragraph, no earlier than the close of business on Monday, January 12, 2026 and no later than the close of business on Wednesday, February 11, 2026. If writen notce of such nominatons or other maters is not received within the tme set forth in the Company’s Bylaws, the proxies solicited by the Board for the 2026 annual meetng of stockholders will confer authority on the proxyholders to vote the shares in accordance with the recommendatons of the Board if the proposal is presented at the 2026 annual meetng of stockholders without any discussion of the proposal in the proxy statement for such meetng. If the date of the 2026 annual meetng is advanced or delayed more than 30 days from the anniversary date of the 2025 annual meetng, then if the stockholder proposal has not been submited to the Company within a reasonable tme before the Company mails the proxy statement for the 2026 annual meetng, the proxies will confer the authority set out in the preceding sentence.</w:t>
      </w:r>
    </w:p>
    <w:p>
      <w:pPr>
        <w:spacing w:after="0" w:line="15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Stockholders may suggest candidates for the Board. Stockholders who wish to request that the Governance Commitee consider a candidate for electon at the 2026 annual meetng should submit informaton about the candidate to the Governance Commitee a reasonable tme before the Company begins to print and mail the proxy statement for the 2026 annual meetng. The requestng stockholder should provide sufcient biographical informaton about the proposed candidate to satsfy the requirements of the SEC for inclusion in the Proxy Statement and to permit the Governance Commitee to evaluate the proposed candidate in light of the criteria described in “Corporate Governance – Nominatng Procedures and Criteria and Board Diversity.” The request should also provide the full name, address, and telephone number of the requestng stockholder and sufcient informaton to verify that the requestng stockholder is eligible to vote at the 2026 annual meetng. Additonal informaton and certfcatons by the requestng stockholder and the proposed candidate may be required before the Governance Commitee can make its evaluaton.</w:t>
      </w:r>
    </w:p>
    <w:p>
      <w:pPr>
        <w:spacing w:after="0" w:line="1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deadline for providing notce to the Company under Rule 14a-19, the SEC’s universal proxy rule, of a stockholder’s intent to solicit proxies in support of nominees submited under the Company’s advance notce bylaws for our 2026 Annual Meetng of Stockholders is March 13, 2026. Stockholders intending to provide such a notce must comply with all requirements of Rule 14a-19 in additon to all requirements under our bylaws, including the tming of notce requirements described above.</w:t>
      </w: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66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9" w:name="page70"/>
    <w:bookmarkEnd w:id="69"/>
    <w:p>
      <w:pPr>
        <w:jc w:val="center"/>
        <w:ind w:right="-19"/>
        <w:spacing w:after="0"/>
        <w:rPr>
          <w:sz w:val="20"/>
          <w:szCs w:val="20"/>
          <w:color w:val="auto"/>
        </w:rPr>
      </w:pPr>
      <w:r>
        <w:rPr>
          <w:rFonts w:ascii="Calibri" w:cs="Calibri" w:eastAsia="Calibri" w:hAnsi="Calibri"/>
          <w:sz w:val="43"/>
          <w:szCs w:val="43"/>
          <w:color w:val="005CA9"/>
        </w:rPr>
        <w:t>ANNUAL REPORT AND FORM 10-K</w:t>
      </w:r>
    </w:p>
    <w:p>
      <w:pPr>
        <w:spacing w:after="0" w:line="178"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Company’s annual report to stockholders for the year ended December 31, 2024 accompanies or has preceded this Proxy Statement. The annual report contains consolidated fnancial statements of the Company and its subsidiaries and the report thereon of Moss Adams LLP, the Company’s independent registered public accountng frm, for the fscal years ended December 31, 2024, 2023, and 2022.</w:t>
      </w:r>
    </w:p>
    <w:p>
      <w:pPr>
        <w:spacing w:after="0" w:line="37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 xml:space="preserve">STOCKHOLDERS MAY OBTAIN, WITHOUT CHARGE, A COPY OF THE COMPANY’S ANNUAL REPORT ON FORM 10-K, INCLUDING FINANCIAL STATEMENTS REQUIRED TO BE FILED WITH THE SEC PURSUANT TO THE EXCHANGE ACT, FOR THE YEAR ENDED DECEMBER 31, 2024 BY WRITING TO THE COMPANY, ATTENTION: INVESTOR RELATIONS, 4949 HEDGCOXE ROAD, SUITE 200, PLANO, TEXAS 75024, OR EMAIL THE REQUEST TO </w:t>
      </w:r>
      <w:r>
        <w:rPr>
          <w:rFonts w:ascii="Calibri" w:cs="Calibri" w:eastAsia="Calibri" w:hAnsi="Calibri"/>
          <w:sz w:val="20"/>
          <w:szCs w:val="20"/>
          <w:u w:val="single" w:color="auto"/>
          <w:color w:val="auto"/>
        </w:rPr>
        <w:t>DIODES-FIN@DIODES.COM</w:t>
      </w:r>
      <w:r>
        <w:rPr>
          <w:rFonts w:ascii="Calibri" w:cs="Calibri" w:eastAsia="Calibri" w:hAnsi="Calibri"/>
          <w:sz w:val="20"/>
          <w:szCs w:val="20"/>
          <w:color w:val="auto"/>
        </w:rPr>
        <w:t>. THE INFORMATION IS ALSO AVAILABLE ON THE COMPANY’S WEBSITE AT WWW.DIODES.COM AND THE SEC’S WEBSITE AT WWW.SEC.GOV.</w:t>
      </w:r>
    </w:p>
    <w:p>
      <w:pPr>
        <w:spacing w:after="0" w:line="154" w:lineRule="exact"/>
        <w:rPr>
          <w:sz w:val="20"/>
          <w:szCs w:val="20"/>
          <w:color w:val="auto"/>
        </w:rPr>
      </w:pPr>
    </w:p>
    <w:p>
      <w:pPr>
        <w:ind w:left="1500"/>
        <w:spacing w:after="0"/>
        <w:rPr>
          <w:sz w:val="20"/>
          <w:szCs w:val="20"/>
          <w:color w:val="auto"/>
        </w:rPr>
      </w:pPr>
      <w:r>
        <w:rPr>
          <w:rFonts w:ascii="Calibri" w:cs="Calibri" w:eastAsia="Calibri" w:hAnsi="Calibri"/>
          <w:sz w:val="20"/>
          <w:szCs w:val="20"/>
          <w:color w:val="auto"/>
        </w:rPr>
        <w:t>Dated at Plano, Texas, this 2</w:t>
      </w:r>
      <w:r>
        <w:rPr>
          <w:rFonts w:ascii="Calibri" w:cs="Calibri" w:eastAsia="Calibri" w:hAnsi="Calibri"/>
          <w:sz w:val="26"/>
          <w:szCs w:val="26"/>
          <w:color w:val="auto"/>
          <w:vertAlign w:val="superscript"/>
        </w:rPr>
        <w:t>nd</w:t>
      </w:r>
      <w:r>
        <w:rPr>
          <w:rFonts w:ascii="Calibri" w:cs="Calibri" w:eastAsia="Calibri" w:hAnsi="Calibri"/>
          <w:sz w:val="20"/>
          <w:szCs w:val="20"/>
          <w:color w:val="auto"/>
        </w:rPr>
        <w:t xml:space="preserve"> day of April, 2025.</w:t>
      </w:r>
    </w:p>
    <w:p>
      <w:pPr>
        <w:spacing w:after="0" w:line="109" w:lineRule="exact"/>
        <w:rPr>
          <w:sz w:val="20"/>
          <w:szCs w:val="20"/>
          <w:color w:val="auto"/>
        </w:rPr>
      </w:pPr>
    </w:p>
    <w:p>
      <w:pPr>
        <w:ind w:left="3760"/>
        <w:spacing w:after="0"/>
        <w:rPr>
          <w:sz w:val="20"/>
          <w:szCs w:val="20"/>
          <w:color w:val="auto"/>
        </w:rPr>
      </w:pPr>
      <w:r>
        <w:rPr>
          <w:rFonts w:ascii="Calibri" w:cs="Calibri" w:eastAsia="Calibri" w:hAnsi="Calibri"/>
          <w:sz w:val="20"/>
          <w:szCs w:val="20"/>
          <w:color w:val="auto"/>
        </w:rPr>
        <w:t>By Order of the Board of Directors,</w:t>
      </w:r>
    </w:p>
    <w:p>
      <w:pPr>
        <w:spacing w:after="0" w:line="188" w:lineRule="exact"/>
        <w:rPr>
          <w:sz w:val="20"/>
          <w:szCs w:val="20"/>
          <w:color w:val="auto"/>
        </w:rPr>
      </w:pPr>
    </w:p>
    <w:p>
      <w:pPr>
        <w:ind w:left="3760"/>
        <w:spacing w:after="0"/>
        <w:rPr>
          <w:sz w:val="20"/>
          <w:szCs w:val="20"/>
          <w:color w:val="auto"/>
        </w:rPr>
      </w:pPr>
      <w:r>
        <w:rPr>
          <w:rFonts w:ascii="Calibri" w:cs="Calibri" w:eastAsia="Calibri" w:hAnsi="Calibri"/>
          <w:sz w:val="20"/>
          <w:szCs w:val="20"/>
          <w:color w:val="auto"/>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20955</wp:posOffset>
            </wp:positionV>
            <wp:extent cx="2057400" cy="514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574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760"/>
        <w:spacing w:after="0"/>
        <w:rPr>
          <w:sz w:val="20"/>
          <w:szCs w:val="20"/>
          <w:color w:val="auto"/>
        </w:rPr>
      </w:pPr>
      <w:r>
        <w:rPr>
          <w:rFonts w:ascii="Calibri" w:cs="Calibri" w:eastAsia="Calibri" w:hAnsi="Calibri"/>
          <w:sz w:val="20"/>
          <w:szCs w:val="20"/>
          <w:color w:val="auto"/>
        </w:rPr>
        <w:t>Richard D. White,</w:t>
      </w:r>
    </w:p>
    <w:p>
      <w:pPr>
        <w:ind w:left="3760"/>
        <w:spacing w:after="0" w:line="238" w:lineRule="auto"/>
        <w:rPr>
          <w:sz w:val="20"/>
          <w:szCs w:val="20"/>
          <w:color w:val="auto"/>
        </w:rPr>
      </w:pPr>
      <w:r>
        <w:rPr>
          <w:rFonts w:ascii="Calibri" w:cs="Calibri" w:eastAsia="Calibri" w:hAnsi="Calibri"/>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67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70" w:name="page71"/>
    <w:bookmarkEnd w:id="70"/>
    <w:p>
      <w:pPr>
        <w:jc w:val="right"/>
        <w:ind w:right="3659"/>
        <w:spacing w:after="0"/>
        <w:rPr>
          <w:sz w:val="20"/>
          <w:szCs w:val="20"/>
          <w:color w:val="auto"/>
        </w:rPr>
      </w:pPr>
      <w:r>
        <w:rPr>
          <w:rFonts w:ascii="Calibri" w:cs="Calibri" w:eastAsia="Calibri" w:hAnsi="Calibri"/>
          <w:sz w:val="20"/>
          <w:szCs w:val="20"/>
          <w:b w:val="1"/>
          <w:bCs w:val="1"/>
          <w:color w:val="005CA9"/>
        </w:rPr>
        <w:t>MEETING LOCATION</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www.proxydocs.com/DIOD</w:t>
      </w:r>
    </w:p>
    <w:p>
      <w:pPr>
        <w:spacing w:after="0" w:line="23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68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3"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9806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69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9806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 xml:space="preserve">70 </w:t>
      </w:r>
      <w:r>
        <w:rPr>
          <w:rFonts w:ascii="Calibri" w:cs="Calibri" w:eastAsia="Calibri" w:hAnsi="Calibri"/>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1"/>
    </w:lvl>
  </w:abstractNum>
  <w:abstractNum w:abstractNumId="12">
    <w:nsid w:val="7C3DBD3D"/>
    <w:multiLevelType w:val="hybridMultilevel"/>
    <w:lvl w:ilvl="0">
      <w:lvlJc w:val="left"/>
      <w:lvlText w:val="%1"/>
      <w:numFmt w:val="decimal"/>
      <w:start w:val="1"/>
    </w:lvl>
    <w:lvl w:ilvl="1">
      <w:lvlJc w:val="left"/>
      <w:lvlText w:val="(%2)"/>
      <w:numFmt w:val="decimal"/>
      <w:start w:val="1"/>
    </w:lvl>
  </w:abstractNum>
  <w:abstractNum w:abstractNumId="13">
    <w:nsid w:val="737B8DDC"/>
    <w:multiLevelType w:val="hybridMultilevel"/>
    <w:lvl w:ilvl="0">
      <w:lvlJc w:val="left"/>
      <w:lvlText w:val="(%1)"/>
      <w:numFmt w:val="decimal"/>
      <w:start w:val="3"/>
    </w:lvl>
    <w:lvl w:ilvl="1">
      <w:lvlJc w:val="left"/>
      <w:lvlText w:val="%2"/>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a"/>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2025-04-02T05:28:05Z</dcterms:created>
  <dcterms:modified xsi:type="dcterms:W3CDTF">2025-04-02T05:28:05Z</dcterms:modified>
</cp:coreProperties>
</file>