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16" w:lineRule="exact"/>
        <w:rPr>
          <w:sz w:val="24"/>
          <w:szCs w:val="24"/>
          <w:color w:val="auto"/>
        </w:rPr>
      </w:pPr>
    </w:p>
    <w:p>
      <w:pPr>
        <w:ind w:left="4500"/>
        <w:spacing w:after="0"/>
        <w:rPr>
          <w:sz w:val="20"/>
          <w:szCs w:val="20"/>
          <w:color w:val="auto"/>
        </w:rPr>
      </w:pPr>
      <w:r>
        <w:rPr>
          <w:rFonts w:ascii="Arial" w:cs="Arial" w:eastAsia="Arial" w:hAnsi="Arial"/>
          <w:sz w:val="20"/>
          <w:szCs w:val="20"/>
          <w:b w:val="1"/>
          <w:bCs w:val="1"/>
          <w:color w:val="auto"/>
        </w:rPr>
        <w:t>Washington, D.C. 20549</w:t>
      </w:r>
    </w:p>
    <w:p>
      <w:pPr>
        <w:spacing w:after="0" w:line="77" w:lineRule="exact"/>
        <w:rPr>
          <w:sz w:val="24"/>
          <w:szCs w:val="24"/>
          <w:color w:val="auto"/>
        </w:rPr>
      </w:pPr>
    </w:p>
    <w:p>
      <w:pPr>
        <w:jc w:val="center"/>
        <w:ind w:right="-1020"/>
        <w:spacing w:after="0"/>
        <w:rPr>
          <w:sz w:val="20"/>
          <w:szCs w:val="20"/>
          <w:color w:val="auto"/>
        </w:rPr>
      </w:pPr>
      <w:r>
        <w:rPr>
          <w:rFonts w:ascii="Arial" w:cs="Arial" w:eastAsia="Arial" w:hAnsi="Arial"/>
          <w:sz w:val="29"/>
          <w:szCs w:val="29"/>
          <w:b w:val="1"/>
          <w:bCs w:val="1"/>
          <w:color w:val="auto"/>
        </w:rPr>
        <w:t>SCHEDULE 14A</w:t>
      </w:r>
    </w:p>
    <w:p>
      <w:pPr>
        <w:spacing w:after="0" w:line="123" w:lineRule="exact"/>
        <w:rPr>
          <w:sz w:val="24"/>
          <w:szCs w:val="24"/>
          <w:color w:val="auto"/>
        </w:rPr>
      </w:pPr>
    </w:p>
    <w:p>
      <w:pPr>
        <w:jc w:val="center"/>
        <w:ind w:right="-106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060"/>
        <w:spacing w:after="0" w:line="231" w:lineRule="auto"/>
        <w:rPr>
          <w:sz w:val="20"/>
          <w:szCs w:val="20"/>
          <w:color w:val="auto"/>
        </w:rPr>
      </w:pPr>
      <w:r>
        <w:rPr>
          <w:rFonts w:ascii="Arial" w:cs="Arial" w:eastAsia="Arial" w:hAnsi="Arial"/>
          <w:sz w:val="20"/>
          <w:szCs w:val="20"/>
          <w:b w:val="1"/>
          <w:bCs w:val="1"/>
          <w:color w:val="auto"/>
        </w:rPr>
        <w:t>Securities Exchange Act of 1934</w:t>
      </w:r>
    </w:p>
    <w:p>
      <w:pPr>
        <w:spacing w:after="0" w:line="1" w:lineRule="exact"/>
        <w:rPr>
          <w:sz w:val="24"/>
          <w:szCs w:val="24"/>
          <w:color w:val="auto"/>
        </w:rPr>
      </w:pPr>
    </w:p>
    <w:p>
      <w:pPr>
        <w:jc w:val="center"/>
        <w:ind w:right="-1120"/>
        <w:spacing w:after="0"/>
        <w:tabs>
          <w:tab w:leader="none" w:pos="300" w:val="left"/>
        </w:tabs>
        <w:rPr>
          <w:sz w:val="20"/>
          <w:szCs w:val="20"/>
          <w:color w:val="auto"/>
        </w:rPr>
      </w:pPr>
      <w:r>
        <w:rPr>
          <w:rFonts w:ascii="Arial" w:cs="Arial" w:eastAsia="Arial" w:hAnsi="Arial"/>
          <w:sz w:val="20"/>
          <w:szCs w:val="20"/>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spacing w:after="0" w:line="196" w:lineRule="exact"/>
        <w:tabs>
          <w:tab w:leader="none" w:pos="35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3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63"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6"/>
          <w:szCs w:val="16"/>
          <w:color w:val="auto"/>
        </w:rPr>
        <w:t>Definitive Proxy Statement</w:t>
      </w:r>
    </w:p>
    <w:p>
      <w:pPr>
        <w:spacing w:after="0" w:line="139" w:lineRule="exact"/>
        <w:rPr>
          <w:rFonts w:ascii="MS PGothic" w:cs="MS PGothic" w:eastAsia="MS PGothic" w:hAnsi="MS PGothic"/>
          <w:sz w:val="17"/>
          <w:szCs w:val="17"/>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92" w:lineRule="exact"/>
        <w:rPr>
          <w:sz w:val="24"/>
          <w:szCs w:val="24"/>
          <w:color w:val="auto"/>
        </w:rPr>
      </w:pPr>
    </w:p>
    <w:p>
      <w:pPr>
        <w:jc w:val="center"/>
        <w:ind w:right="-1100"/>
        <w:spacing w:after="0"/>
        <w:rPr>
          <w:sz w:val="20"/>
          <w:szCs w:val="20"/>
          <w:color w:val="auto"/>
        </w:rPr>
      </w:pPr>
      <w:r>
        <w:rPr>
          <w:rFonts w:ascii="Arial" w:cs="Arial" w:eastAsia="Arial" w:hAnsi="Arial"/>
          <w:sz w:val="40"/>
          <w:szCs w:val="40"/>
          <w:color w:val="auto"/>
        </w:rPr>
        <w:t>DIODES INCORPORATED</w:t>
      </w:r>
    </w:p>
    <w:p>
      <w:pPr>
        <w:spacing w:after="0" w:line="25" w:lineRule="exact"/>
        <w:rPr>
          <w:sz w:val="24"/>
          <w:szCs w:val="24"/>
          <w:color w:val="auto"/>
        </w:rPr>
      </w:pPr>
    </w:p>
    <w:p>
      <w:pPr>
        <w:jc w:val="center"/>
        <w:ind w:right="-1060"/>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98"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all appropriate boxes that apply):</w:t>
      </w:r>
    </w:p>
    <w:p>
      <w:pPr>
        <w:spacing w:after="0" w:line="7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3"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7" w:lineRule="exact"/>
        <w:rPr>
          <w:rFonts w:ascii="MS PGothic" w:cs="MS PGothic" w:eastAsia="MS PGothic" w:hAnsi="MS PGothic"/>
          <w:sz w:val="17"/>
          <w:szCs w:val="17"/>
          <w:color w:val="auto"/>
        </w:rPr>
      </w:pPr>
    </w:p>
    <w:p>
      <w:pPr>
        <w:ind w:left="680" w:hanging="672"/>
        <w:spacing w:after="0"/>
        <w:tabs>
          <w:tab w:leader="none" w:pos="6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2" w:right="1440" w:bottom="1440" w:gutter="0" w:footer="0" w:header="0"/>
        </w:sectPr>
      </w:pPr>
    </w:p>
    <w:bookmarkStart w:id="1" w:name="page2"/>
    <w:bookmarkEnd w:id="1"/>
    <w:p>
      <w:pPr>
        <w:jc w:val="center"/>
        <w:ind w:right="60"/>
        <w:spacing w:after="0"/>
        <w:rPr>
          <w:sz w:val="20"/>
          <w:szCs w:val="20"/>
          <w:color w:val="auto"/>
        </w:rPr>
      </w:pPr>
      <w:r>
        <w:rPr>
          <w:rFonts w:ascii="Arial" w:cs="Arial" w:eastAsia="Arial" w:hAnsi="Arial"/>
          <w:sz w:val="25"/>
          <w:szCs w:val="25"/>
          <w:b w:val="1"/>
          <w:bCs w:val="1"/>
          <w:color w:val="auto"/>
        </w:rPr>
        <w:t>DIODES INCORPORATED</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Notice of Annual Meeting of Stockholders</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To Be Held May 11, 2026</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Notice is hereby given that the annual meeting (the “Meeting”) of the stockholders of Diodes Incorporated (the “Company”) will be held online via live audio webcast at www.proxydocs.com/DIOD on Monday, May 11, 2026, at 6:30 p.m. (Central Time). The Meeting will be conducted completely virtually, via a live audio webcast; there will be no physical meeting location. Even though our Meeting is being held virtually, stockholders will still have the ability to participate in and hear others during the Meeting. Questions should be submitted when registering to attend the Meeting. The Meeting is being held for the following purposes:</w:t>
      </w:r>
    </w:p>
    <w:p>
      <w:pPr>
        <w:spacing w:after="0" w:line="58" w:lineRule="exact"/>
        <w:rPr>
          <w:sz w:val="20"/>
          <w:szCs w:val="20"/>
          <w:color w:val="auto"/>
        </w:rPr>
      </w:pPr>
    </w:p>
    <w:p>
      <w:pPr>
        <w:jc w:val="both"/>
        <w:ind w:left="1020" w:hanging="503"/>
        <w:spacing w:after="0" w:line="258" w:lineRule="auto"/>
        <w:tabs>
          <w:tab w:leader="none" w:pos="1020" w:val="left"/>
        </w:tabs>
        <w:numPr>
          <w:ilvl w:val="0"/>
          <w:numId w:val="4"/>
        </w:numPr>
        <w:rPr>
          <w:rFonts w:ascii="Calibri" w:cs="Calibri" w:eastAsia="Calibri" w:hAnsi="Calibri"/>
          <w:sz w:val="16"/>
          <w:szCs w:val="16"/>
          <w:b w:val="1"/>
          <w:bCs w:val="1"/>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To elect seven persons to the Board of Directors of the Company, each to serve until the next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and until their respective successors have been elected and qualified. The Board of Directors’ nominees are: Elizabeth Bull, Angie Chen Button, Warren Chen, Keh-Shew Lu, Philip J. Ritter, Huey-Jen (Jenny) Su, and Gary Yu.</w:t>
      </w:r>
    </w:p>
    <w:p>
      <w:pPr>
        <w:spacing w:after="0" w:line="69" w:lineRule="exact"/>
        <w:rPr>
          <w:rFonts w:ascii="Calibri" w:cs="Calibri" w:eastAsia="Calibri" w:hAnsi="Calibri"/>
          <w:sz w:val="16"/>
          <w:szCs w:val="16"/>
          <w:b w:val="1"/>
          <w:bCs w:val="1"/>
          <w:color w:val="auto"/>
        </w:rPr>
      </w:pPr>
    </w:p>
    <w:p>
      <w:pPr>
        <w:ind w:left="1020" w:hanging="503"/>
        <w:spacing w:after="0"/>
        <w:tabs>
          <w:tab w:leader="none" w:pos="1020" w:val="left"/>
        </w:tabs>
        <w:numPr>
          <w:ilvl w:val="0"/>
          <w:numId w:val="4"/>
        </w:numPr>
        <w:rPr>
          <w:rFonts w:ascii="Calibri" w:cs="Calibri" w:eastAsia="Calibri" w:hAnsi="Calibri"/>
          <w:sz w:val="16"/>
          <w:szCs w:val="16"/>
          <w:b w:val="1"/>
          <w:bCs w:val="1"/>
          <w:color w:val="auto"/>
        </w:rPr>
      </w:pPr>
      <w:r>
        <w:rPr>
          <w:rFonts w:ascii="Arial" w:cs="Arial" w:eastAsia="Arial" w:hAnsi="Arial"/>
          <w:sz w:val="16"/>
          <w:szCs w:val="16"/>
          <w:b w:val="1"/>
          <w:bCs w:val="1"/>
          <w:color w:val="auto"/>
        </w:rPr>
        <w:t xml:space="preserve">Approval of Executive Compensation. </w:t>
      </w:r>
      <w:r>
        <w:rPr>
          <w:rFonts w:ascii="Arial" w:cs="Arial" w:eastAsia="Arial" w:hAnsi="Arial"/>
          <w:sz w:val="16"/>
          <w:szCs w:val="16"/>
          <w:color w:val="auto"/>
        </w:rPr>
        <w:t>To approve, on an advisory basis, the Company’s executive compensation.</w:t>
      </w:r>
    </w:p>
    <w:p>
      <w:pPr>
        <w:spacing w:after="0" w:line="128" w:lineRule="exact"/>
        <w:rPr>
          <w:rFonts w:ascii="Calibri" w:cs="Calibri" w:eastAsia="Calibri" w:hAnsi="Calibri"/>
          <w:sz w:val="16"/>
          <w:szCs w:val="16"/>
          <w:b w:val="1"/>
          <w:bCs w:val="1"/>
          <w:color w:val="auto"/>
        </w:rPr>
      </w:pPr>
    </w:p>
    <w:p>
      <w:pPr>
        <w:ind w:left="1020" w:right="20" w:hanging="503"/>
        <w:spacing w:after="0" w:line="271" w:lineRule="auto"/>
        <w:tabs>
          <w:tab w:leader="none" w:pos="1020" w:val="left"/>
        </w:tabs>
        <w:numPr>
          <w:ilvl w:val="0"/>
          <w:numId w:val="4"/>
        </w:numPr>
        <w:rPr>
          <w:rFonts w:ascii="Calibri" w:cs="Calibri" w:eastAsia="Calibri" w:hAnsi="Calibri"/>
          <w:sz w:val="16"/>
          <w:szCs w:val="16"/>
          <w:b w:val="1"/>
          <w:bCs w:val="1"/>
          <w:color w:val="auto"/>
        </w:rPr>
      </w:pPr>
      <w:r>
        <w:rPr>
          <w:rFonts w:ascii="Arial" w:cs="Arial" w:eastAsia="Arial" w:hAnsi="Arial"/>
          <w:sz w:val="16"/>
          <w:szCs w:val="16"/>
          <w:b w:val="1"/>
          <w:bCs w:val="1"/>
          <w:color w:val="auto"/>
        </w:rPr>
        <w:t xml:space="preserve">Ratification of Appointment of Independent Registered Public Accounting Firm. </w:t>
      </w:r>
      <w:r>
        <w:rPr>
          <w:rFonts w:ascii="Arial" w:cs="Arial" w:eastAsia="Arial" w:hAnsi="Arial"/>
          <w:sz w:val="16"/>
          <w:szCs w:val="16"/>
          <w:color w:val="auto"/>
        </w:rPr>
        <w:t>To ratify the appointment of PricewaterhouseCoopers</w:t>
      </w:r>
      <w:r>
        <w:rPr>
          <w:rFonts w:ascii="Arial" w:cs="Arial" w:eastAsia="Arial" w:hAnsi="Arial"/>
          <w:sz w:val="16"/>
          <w:szCs w:val="16"/>
          <w:b w:val="1"/>
          <w:bCs w:val="1"/>
          <w:color w:val="auto"/>
        </w:rPr>
        <w:t xml:space="preserve"> </w:t>
      </w:r>
      <w:r>
        <w:rPr>
          <w:rFonts w:ascii="Arial" w:cs="Arial" w:eastAsia="Arial" w:hAnsi="Arial"/>
          <w:sz w:val="16"/>
          <w:szCs w:val="16"/>
          <w:color w:val="auto"/>
        </w:rPr>
        <w:t>LLP as the Company’s independent registered public accounting firm for the fiscal year ending December 31, 2026.</w:t>
      </w:r>
    </w:p>
    <w:p>
      <w:pPr>
        <w:spacing w:after="0" w:line="57" w:lineRule="exact"/>
        <w:rPr>
          <w:rFonts w:ascii="Calibri" w:cs="Calibri" w:eastAsia="Calibri" w:hAnsi="Calibri"/>
          <w:sz w:val="16"/>
          <w:szCs w:val="16"/>
          <w:b w:val="1"/>
          <w:bCs w:val="1"/>
          <w:color w:val="auto"/>
        </w:rPr>
      </w:pPr>
    </w:p>
    <w:p>
      <w:pPr>
        <w:ind w:left="1020" w:hanging="503"/>
        <w:spacing w:after="0"/>
        <w:tabs>
          <w:tab w:leader="none" w:pos="1020" w:val="left"/>
        </w:tabs>
        <w:numPr>
          <w:ilvl w:val="0"/>
          <w:numId w:val="4"/>
        </w:numPr>
        <w:rPr>
          <w:rFonts w:ascii="Calibri" w:cs="Calibri" w:eastAsia="Calibri" w:hAnsi="Calibri"/>
          <w:sz w:val="16"/>
          <w:szCs w:val="16"/>
          <w:b w:val="1"/>
          <w:bCs w:val="1"/>
          <w:color w:val="auto"/>
        </w:rPr>
      </w:pPr>
      <w:r>
        <w:rPr>
          <w:rFonts w:ascii="Arial" w:cs="Arial" w:eastAsia="Arial" w:hAnsi="Arial"/>
          <w:sz w:val="16"/>
          <w:szCs w:val="16"/>
          <w:b w:val="1"/>
          <w:bCs w:val="1"/>
          <w:color w:val="auto"/>
        </w:rPr>
        <w:t xml:space="preserve">Other Business. </w:t>
      </w:r>
      <w:r>
        <w:rPr>
          <w:rFonts w:ascii="Arial" w:cs="Arial" w:eastAsia="Arial" w:hAnsi="Arial"/>
          <w:sz w:val="16"/>
          <w:szCs w:val="16"/>
          <w:color w:val="auto"/>
        </w:rPr>
        <w:t>To transact such other business as properly may come before the Meeting or any adjournment or postponement thereof.</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It is possible that an adjournment or postponement may be necessary that makes us unable to hold the Meeting on the date as planned. If such an adjournment or postponement is made, the Company will notify stockholders through the issuance of a press release and the filing of definitive additional soliciting material with the Securities and Exchange Commission.</w:t>
      </w:r>
    </w:p>
    <w:p>
      <w:pPr>
        <w:spacing w:after="0" w:line="6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Only persons who were stockholders of record at the close of business on March 12, 2026 are entitled to notice of and to vote either by proxy or at the Meeting or any adjournment or postponement thereof.</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proxy statement, which accompanies this Notice, contains additional information regarding the proposals to be considered at the Meeting, and stockholders are encouraged to read it in its entirety.</w:t>
      </w: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has elected to provide access to our proxy materials by notifying you of the availability of our proxy statement and our fiscal 2025 Annual Report to Stockholders over the Internet at www.proxydocs.com/DIOD. Stockholders may also obtain a printed copy of the proxy materials free of charge by following the instructions provided in the Notice of Internet Availability of Proxy Materials that will be first mailed to stockholders on or about April 1, 2026 or in the enclosed proxy statement.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set forth in the enclosed proxy statement, proxies are being solicited by and on behalf of the Board of Directors of the Company. All proposals set forth above are proposals of the Board of Directors.</w:t>
      </w:r>
    </w:p>
    <w:p>
      <w:pPr>
        <w:spacing w:after="0" w:line="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Whether or not you plan to participate in the virtual Meeting, YOUR VOTE IS IMPORTANT. Please follow the instructions enclosed to ensure that your shares are voted. If you participate in the Meeting, you may revoke your proxy at any time prior to its exercise at the Meeting.</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Dated at Plano, Texas, this 1st day of April, 2026.</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By Order of the Board of Directors,</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106680</wp:posOffset>
            </wp:positionV>
            <wp:extent cx="190309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Richard D. White,</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Corporate Secretary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IF YOU PLAN TO ATTEND THE MEETING</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If you plan to attend the Meeting online you must be registered no later than 5:00 p.m. Central Time on May 10, 2026. To register go to www.proxydocs.com/DIOD. Upon completing your registration, you will receive further instructions via email, including your unique links that will allow you access to the Meeting and will also permit you to submit questions in advance of the Meeting. Please be sure to follow instructions found on your proxy card and subsequent instructions that will be delivered to you via email. You will be able to listen, vote, and submit questions from any remote location that has Internet connectivity. Technical assistance is available as part of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7"/>
          </w:tcPr>
          <w:p>
            <w:pPr>
              <w:ind w:left="40"/>
              <w:spacing w:after="0"/>
              <w:rPr>
                <w:sz w:val="20"/>
                <w:szCs w:val="20"/>
                <w:color w:val="auto"/>
              </w:rPr>
            </w:pPr>
            <w:r>
              <w:rPr>
                <w:rFonts w:ascii="Arial" w:cs="Arial" w:eastAsia="Arial" w:hAnsi="Arial"/>
                <w:sz w:val="16"/>
                <w:szCs w:val="16"/>
                <w:b w:val="1"/>
                <w:bCs w:val="1"/>
                <w:color w:val="auto"/>
              </w:rPr>
              <w:t>TABLE OF CONTENTS</w:t>
            </w:r>
          </w:p>
        </w:tc>
        <w:tc>
          <w:tcPr>
            <w:tcW w:w="4120" w:type="dxa"/>
            <w:vAlign w:val="bottom"/>
          </w:tcPr>
          <w:p>
            <w:pPr>
              <w:spacing w:after="0"/>
              <w:rPr>
                <w:sz w:val="18"/>
                <w:szCs w:val="18"/>
                <w:color w:val="auto"/>
              </w:rPr>
            </w:pPr>
          </w:p>
        </w:tc>
      </w:tr>
      <w:tr>
        <w:trPr>
          <w:trHeight w:val="162"/>
        </w:trPr>
        <w:tc>
          <w:tcPr>
            <w:tcW w:w="6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120" w:type="dxa"/>
            <w:vAlign w:val="bottom"/>
            <w:shd w:val="clear" w:color="auto" w:fill="CFF0FC"/>
          </w:tcPr>
          <w:p>
            <w:pPr>
              <w:ind w:left="3400"/>
              <w:spacing w:after="0" w:line="162" w:lineRule="exact"/>
              <w:rPr>
                <w:sz w:val="20"/>
                <w:szCs w:val="20"/>
                <w:color w:val="auto"/>
              </w:rPr>
            </w:pPr>
            <w:r>
              <w:rPr>
                <w:rFonts w:ascii="Arial" w:cs="Arial" w:eastAsia="Arial" w:hAnsi="Arial"/>
                <w:sz w:val="15"/>
                <w:szCs w:val="15"/>
                <w:b w:val="1"/>
                <w:bCs w:val="1"/>
                <w:color w:val="auto"/>
              </w:rPr>
              <w:t>Page</w:t>
            </w:r>
          </w:p>
        </w:tc>
      </w:tr>
      <w:tr>
        <w:trPr>
          <w:trHeight w:val="169"/>
        </w:trPr>
        <w:tc>
          <w:tcPr>
            <w:tcW w:w="1440" w:type="dxa"/>
            <w:vAlign w:val="bottom"/>
            <w:tcBorders>
              <w:bottom w:val="single" w:sz="8" w:color="0000FF"/>
            </w:tcBorders>
            <w:gridSpan w:val="3"/>
          </w:tcPr>
          <w:p>
            <w:pPr>
              <w:spacing w:after="0" w:line="162" w:lineRule="exact"/>
              <w:rPr>
                <w:sz w:val="20"/>
                <w:szCs w:val="20"/>
                <w:color w:val="auto"/>
              </w:rPr>
            </w:pPr>
            <w:r>
              <w:rPr>
                <w:rFonts w:ascii="Arial" w:cs="Arial" w:eastAsia="Arial" w:hAnsi="Arial"/>
                <w:sz w:val="16"/>
                <w:szCs w:val="16"/>
                <w:color w:val="0000FF"/>
              </w:rPr>
              <w:t>General Information</w:t>
            </w:r>
          </w:p>
        </w:tc>
        <w:tc>
          <w:tcPr>
            <w:tcW w:w="5680" w:type="dxa"/>
            <w:vAlign w:val="bottom"/>
            <w:gridSpan w:val="35"/>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900" w:type="dxa"/>
            <w:vAlign w:val="bottom"/>
            <w:tcBorders>
              <w:bottom w:val="single" w:sz="8" w:color="0000FF"/>
            </w:tcBorders>
            <w:gridSpan w:val="24"/>
            <w:shd w:val="clear" w:color="auto" w:fill="CFF0FC"/>
          </w:tcPr>
          <w:p>
            <w:pPr>
              <w:spacing w:after="0" w:line="162" w:lineRule="exact"/>
              <w:rPr>
                <w:sz w:val="20"/>
                <w:szCs w:val="20"/>
                <w:color w:val="auto"/>
              </w:rPr>
            </w:pPr>
            <w:r>
              <w:rPr>
                <w:rFonts w:ascii="Arial" w:cs="Arial" w:eastAsia="Arial" w:hAnsi="Arial"/>
                <w:sz w:val="16"/>
                <w:szCs w:val="16"/>
                <w:color w:val="0000FF"/>
              </w:rPr>
              <w:t>Matters to be Considered at the Meeting</w:t>
            </w:r>
          </w:p>
        </w:tc>
        <w:tc>
          <w:tcPr>
            <w:tcW w:w="3540" w:type="dxa"/>
            <w:vAlign w:val="bottom"/>
            <w:tcBorders>
              <w:bottom w:val="single" w:sz="8" w:color="CFF0FC"/>
            </w:tcBorders>
            <w:gridSpan w:val="13"/>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w:t>
            </w:r>
          </w:p>
        </w:tc>
      </w:tr>
      <w:tr>
        <w:trPr>
          <w:trHeight w:val="169"/>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Voting Recommendations of the Board</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680" w:type="dxa"/>
            <w:vAlign w:val="bottom"/>
            <w:tcBorders>
              <w:top w:val="single" w:sz="8" w:color="0000FF"/>
              <w:bottom w:val="single" w:sz="8" w:color="0000FF"/>
              <w:right w:val="single" w:sz="8" w:color="CFF0FC"/>
            </w:tcBorders>
            <w:gridSpan w:val="19"/>
            <w:shd w:val="clear" w:color="auto" w:fill="CFF0FC"/>
          </w:tcPr>
          <w:p>
            <w:pPr>
              <w:spacing w:after="0" w:line="162" w:lineRule="exact"/>
              <w:rPr>
                <w:sz w:val="20"/>
                <w:szCs w:val="20"/>
                <w:color w:val="auto"/>
              </w:rPr>
            </w:pPr>
            <w:r>
              <w:rPr>
                <w:rFonts w:ascii="Arial" w:cs="Arial" w:eastAsia="Arial" w:hAnsi="Arial"/>
                <w:sz w:val="16"/>
                <w:szCs w:val="16"/>
                <w:color w:val="0000FF"/>
              </w:rPr>
              <w:t>Voting Shares Held in “Street Name”</w:t>
            </w:r>
          </w:p>
        </w:tc>
        <w:tc>
          <w:tcPr>
            <w:tcW w:w="100" w:type="dxa"/>
            <w:vAlign w:val="bottom"/>
            <w:tcBorders>
              <w:top w:val="single" w:sz="8" w:color="0000FF"/>
              <w:bottom w:val="single" w:sz="8" w:color="CFF0FC"/>
            </w:tcBorders>
            <w:gridSpan w:val="2"/>
            <w:shd w:val="clear" w:color="auto" w:fill="CFF0FC"/>
          </w:tcPr>
          <w:p>
            <w:pPr>
              <w:spacing w:after="0"/>
              <w:rPr>
                <w:sz w:val="14"/>
                <w:szCs w:val="14"/>
                <w:color w:val="auto"/>
              </w:rPr>
            </w:pPr>
          </w:p>
        </w:tc>
        <w:tc>
          <w:tcPr>
            <w:tcW w:w="3660" w:type="dxa"/>
            <w:vAlign w:val="bottom"/>
            <w:tcBorders>
              <w:bottom w:val="single" w:sz="8" w:color="CFF0FC"/>
            </w:tcBorders>
            <w:gridSpan w:val="16"/>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w:t>
            </w:r>
          </w:p>
        </w:tc>
      </w:tr>
      <w:tr>
        <w:trPr>
          <w:trHeight w:val="169"/>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Internet Access to Proxy Materials</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w:t>
            </w:r>
          </w:p>
        </w:tc>
      </w:tr>
      <w:tr>
        <w:trPr>
          <w:trHeight w:val="162"/>
        </w:trPr>
        <w:tc>
          <w:tcPr>
            <w:tcW w:w="680" w:type="dxa"/>
            <w:vAlign w:val="bottom"/>
            <w:shd w:val="clear" w:color="auto" w:fill="CFF0FC"/>
          </w:tcPr>
          <w:p>
            <w:pPr>
              <w:spacing w:after="0"/>
              <w:rPr>
                <w:sz w:val="14"/>
                <w:szCs w:val="14"/>
                <w:color w:val="auto"/>
              </w:rPr>
            </w:pPr>
          </w:p>
        </w:tc>
        <w:tc>
          <w:tcPr>
            <w:tcW w:w="2460" w:type="dxa"/>
            <w:vAlign w:val="bottom"/>
            <w:tcBorders>
              <w:top w:val="single" w:sz="8" w:color="0000FF"/>
            </w:tcBorders>
            <w:gridSpan w:val="18"/>
            <w:shd w:val="clear" w:color="auto" w:fill="CFF0FC"/>
          </w:tcPr>
          <w:p>
            <w:pPr>
              <w:spacing w:after="0" w:line="162" w:lineRule="exact"/>
              <w:rPr>
                <w:sz w:val="20"/>
                <w:szCs w:val="20"/>
                <w:color w:val="auto"/>
              </w:rPr>
            </w:pPr>
            <w:r>
              <w:rPr>
                <w:rFonts w:ascii="Arial" w:cs="Arial" w:eastAsia="Arial" w:hAnsi="Arial"/>
                <w:sz w:val="16"/>
                <w:szCs w:val="16"/>
                <w:color w:val="0000FF"/>
              </w:rPr>
              <w:t>How to Vote</w:t>
            </w:r>
          </w:p>
        </w:tc>
        <w:tc>
          <w:tcPr>
            <w:tcW w:w="3980" w:type="dxa"/>
            <w:vAlign w:val="bottom"/>
            <w:gridSpan w:val="19"/>
            <w:shd w:val="clear" w:color="auto" w:fill="CFF0FC"/>
          </w:tcPr>
          <w:p>
            <w:pPr>
              <w:spacing w:after="0"/>
              <w:rPr>
                <w:sz w:val="14"/>
                <w:szCs w:val="14"/>
                <w:color w:val="auto"/>
              </w:rPr>
            </w:pP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2</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0" w:type="dxa"/>
            <w:vAlign w:val="bottom"/>
            <w:tcBorders>
              <w:right w:val="single" w:sz="8" w:color="CFF0FC"/>
            </w:tcBorders>
            <w:shd w:val="clear" w:color="auto" w:fill="CFF0FC"/>
          </w:tcPr>
          <w:p>
            <w:pPr>
              <w:spacing w:after="0"/>
              <w:rPr>
                <w:sz w:val="2"/>
                <w:szCs w:val="2"/>
                <w:color w:val="auto"/>
              </w:rPr>
            </w:pPr>
          </w:p>
        </w:tc>
        <w:tc>
          <w:tcPr>
            <w:tcW w:w="60" w:type="dxa"/>
            <w:vAlign w:val="bottom"/>
            <w:tcBorders>
              <w:righ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3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9"/>
        </w:trPr>
        <w:tc>
          <w:tcPr>
            <w:tcW w:w="680" w:type="dxa"/>
            <w:vAlign w:val="bottom"/>
          </w:tcPr>
          <w:p>
            <w:pPr>
              <w:spacing w:after="0"/>
              <w:rPr>
                <w:sz w:val="14"/>
                <w:szCs w:val="14"/>
                <w:color w:val="auto"/>
              </w:rPr>
            </w:pPr>
          </w:p>
        </w:tc>
        <w:tc>
          <w:tcPr>
            <w:tcW w:w="2680" w:type="dxa"/>
            <w:vAlign w:val="bottom"/>
            <w:tcBorders>
              <w:bottom w:val="single" w:sz="8" w:color="0000FF"/>
            </w:tcBorders>
            <w:gridSpan w:val="19"/>
          </w:tcPr>
          <w:p>
            <w:pPr>
              <w:spacing w:after="0" w:line="162" w:lineRule="exact"/>
              <w:rPr>
                <w:sz w:val="20"/>
                <w:szCs w:val="20"/>
                <w:color w:val="auto"/>
              </w:rPr>
            </w:pPr>
            <w:r>
              <w:rPr>
                <w:rFonts w:ascii="Arial" w:cs="Arial" w:eastAsia="Arial" w:hAnsi="Arial"/>
                <w:sz w:val="16"/>
                <w:szCs w:val="16"/>
                <w:color w:val="0000FF"/>
              </w:rPr>
              <w:t>How to Change or Revoke Your Vote</w:t>
            </w:r>
          </w:p>
        </w:tc>
        <w:tc>
          <w:tcPr>
            <w:tcW w:w="3760" w:type="dxa"/>
            <w:vAlign w:val="bottom"/>
            <w:gridSpan w:val="18"/>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3</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0000FF"/>
              <w:right w:val="single" w:sz="8" w:color="CFF0FC"/>
            </w:tcBorders>
            <w:gridSpan w:val="8"/>
            <w:shd w:val="clear" w:color="auto" w:fill="CFF0FC"/>
          </w:tcPr>
          <w:p>
            <w:pPr>
              <w:spacing w:after="0" w:line="162" w:lineRule="exact"/>
              <w:rPr>
                <w:sz w:val="20"/>
                <w:szCs w:val="20"/>
                <w:color w:val="auto"/>
              </w:rPr>
            </w:pPr>
            <w:r>
              <w:rPr>
                <w:rFonts w:ascii="Arial" w:cs="Arial" w:eastAsia="Arial" w:hAnsi="Arial"/>
                <w:sz w:val="16"/>
                <w:szCs w:val="16"/>
                <w:color w:val="0000FF"/>
              </w:rPr>
              <w:t>Meeting Admission</w:t>
            </w:r>
          </w:p>
        </w:tc>
        <w:tc>
          <w:tcPr>
            <w:tcW w:w="4960" w:type="dxa"/>
            <w:vAlign w:val="bottom"/>
            <w:tcBorders>
              <w:bottom w:val="single" w:sz="8" w:color="CFF0FC"/>
            </w:tcBorders>
            <w:gridSpan w:val="29"/>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3</w:t>
            </w:r>
          </w:p>
        </w:tc>
      </w:tr>
      <w:tr>
        <w:trPr>
          <w:trHeight w:val="162"/>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Voting Rights</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3</w:t>
            </w:r>
          </w:p>
        </w:tc>
      </w:tr>
      <w:tr>
        <w:trPr>
          <w:trHeight w:val="27"/>
        </w:trPr>
        <w:tc>
          <w:tcPr>
            <w:tcW w:w="6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4000" w:type="dxa"/>
            <w:vAlign w:val="bottom"/>
            <w:tcBorders>
              <w:bottom w:val="single" w:sz="8" w:color="0000FF"/>
            </w:tcBorders>
            <w:gridSpan w:val="29"/>
            <w:shd w:val="clear" w:color="auto" w:fill="CFF0FC"/>
          </w:tcPr>
          <w:p>
            <w:pPr>
              <w:spacing w:after="0" w:line="162" w:lineRule="exact"/>
              <w:rPr>
                <w:sz w:val="20"/>
                <w:szCs w:val="20"/>
                <w:color w:val="auto"/>
              </w:rPr>
            </w:pPr>
            <w:r>
              <w:rPr>
                <w:rFonts w:ascii="Arial" w:cs="Arial" w:eastAsia="Arial" w:hAnsi="Arial"/>
                <w:sz w:val="16"/>
                <w:szCs w:val="16"/>
                <w:color w:val="0000FF"/>
              </w:rPr>
              <w:t>Procedures for Stockholder Nominations and Proposals</w:t>
            </w:r>
          </w:p>
        </w:tc>
        <w:tc>
          <w:tcPr>
            <w:tcW w:w="2440" w:type="dxa"/>
            <w:vAlign w:val="bottom"/>
            <w:tcBorders>
              <w:bottom w:val="single" w:sz="8" w:color="CFF0FC"/>
            </w:tcBorders>
            <w:gridSpan w:val="8"/>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5</w:t>
            </w:r>
          </w:p>
        </w:tc>
      </w:tr>
      <w:tr>
        <w:trPr>
          <w:trHeight w:val="169"/>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Cost of Proxy Solicitation</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5</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top w:val="single" w:sz="8" w:color="0000FF"/>
              <w:bottom w:val="single" w:sz="8" w:color="0000FF"/>
            </w:tcBorders>
            <w:gridSpan w:val="7"/>
            <w:shd w:val="clear" w:color="auto" w:fill="CFF0FC"/>
          </w:tcPr>
          <w:p>
            <w:pPr>
              <w:spacing w:after="0" w:line="162" w:lineRule="exact"/>
              <w:rPr>
                <w:sz w:val="20"/>
                <w:szCs w:val="20"/>
                <w:color w:val="auto"/>
              </w:rPr>
            </w:pPr>
            <w:r>
              <w:rPr>
                <w:rFonts w:ascii="Arial" w:cs="Arial" w:eastAsia="Arial" w:hAnsi="Arial"/>
                <w:sz w:val="16"/>
                <w:szCs w:val="16"/>
                <w:color w:val="0000FF"/>
              </w:rPr>
              <w:t>Other Business</w:t>
            </w:r>
          </w:p>
        </w:tc>
        <w:tc>
          <w:tcPr>
            <w:tcW w:w="680" w:type="dxa"/>
            <w:vAlign w:val="bottom"/>
            <w:tcBorders>
              <w:top w:val="single" w:sz="8" w:color="0000FF"/>
              <w:bottom w:val="single" w:sz="8" w:color="CFF0FC"/>
            </w:tcBorders>
            <w:gridSpan w:val="3"/>
            <w:shd w:val="clear" w:color="auto" w:fill="CFF0FC"/>
          </w:tcPr>
          <w:p>
            <w:pPr>
              <w:spacing w:after="0"/>
              <w:rPr>
                <w:sz w:val="14"/>
                <w:szCs w:val="14"/>
                <w:color w:val="auto"/>
              </w:rPr>
            </w:pPr>
          </w:p>
        </w:tc>
        <w:tc>
          <w:tcPr>
            <w:tcW w:w="4640" w:type="dxa"/>
            <w:vAlign w:val="bottom"/>
            <w:tcBorders>
              <w:bottom w:val="single" w:sz="8" w:color="CFF0FC"/>
            </w:tcBorders>
            <w:gridSpan w:val="27"/>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5</w:t>
            </w:r>
          </w:p>
        </w:tc>
      </w:tr>
      <w:tr>
        <w:trPr>
          <w:trHeight w:val="169"/>
        </w:trPr>
        <w:tc>
          <w:tcPr>
            <w:tcW w:w="4820" w:type="dxa"/>
            <w:vAlign w:val="bottom"/>
            <w:tcBorders>
              <w:bottom w:val="single" w:sz="8" w:color="0000FF"/>
            </w:tcBorders>
            <w:gridSpan w:val="32"/>
          </w:tcPr>
          <w:p>
            <w:pPr>
              <w:spacing w:after="0" w:line="162" w:lineRule="exact"/>
              <w:rPr>
                <w:sz w:val="20"/>
                <w:szCs w:val="20"/>
                <w:color w:val="auto"/>
              </w:rPr>
            </w:pPr>
            <w:r>
              <w:rPr>
                <w:rFonts w:ascii="Arial" w:cs="Arial" w:eastAsia="Arial" w:hAnsi="Arial"/>
                <w:sz w:val="16"/>
                <w:szCs w:val="16"/>
                <w:color w:val="0000FF"/>
              </w:rPr>
              <w:t>Security Ownership of Certain Beneficial Owners and Management</w:t>
            </w:r>
          </w:p>
        </w:tc>
        <w:tc>
          <w:tcPr>
            <w:tcW w:w="2300" w:type="dxa"/>
            <w:vAlign w:val="bottom"/>
            <w:gridSpan w:val="6"/>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6</w:t>
            </w:r>
          </w:p>
        </w:tc>
      </w:tr>
      <w:tr>
        <w:trPr>
          <w:trHeight w:val="169"/>
        </w:trPr>
        <w:tc>
          <w:tcPr>
            <w:tcW w:w="7120" w:type="dxa"/>
            <w:vAlign w:val="bottom"/>
            <w:gridSpan w:val="38"/>
            <w:shd w:val="clear" w:color="auto" w:fill="CFF0FC"/>
          </w:tcPr>
          <w:p>
            <w:pPr>
              <w:spacing w:after="0" w:line="162" w:lineRule="exact"/>
              <w:rPr>
                <w:sz w:val="20"/>
                <w:szCs w:val="20"/>
                <w:color w:val="auto"/>
              </w:rPr>
            </w:pPr>
            <w:r>
              <w:rPr>
                <w:rFonts w:ascii="Arial" w:cs="Arial" w:eastAsia="Arial" w:hAnsi="Arial"/>
                <w:sz w:val="16"/>
                <w:szCs w:val="16"/>
                <w:color w:val="0000FF"/>
              </w:rPr>
              <w:t>Proposal One – Election of Directors</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8</w:t>
            </w:r>
          </w:p>
        </w:tc>
      </w:tr>
      <w:tr>
        <w:trPr>
          <w:trHeight w:val="169"/>
        </w:trPr>
        <w:tc>
          <w:tcPr>
            <w:tcW w:w="1720" w:type="dxa"/>
            <w:vAlign w:val="bottom"/>
            <w:tcBorders>
              <w:top w:val="single" w:sz="8" w:color="0000FF"/>
              <w:bottom w:val="single" w:sz="8" w:color="0000FF"/>
            </w:tcBorders>
            <w:gridSpan w:val="6"/>
          </w:tcPr>
          <w:p>
            <w:pPr>
              <w:spacing w:after="0" w:line="162" w:lineRule="exact"/>
              <w:rPr>
                <w:sz w:val="20"/>
                <w:szCs w:val="20"/>
                <w:color w:val="auto"/>
              </w:rPr>
            </w:pPr>
            <w:r>
              <w:rPr>
                <w:rFonts w:ascii="Arial" w:cs="Arial" w:eastAsia="Arial" w:hAnsi="Arial"/>
                <w:sz w:val="16"/>
                <w:szCs w:val="16"/>
                <w:color w:val="0000FF"/>
              </w:rPr>
              <w:t>Corporate Governance</w:t>
            </w:r>
          </w:p>
        </w:tc>
        <w:tc>
          <w:tcPr>
            <w:tcW w:w="940" w:type="dxa"/>
            <w:vAlign w:val="bottom"/>
            <w:tcBorders>
              <w:top w:val="single" w:sz="8" w:color="0000FF"/>
            </w:tcBorders>
            <w:gridSpan w:val="6"/>
          </w:tcPr>
          <w:p>
            <w:pPr>
              <w:spacing w:after="0"/>
              <w:rPr>
                <w:sz w:val="14"/>
                <w:szCs w:val="14"/>
                <w:color w:val="auto"/>
              </w:rPr>
            </w:pPr>
          </w:p>
        </w:tc>
        <w:tc>
          <w:tcPr>
            <w:tcW w:w="4460" w:type="dxa"/>
            <w:vAlign w:val="bottom"/>
            <w:tcBorders>
              <w:top w:val="single" w:sz="8" w:color="CFF0FC"/>
            </w:tcBorders>
            <w:gridSpan w:val="26"/>
          </w:tcPr>
          <w:p>
            <w:pPr>
              <w:spacing w:after="0"/>
              <w:rPr>
                <w:sz w:val="14"/>
                <w:szCs w:val="14"/>
                <w:color w:val="auto"/>
              </w:rPr>
            </w:pPr>
          </w:p>
        </w:tc>
        <w:tc>
          <w:tcPr>
            <w:tcW w:w="4120" w:type="dxa"/>
            <w:vAlign w:val="bottom"/>
            <w:tcBorders>
              <w:top w:val="single" w:sz="8" w:color="CFF0FC"/>
            </w:tcBorders>
          </w:tcPr>
          <w:p>
            <w:pPr>
              <w:jc w:val="center"/>
              <w:ind w:left="3059"/>
              <w:spacing w:after="0" w:line="162" w:lineRule="exact"/>
              <w:rPr>
                <w:sz w:val="20"/>
                <w:szCs w:val="20"/>
                <w:color w:val="auto"/>
              </w:rPr>
            </w:pPr>
            <w:r>
              <w:rPr>
                <w:rFonts w:ascii="Arial" w:cs="Arial" w:eastAsia="Arial" w:hAnsi="Arial"/>
                <w:sz w:val="16"/>
                <w:szCs w:val="16"/>
                <w:color w:val="auto"/>
              </w:rPr>
              <w:t>12</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1800" w:type="dxa"/>
            <w:vAlign w:val="bottom"/>
            <w:tcBorders>
              <w:bottom w:val="single" w:sz="8" w:color="0000FF"/>
            </w:tcBorders>
            <w:gridSpan w:val="10"/>
            <w:shd w:val="clear" w:color="auto" w:fill="CFF0FC"/>
          </w:tcPr>
          <w:p>
            <w:pPr>
              <w:spacing w:after="0" w:line="162" w:lineRule="exact"/>
              <w:rPr>
                <w:sz w:val="20"/>
                <w:szCs w:val="20"/>
                <w:color w:val="auto"/>
              </w:rPr>
            </w:pPr>
            <w:r>
              <w:rPr>
                <w:rFonts w:ascii="Arial" w:cs="Arial" w:eastAsia="Arial" w:hAnsi="Arial"/>
                <w:sz w:val="16"/>
                <w:szCs w:val="16"/>
                <w:color w:val="0000FF"/>
              </w:rPr>
              <w:t>Committees of the Board</w:t>
            </w:r>
          </w:p>
        </w:tc>
        <w:tc>
          <w:tcPr>
            <w:tcW w:w="4640" w:type="dxa"/>
            <w:vAlign w:val="bottom"/>
            <w:tcBorders>
              <w:bottom w:val="single" w:sz="8" w:color="CFF0FC"/>
            </w:tcBorders>
            <w:gridSpan w:val="27"/>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12</w:t>
            </w:r>
          </w:p>
        </w:tc>
      </w:tr>
      <w:tr>
        <w:trPr>
          <w:trHeight w:val="169"/>
        </w:trPr>
        <w:tc>
          <w:tcPr>
            <w:tcW w:w="680" w:type="dxa"/>
            <w:vAlign w:val="bottom"/>
          </w:tcPr>
          <w:p>
            <w:pPr>
              <w:spacing w:after="0"/>
              <w:rPr>
                <w:sz w:val="14"/>
                <w:szCs w:val="14"/>
                <w:color w:val="auto"/>
              </w:rPr>
            </w:pPr>
          </w:p>
        </w:tc>
        <w:tc>
          <w:tcPr>
            <w:tcW w:w="2820" w:type="dxa"/>
            <w:vAlign w:val="bottom"/>
            <w:tcBorders>
              <w:bottom w:val="single" w:sz="8" w:color="0000FF"/>
            </w:tcBorders>
            <w:gridSpan w:val="22"/>
          </w:tcPr>
          <w:p>
            <w:pPr>
              <w:spacing w:after="0" w:line="162" w:lineRule="exact"/>
              <w:rPr>
                <w:sz w:val="20"/>
                <w:szCs w:val="20"/>
                <w:color w:val="auto"/>
              </w:rPr>
            </w:pPr>
            <w:r>
              <w:rPr>
                <w:rFonts w:ascii="Arial" w:cs="Arial" w:eastAsia="Arial" w:hAnsi="Arial"/>
                <w:sz w:val="16"/>
                <w:szCs w:val="16"/>
                <w:color w:val="0000FF"/>
              </w:rPr>
              <w:t>Meetings of the Board and Committees</w:t>
            </w:r>
          </w:p>
        </w:tc>
        <w:tc>
          <w:tcPr>
            <w:tcW w:w="3620" w:type="dxa"/>
            <w:vAlign w:val="bottom"/>
            <w:gridSpan w:val="15"/>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13</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Board Leadership Structure</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13</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9"/>
        </w:trPr>
        <w:tc>
          <w:tcPr>
            <w:tcW w:w="680" w:type="dxa"/>
            <w:vAlign w:val="bottom"/>
          </w:tcPr>
          <w:p>
            <w:pPr>
              <w:spacing w:after="0"/>
              <w:rPr>
                <w:sz w:val="14"/>
                <w:szCs w:val="14"/>
                <w:color w:val="auto"/>
              </w:rPr>
            </w:pPr>
          </w:p>
        </w:tc>
        <w:tc>
          <w:tcPr>
            <w:tcW w:w="4040" w:type="dxa"/>
            <w:vAlign w:val="bottom"/>
            <w:tcBorders>
              <w:bottom w:val="single" w:sz="8" w:color="0000FF"/>
            </w:tcBorders>
            <w:gridSpan w:val="30"/>
          </w:tcPr>
          <w:p>
            <w:pPr>
              <w:spacing w:after="0" w:line="162" w:lineRule="exact"/>
              <w:rPr>
                <w:sz w:val="20"/>
                <w:szCs w:val="20"/>
                <w:color w:val="auto"/>
              </w:rPr>
            </w:pPr>
            <w:r>
              <w:rPr>
                <w:rFonts w:ascii="Arial" w:cs="Arial" w:eastAsia="Arial" w:hAnsi="Arial"/>
                <w:sz w:val="16"/>
                <w:szCs w:val="16"/>
                <w:color w:val="0000FF"/>
              </w:rPr>
              <w:t>Nominating Procedures and Criteria and Board Diversity</w:t>
            </w:r>
          </w:p>
        </w:tc>
        <w:tc>
          <w:tcPr>
            <w:tcW w:w="2400" w:type="dxa"/>
            <w:vAlign w:val="bottom"/>
            <w:gridSpan w:val="7"/>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14</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Director Resignation Policy</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15</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9"/>
        </w:trPr>
        <w:tc>
          <w:tcPr>
            <w:tcW w:w="680" w:type="dxa"/>
            <w:vAlign w:val="bottom"/>
          </w:tcPr>
          <w:p>
            <w:pPr>
              <w:spacing w:after="0"/>
              <w:rPr>
                <w:sz w:val="14"/>
                <w:szCs w:val="14"/>
                <w:color w:val="auto"/>
              </w:rPr>
            </w:pPr>
          </w:p>
        </w:tc>
        <w:tc>
          <w:tcPr>
            <w:tcW w:w="2240" w:type="dxa"/>
            <w:vAlign w:val="bottom"/>
            <w:tcBorders>
              <w:bottom w:val="single" w:sz="8" w:color="0000FF"/>
            </w:tcBorders>
            <w:gridSpan w:val="15"/>
          </w:tcPr>
          <w:p>
            <w:pPr>
              <w:spacing w:after="0" w:line="162" w:lineRule="exact"/>
              <w:rPr>
                <w:sz w:val="20"/>
                <w:szCs w:val="20"/>
                <w:color w:val="auto"/>
              </w:rPr>
            </w:pPr>
            <w:r>
              <w:rPr>
                <w:rFonts w:ascii="Arial" w:cs="Arial" w:eastAsia="Arial" w:hAnsi="Arial"/>
                <w:sz w:val="16"/>
                <w:szCs w:val="16"/>
                <w:color w:val="0000FF"/>
              </w:rPr>
              <w:t>Communications with Directors</w:t>
            </w:r>
          </w:p>
        </w:tc>
        <w:tc>
          <w:tcPr>
            <w:tcW w:w="4200" w:type="dxa"/>
            <w:vAlign w:val="bottom"/>
            <w:gridSpan w:val="22"/>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15</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Compensation of Directors</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16</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CFF0FC"/>
            </w:tcBorders>
            <w:shd w:val="clear" w:color="auto" w:fill="0000FF"/>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9"/>
        </w:trPr>
        <w:tc>
          <w:tcPr>
            <w:tcW w:w="680" w:type="dxa"/>
            <w:vAlign w:val="bottom"/>
          </w:tcPr>
          <w:p>
            <w:pPr>
              <w:spacing w:after="0"/>
              <w:rPr>
                <w:sz w:val="14"/>
                <w:szCs w:val="14"/>
                <w:color w:val="auto"/>
              </w:rPr>
            </w:pPr>
          </w:p>
        </w:tc>
        <w:tc>
          <w:tcPr>
            <w:tcW w:w="4460" w:type="dxa"/>
            <w:vAlign w:val="bottom"/>
            <w:tcBorders>
              <w:bottom w:val="single" w:sz="8" w:color="0000FF"/>
            </w:tcBorders>
            <w:gridSpan w:val="33"/>
          </w:tcPr>
          <w:p>
            <w:pPr>
              <w:spacing w:after="0" w:line="162" w:lineRule="exact"/>
              <w:rPr>
                <w:sz w:val="20"/>
                <w:szCs w:val="20"/>
                <w:color w:val="auto"/>
              </w:rPr>
            </w:pPr>
            <w:r>
              <w:rPr>
                <w:rFonts w:ascii="Arial" w:cs="Arial" w:eastAsia="Arial" w:hAnsi="Arial"/>
                <w:sz w:val="16"/>
                <w:szCs w:val="16"/>
                <w:color w:val="0000FF"/>
              </w:rPr>
              <w:t>Compensation Committee Interlocks and Insider Participation</w:t>
            </w:r>
          </w:p>
        </w:tc>
        <w:tc>
          <w:tcPr>
            <w:tcW w:w="1980" w:type="dxa"/>
            <w:vAlign w:val="bottom"/>
            <w:gridSpan w:val="4"/>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16</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Corporate Policies</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17</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CFF0FC"/>
            </w:tcBorders>
            <w:shd w:val="clear" w:color="auto" w:fill="0000FF"/>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2"/>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Corporate Sustainability</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19</w:t>
            </w:r>
          </w:p>
        </w:tc>
      </w:tr>
      <w:tr>
        <w:trPr>
          <w:trHeight w:val="27"/>
        </w:trPr>
        <w:tc>
          <w:tcPr>
            <w:tcW w:w="6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680" w:type="dxa"/>
            <w:vAlign w:val="bottom"/>
            <w:tcBorders>
              <w:bottom w:val="single" w:sz="8" w:color="0000FF"/>
              <w:right w:val="single" w:sz="8" w:color="CFF0FC"/>
            </w:tcBorders>
            <w:gridSpan w:val="19"/>
            <w:shd w:val="clear" w:color="auto" w:fill="CFF0FC"/>
          </w:tcPr>
          <w:p>
            <w:pPr>
              <w:spacing w:after="0" w:line="162" w:lineRule="exact"/>
              <w:rPr>
                <w:sz w:val="20"/>
                <w:szCs w:val="20"/>
                <w:color w:val="auto"/>
              </w:rPr>
            </w:pPr>
            <w:r>
              <w:rPr>
                <w:rFonts w:ascii="Arial" w:cs="Arial" w:eastAsia="Arial" w:hAnsi="Arial"/>
                <w:sz w:val="16"/>
                <w:szCs w:val="16"/>
                <w:color w:val="0000FF"/>
              </w:rPr>
              <w:t>Executive Officers of the Company</w:t>
            </w:r>
          </w:p>
        </w:tc>
        <w:tc>
          <w:tcPr>
            <w:tcW w:w="3760" w:type="dxa"/>
            <w:vAlign w:val="bottom"/>
            <w:tcBorders>
              <w:bottom w:val="single" w:sz="8" w:color="CFF0FC"/>
            </w:tcBorders>
            <w:gridSpan w:val="18"/>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21</w:t>
            </w:r>
          </w:p>
        </w:tc>
      </w:tr>
      <w:tr>
        <w:trPr>
          <w:trHeight w:val="169"/>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Report of the Audit Committee</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22</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top w:val="single" w:sz="8" w:color="0000FF"/>
              <w:bottom w:val="single" w:sz="8" w:color="0000FF"/>
              <w:right w:val="single" w:sz="8" w:color="CFF0FC"/>
            </w:tcBorders>
            <w:gridSpan w:val="6"/>
            <w:shd w:val="clear" w:color="auto" w:fill="CFF0FC"/>
          </w:tcPr>
          <w:p>
            <w:pPr>
              <w:spacing w:after="0" w:line="162" w:lineRule="exact"/>
              <w:rPr>
                <w:sz w:val="20"/>
                <w:szCs w:val="20"/>
                <w:color w:val="auto"/>
              </w:rPr>
            </w:pPr>
            <w:r>
              <w:rPr>
                <w:rFonts w:ascii="Arial" w:cs="Arial" w:eastAsia="Arial" w:hAnsi="Arial"/>
                <w:sz w:val="16"/>
                <w:szCs w:val="16"/>
                <w:color w:val="0000FF"/>
              </w:rPr>
              <w:t>Code of Ethics</w:t>
            </w:r>
          </w:p>
        </w:tc>
        <w:tc>
          <w:tcPr>
            <w:tcW w:w="1080" w:type="dxa"/>
            <w:vAlign w:val="bottom"/>
            <w:tcBorders>
              <w:top w:val="single" w:sz="8" w:color="0000FF"/>
              <w:bottom w:val="single" w:sz="8" w:color="CFF0FC"/>
            </w:tcBorders>
            <w:gridSpan w:val="8"/>
            <w:shd w:val="clear" w:color="auto" w:fill="CFF0FC"/>
          </w:tcPr>
          <w:p>
            <w:pPr>
              <w:spacing w:after="0"/>
              <w:rPr>
                <w:sz w:val="14"/>
                <w:szCs w:val="14"/>
                <w:color w:val="auto"/>
              </w:rPr>
            </w:pPr>
          </w:p>
        </w:tc>
        <w:tc>
          <w:tcPr>
            <w:tcW w:w="4260" w:type="dxa"/>
            <w:vAlign w:val="bottom"/>
            <w:tcBorders>
              <w:bottom w:val="single" w:sz="8" w:color="CFF0FC"/>
            </w:tcBorders>
            <w:gridSpan w:val="23"/>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24</w:t>
            </w:r>
          </w:p>
        </w:tc>
      </w:tr>
      <w:tr>
        <w:trPr>
          <w:trHeight w:val="169"/>
        </w:trPr>
        <w:tc>
          <w:tcPr>
            <w:tcW w:w="680" w:type="dxa"/>
            <w:vAlign w:val="bottom"/>
          </w:tcPr>
          <w:p>
            <w:pPr>
              <w:spacing w:after="0"/>
              <w:rPr>
                <w:sz w:val="14"/>
                <w:szCs w:val="14"/>
                <w:color w:val="auto"/>
              </w:rPr>
            </w:pPr>
          </w:p>
        </w:tc>
        <w:tc>
          <w:tcPr>
            <w:tcW w:w="4000" w:type="dxa"/>
            <w:vAlign w:val="bottom"/>
            <w:tcBorders>
              <w:bottom w:val="single" w:sz="8" w:color="0000FF"/>
            </w:tcBorders>
            <w:gridSpan w:val="29"/>
          </w:tcPr>
          <w:p>
            <w:pPr>
              <w:spacing w:after="0" w:line="162" w:lineRule="exact"/>
              <w:rPr>
                <w:sz w:val="20"/>
                <w:szCs w:val="20"/>
                <w:color w:val="auto"/>
              </w:rPr>
            </w:pPr>
            <w:r>
              <w:rPr>
                <w:rFonts w:ascii="Arial" w:cs="Arial" w:eastAsia="Arial" w:hAnsi="Arial"/>
                <w:sz w:val="16"/>
                <w:szCs w:val="16"/>
                <w:color w:val="0000FF"/>
              </w:rPr>
              <w:t>Certain Relationships and Related Person Transactions</w:t>
            </w:r>
          </w:p>
        </w:tc>
        <w:tc>
          <w:tcPr>
            <w:tcW w:w="2440" w:type="dxa"/>
            <w:vAlign w:val="bottom"/>
            <w:gridSpan w:val="8"/>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24</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3920" w:type="dxa"/>
            <w:vAlign w:val="bottom"/>
            <w:tcBorders>
              <w:bottom w:val="single" w:sz="8" w:color="0000FF"/>
            </w:tcBorders>
            <w:gridSpan w:val="28"/>
            <w:shd w:val="clear" w:color="auto" w:fill="CFF0FC"/>
          </w:tcPr>
          <w:p>
            <w:pPr>
              <w:spacing w:after="0" w:line="162" w:lineRule="exact"/>
              <w:rPr>
                <w:sz w:val="20"/>
                <w:szCs w:val="20"/>
                <w:color w:val="auto"/>
              </w:rPr>
            </w:pPr>
            <w:r>
              <w:rPr>
                <w:rFonts w:ascii="Arial" w:cs="Arial" w:eastAsia="Arial" w:hAnsi="Arial"/>
                <w:sz w:val="16"/>
                <w:szCs w:val="16"/>
                <w:color w:val="0000FF"/>
              </w:rPr>
              <w:t>Stockholders sharing the same last name and address</w:t>
            </w:r>
          </w:p>
        </w:tc>
        <w:tc>
          <w:tcPr>
            <w:tcW w:w="2520" w:type="dxa"/>
            <w:vAlign w:val="bottom"/>
            <w:tcBorders>
              <w:bottom w:val="single" w:sz="8" w:color="CFF0FC"/>
            </w:tcBorders>
            <w:gridSpan w:val="9"/>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25</w:t>
            </w:r>
          </w:p>
        </w:tc>
      </w:tr>
      <w:tr>
        <w:trPr>
          <w:trHeight w:val="169"/>
        </w:trPr>
        <w:tc>
          <w:tcPr>
            <w:tcW w:w="3800" w:type="dxa"/>
            <w:vAlign w:val="bottom"/>
            <w:tcBorders>
              <w:bottom w:val="single" w:sz="8" w:color="0000FF"/>
            </w:tcBorders>
            <w:gridSpan w:val="26"/>
          </w:tcPr>
          <w:p>
            <w:pPr>
              <w:spacing w:after="0" w:line="162" w:lineRule="exact"/>
              <w:rPr>
                <w:sz w:val="20"/>
                <w:szCs w:val="20"/>
                <w:color w:val="auto"/>
              </w:rPr>
            </w:pPr>
            <w:r>
              <w:rPr>
                <w:rFonts w:ascii="Arial" w:cs="Arial" w:eastAsia="Arial" w:hAnsi="Arial"/>
                <w:sz w:val="16"/>
                <w:szCs w:val="16"/>
                <w:color w:val="0000FF"/>
              </w:rPr>
              <w:t>Proposal Two - Approval of Executive Compensation</w:t>
            </w:r>
          </w:p>
        </w:tc>
        <w:tc>
          <w:tcPr>
            <w:tcW w:w="3320" w:type="dxa"/>
            <w:vAlign w:val="bottom"/>
            <w:gridSpan w:val="12"/>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26</w:t>
            </w:r>
          </w:p>
        </w:tc>
      </w:tr>
      <w:tr>
        <w:trPr>
          <w:trHeight w:val="169"/>
        </w:trPr>
        <w:tc>
          <w:tcPr>
            <w:tcW w:w="7120" w:type="dxa"/>
            <w:vAlign w:val="bottom"/>
            <w:gridSpan w:val="38"/>
            <w:shd w:val="clear" w:color="auto" w:fill="CFF0FC"/>
          </w:tcPr>
          <w:p>
            <w:pPr>
              <w:spacing w:after="0" w:line="162" w:lineRule="exact"/>
              <w:rPr>
                <w:sz w:val="20"/>
                <w:szCs w:val="20"/>
                <w:color w:val="auto"/>
              </w:rPr>
            </w:pPr>
            <w:r>
              <w:rPr>
                <w:rFonts w:ascii="Arial" w:cs="Arial" w:eastAsia="Arial" w:hAnsi="Arial"/>
                <w:sz w:val="16"/>
                <w:szCs w:val="16"/>
                <w:color w:val="0000FF"/>
              </w:rPr>
              <w:t>Compensation Discussion and Analysis</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27</w:t>
            </w:r>
          </w:p>
        </w:tc>
      </w:tr>
      <w:tr>
        <w:trPr>
          <w:trHeight w:val="183"/>
        </w:trPr>
        <w:tc>
          <w:tcPr>
            <w:tcW w:w="680" w:type="dxa"/>
            <w:vAlign w:val="bottom"/>
            <w:tcBorders>
              <w:top w:val="single" w:sz="8" w:color="0000FF"/>
            </w:tcBorders>
          </w:tcPr>
          <w:p>
            <w:pPr>
              <w:spacing w:after="0"/>
              <w:rPr>
                <w:sz w:val="15"/>
                <w:szCs w:val="15"/>
                <w:color w:val="auto"/>
              </w:rPr>
            </w:pPr>
          </w:p>
        </w:tc>
        <w:tc>
          <w:tcPr>
            <w:tcW w:w="880" w:type="dxa"/>
            <w:vAlign w:val="bottom"/>
            <w:tcBorders>
              <w:top w:val="single" w:sz="8" w:color="0000FF"/>
              <w:bottom w:val="single" w:sz="8" w:color="0000FF"/>
            </w:tcBorders>
            <w:gridSpan w:val="3"/>
          </w:tcPr>
          <w:p>
            <w:pPr>
              <w:spacing w:after="0" w:line="175" w:lineRule="exact"/>
              <w:rPr>
                <w:sz w:val="20"/>
                <w:szCs w:val="20"/>
                <w:color w:val="auto"/>
              </w:rPr>
            </w:pPr>
            <w:r>
              <w:rPr>
                <w:rFonts w:ascii="Arial" w:cs="Arial" w:eastAsia="Arial" w:hAnsi="Arial"/>
                <w:sz w:val="16"/>
                <w:szCs w:val="16"/>
                <w:color w:val="0000FF"/>
              </w:rPr>
              <w:t>Introduction</w:t>
            </w:r>
          </w:p>
        </w:tc>
        <w:tc>
          <w:tcPr>
            <w:tcW w:w="1280" w:type="dxa"/>
            <w:vAlign w:val="bottom"/>
            <w:tcBorders>
              <w:top w:val="single" w:sz="8" w:color="0000FF"/>
            </w:tcBorders>
            <w:gridSpan w:val="10"/>
          </w:tcPr>
          <w:p>
            <w:pPr>
              <w:spacing w:after="0"/>
              <w:rPr>
                <w:sz w:val="15"/>
                <w:szCs w:val="15"/>
                <w:color w:val="auto"/>
              </w:rPr>
            </w:pPr>
          </w:p>
        </w:tc>
        <w:tc>
          <w:tcPr>
            <w:tcW w:w="4280" w:type="dxa"/>
            <w:vAlign w:val="bottom"/>
            <w:tcBorders>
              <w:top w:val="single" w:sz="8" w:color="CFF0FC"/>
            </w:tcBorders>
            <w:gridSpan w:val="24"/>
          </w:tcPr>
          <w:p>
            <w:pPr>
              <w:spacing w:after="0"/>
              <w:rPr>
                <w:sz w:val="15"/>
                <w:szCs w:val="15"/>
                <w:color w:val="auto"/>
              </w:rPr>
            </w:pPr>
          </w:p>
        </w:tc>
        <w:tc>
          <w:tcPr>
            <w:tcW w:w="4120" w:type="dxa"/>
            <w:vAlign w:val="bottom"/>
            <w:tcBorders>
              <w:top w:val="single" w:sz="8" w:color="CFF0FC"/>
            </w:tcBorders>
          </w:tcPr>
          <w:p>
            <w:pPr>
              <w:jc w:val="center"/>
              <w:ind w:left="3079"/>
              <w:spacing w:after="0" w:line="175" w:lineRule="exact"/>
              <w:rPr>
                <w:sz w:val="20"/>
                <w:szCs w:val="20"/>
                <w:color w:val="auto"/>
              </w:rPr>
            </w:pPr>
            <w:r>
              <w:rPr>
                <w:rFonts w:ascii="Times New Roman" w:cs="Times New Roman" w:eastAsia="Times New Roman" w:hAnsi="Times New Roman"/>
                <w:sz w:val="16"/>
                <w:szCs w:val="16"/>
                <w:color w:val="auto"/>
                <w:w w:val="99"/>
              </w:rPr>
              <w:t>27</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Executive Summary</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27</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9"/>
        </w:trPr>
        <w:tc>
          <w:tcPr>
            <w:tcW w:w="680" w:type="dxa"/>
            <w:vAlign w:val="bottom"/>
          </w:tcPr>
          <w:p>
            <w:pPr>
              <w:spacing w:after="0"/>
              <w:rPr>
                <w:sz w:val="14"/>
                <w:szCs w:val="14"/>
                <w:color w:val="auto"/>
              </w:rPr>
            </w:pPr>
          </w:p>
        </w:tc>
        <w:tc>
          <w:tcPr>
            <w:tcW w:w="2680" w:type="dxa"/>
            <w:vAlign w:val="bottom"/>
            <w:tcBorders>
              <w:bottom w:val="single" w:sz="8" w:color="0000FF"/>
            </w:tcBorders>
            <w:gridSpan w:val="19"/>
          </w:tcPr>
          <w:p>
            <w:pPr>
              <w:spacing w:after="0" w:line="162" w:lineRule="exact"/>
              <w:rPr>
                <w:sz w:val="20"/>
                <w:szCs w:val="20"/>
                <w:color w:val="auto"/>
              </w:rPr>
            </w:pPr>
            <w:r>
              <w:rPr>
                <w:rFonts w:ascii="Arial" w:cs="Arial" w:eastAsia="Arial" w:hAnsi="Arial"/>
                <w:sz w:val="16"/>
                <w:szCs w:val="16"/>
                <w:color w:val="0000FF"/>
              </w:rPr>
              <w:t>Overview of Compensation Program</w:t>
            </w:r>
          </w:p>
        </w:tc>
        <w:tc>
          <w:tcPr>
            <w:tcW w:w="3760" w:type="dxa"/>
            <w:vAlign w:val="bottom"/>
            <w:gridSpan w:val="18"/>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29</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860" w:type="dxa"/>
            <w:vAlign w:val="bottom"/>
            <w:tcBorders>
              <w:bottom w:val="single" w:sz="8" w:color="0000FF"/>
            </w:tcBorders>
            <w:gridSpan w:val="23"/>
            <w:shd w:val="clear" w:color="auto" w:fill="CFF0FC"/>
          </w:tcPr>
          <w:p>
            <w:pPr>
              <w:spacing w:after="0" w:line="162" w:lineRule="exact"/>
              <w:rPr>
                <w:sz w:val="20"/>
                <w:szCs w:val="20"/>
                <w:color w:val="auto"/>
              </w:rPr>
            </w:pPr>
            <w:r>
              <w:rPr>
                <w:rFonts w:ascii="Arial" w:cs="Arial" w:eastAsia="Arial" w:hAnsi="Arial"/>
                <w:sz w:val="16"/>
                <w:szCs w:val="16"/>
                <w:color w:val="0000FF"/>
              </w:rPr>
              <w:t>Principal Components of Compensation</w:t>
            </w:r>
          </w:p>
        </w:tc>
        <w:tc>
          <w:tcPr>
            <w:tcW w:w="3580" w:type="dxa"/>
            <w:vAlign w:val="bottom"/>
            <w:tcBorders>
              <w:bottom w:val="single" w:sz="8" w:color="CFF0FC"/>
            </w:tcBorders>
            <w:gridSpan w:val="14"/>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31</w:t>
            </w:r>
          </w:p>
        </w:tc>
      </w:tr>
      <w:tr>
        <w:trPr>
          <w:trHeight w:val="169"/>
        </w:trPr>
        <w:tc>
          <w:tcPr>
            <w:tcW w:w="680" w:type="dxa"/>
            <w:vAlign w:val="bottom"/>
          </w:tcPr>
          <w:p>
            <w:pPr>
              <w:spacing w:after="0"/>
              <w:rPr>
                <w:sz w:val="14"/>
                <w:szCs w:val="14"/>
                <w:color w:val="auto"/>
              </w:rPr>
            </w:pPr>
          </w:p>
        </w:tc>
        <w:tc>
          <w:tcPr>
            <w:tcW w:w="2260" w:type="dxa"/>
            <w:vAlign w:val="bottom"/>
            <w:tcBorders>
              <w:bottom w:val="single" w:sz="8" w:color="0000FF"/>
            </w:tcBorders>
            <w:gridSpan w:val="16"/>
          </w:tcPr>
          <w:p>
            <w:pPr>
              <w:spacing w:after="0" w:line="162" w:lineRule="exact"/>
              <w:rPr>
                <w:sz w:val="20"/>
                <w:szCs w:val="20"/>
                <w:color w:val="auto"/>
              </w:rPr>
            </w:pPr>
            <w:r>
              <w:rPr>
                <w:rFonts w:ascii="Arial" w:cs="Arial" w:eastAsia="Arial" w:hAnsi="Arial"/>
                <w:sz w:val="16"/>
                <w:szCs w:val="16"/>
                <w:color w:val="0000FF"/>
              </w:rPr>
              <w:t>Compensation Review Process</w:t>
            </w:r>
          </w:p>
        </w:tc>
        <w:tc>
          <w:tcPr>
            <w:tcW w:w="4180" w:type="dxa"/>
            <w:vAlign w:val="bottom"/>
            <w:gridSpan w:val="21"/>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37</w:t>
            </w:r>
          </w:p>
        </w:tc>
      </w:tr>
      <w:tr>
        <w:trPr>
          <w:trHeight w:val="169"/>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Additional Benefits and Perquisites</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40</w:t>
            </w:r>
          </w:p>
        </w:tc>
      </w:tr>
      <w:tr>
        <w:trPr>
          <w:trHeight w:val="162"/>
        </w:trPr>
        <w:tc>
          <w:tcPr>
            <w:tcW w:w="680" w:type="dxa"/>
            <w:vAlign w:val="bottom"/>
            <w:tcBorders>
              <w:top w:val="single" w:sz="8" w:color="CFF0FC"/>
            </w:tcBorders>
          </w:tcPr>
          <w:p>
            <w:pPr>
              <w:spacing w:after="0"/>
              <w:rPr>
                <w:sz w:val="14"/>
                <w:szCs w:val="14"/>
                <w:color w:val="auto"/>
              </w:rPr>
            </w:pPr>
          </w:p>
        </w:tc>
        <w:tc>
          <w:tcPr>
            <w:tcW w:w="2680" w:type="dxa"/>
            <w:vAlign w:val="bottom"/>
            <w:tcBorders>
              <w:top w:val="single" w:sz="8" w:color="0000FF"/>
            </w:tcBorders>
            <w:gridSpan w:val="19"/>
          </w:tcPr>
          <w:p>
            <w:pPr>
              <w:spacing w:after="0" w:line="162" w:lineRule="exact"/>
              <w:rPr>
                <w:sz w:val="20"/>
                <w:szCs w:val="20"/>
                <w:color w:val="auto"/>
              </w:rPr>
            </w:pPr>
            <w:r>
              <w:rPr>
                <w:rFonts w:ascii="Arial" w:cs="Arial" w:eastAsia="Arial" w:hAnsi="Arial"/>
                <w:sz w:val="16"/>
                <w:szCs w:val="16"/>
                <w:color w:val="0000FF"/>
              </w:rPr>
              <w:t>Best Practices</w:t>
            </w:r>
          </w:p>
        </w:tc>
        <w:tc>
          <w:tcPr>
            <w:tcW w:w="3760" w:type="dxa"/>
            <w:vAlign w:val="bottom"/>
            <w:tcBorders>
              <w:top w:val="single" w:sz="8" w:color="CFF0FC"/>
            </w:tcBorders>
            <w:gridSpan w:val="18"/>
          </w:tcPr>
          <w:p>
            <w:pPr>
              <w:spacing w:after="0"/>
              <w:rPr>
                <w:sz w:val="14"/>
                <w:szCs w:val="14"/>
                <w:color w:val="auto"/>
              </w:rPr>
            </w:pPr>
          </w:p>
        </w:tc>
        <w:tc>
          <w:tcPr>
            <w:tcW w:w="4120" w:type="dxa"/>
            <w:vAlign w:val="bottom"/>
            <w:tcBorders>
              <w:top w:val="single" w:sz="8" w:color="CFF0FC"/>
            </w:tcBorders>
          </w:tcPr>
          <w:p>
            <w:pPr>
              <w:jc w:val="center"/>
              <w:ind w:left="3059"/>
              <w:spacing w:after="0" w:line="162" w:lineRule="exact"/>
              <w:rPr>
                <w:sz w:val="20"/>
                <w:szCs w:val="20"/>
                <w:color w:val="auto"/>
              </w:rPr>
            </w:pPr>
            <w:r>
              <w:rPr>
                <w:rFonts w:ascii="Arial" w:cs="Arial" w:eastAsia="Arial" w:hAnsi="Arial"/>
                <w:sz w:val="16"/>
                <w:szCs w:val="16"/>
                <w:color w:val="auto"/>
              </w:rPr>
              <w:t>40</w:t>
            </w:r>
          </w:p>
        </w:tc>
      </w:tr>
      <w:tr>
        <w:trPr>
          <w:trHeight w:val="27"/>
        </w:trPr>
        <w:tc>
          <w:tcPr>
            <w:tcW w:w="6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340" w:type="dxa"/>
            <w:vAlign w:val="bottom"/>
            <w:tcBorders>
              <w:bottom w:val="single" w:sz="8" w:color="0000FF"/>
            </w:tcBorders>
            <w:gridSpan w:val="17"/>
            <w:shd w:val="clear" w:color="auto" w:fill="CFF0FC"/>
          </w:tcPr>
          <w:p>
            <w:pPr>
              <w:spacing w:after="0" w:line="162" w:lineRule="exact"/>
              <w:rPr>
                <w:sz w:val="20"/>
                <w:szCs w:val="20"/>
                <w:color w:val="auto"/>
              </w:rPr>
            </w:pPr>
            <w:r>
              <w:rPr>
                <w:rFonts w:ascii="Arial" w:cs="Arial" w:eastAsia="Arial" w:hAnsi="Arial"/>
                <w:sz w:val="16"/>
                <w:szCs w:val="16"/>
                <w:color w:val="0000FF"/>
              </w:rPr>
              <w:t>Compensation Risk Assessment</w:t>
            </w:r>
          </w:p>
        </w:tc>
        <w:tc>
          <w:tcPr>
            <w:tcW w:w="4100" w:type="dxa"/>
            <w:vAlign w:val="bottom"/>
            <w:tcBorders>
              <w:bottom w:val="single" w:sz="8" w:color="CFF0FC"/>
            </w:tcBorders>
            <w:gridSpan w:val="20"/>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40</w:t>
            </w:r>
          </w:p>
        </w:tc>
      </w:tr>
      <w:tr>
        <w:trPr>
          <w:trHeight w:val="169"/>
        </w:trPr>
        <w:tc>
          <w:tcPr>
            <w:tcW w:w="680" w:type="dxa"/>
            <w:vAlign w:val="bottom"/>
          </w:tcPr>
          <w:p>
            <w:pPr>
              <w:spacing w:after="0"/>
              <w:rPr>
                <w:sz w:val="14"/>
                <w:szCs w:val="14"/>
                <w:color w:val="auto"/>
              </w:rPr>
            </w:pPr>
          </w:p>
        </w:tc>
        <w:tc>
          <w:tcPr>
            <w:tcW w:w="3700" w:type="dxa"/>
            <w:vAlign w:val="bottom"/>
            <w:tcBorders>
              <w:bottom w:val="single" w:sz="8" w:color="0000FF"/>
            </w:tcBorders>
            <w:gridSpan w:val="27"/>
          </w:tcPr>
          <w:p>
            <w:pPr>
              <w:spacing w:after="0" w:line="162" w:lineRule="exact"/>
              <w:rPr>
                <w:sz w:val="20"/>
                <w:szCs w:val="20"/>
                <w:color w:val="auto"/>
              </w:rPr>
            </w:pPr>
            <w:r>
              <w:rPr>
                <w:rFonts w:ascii="Arial" w:cs="Arial" w:eastAsia="Arial" w:hAnsi="Arial"/>
                <w:sz w:val="16"/>
                <w:szCs w:val="16"/>
                <w:color w:val="0000FF"/>
              </w:rPr>
              <w:t>Post-Termination and Change-In-Control Payments</w:t>
            </w:r>
          </w:p>
        </w:tc>
        <w:tc>
          <w:tcPr>
            <w:tcW w:w="2740" w:type="dxa"/>
            <w:vAlign w:val="bottom"/>
            <w:gridSpan w:val="10"/>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41</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Tax and Accounting Considerations</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41</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2"/>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Report of the Compensation Committee on Executive Compensation</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42</w:t>
            </w:r>
          </w:p>
        </w:tc>
      </w:tr>
      <w:tr>
        <w:trPr>
          <w:trHeight w:val="27"/>
        </w:trPr>
        <w:tc>
          <w:tcPr>
            <w:tcW w:w="6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169"/>
        </w:trPr>
        <w:tc>
          <w:tcPr>
            <w:tcW w:w="1800" w:type="dxa"/>
            <w:vAlign w:val="bottom"/>
            <w:tcBorders>
              <w:bottom w:val="single" w:sz="8" w:color="0000FF"/>
            </w:tcBorders>
            <w:gridSpan w:val="8"/>
            <w:shd w:val="clear" w:color="auto" w:fill="CFF0FC"/>
          </w:tcPr>
          <w:p>
            <w:pPr>
              <w:spacing w:after="0" w:line="162" w:lineRule="exact"/>
              <w:rPr>
                <w:sz w:val="20"/>
                <w:szCs w:val="20"/>
                <w:color w:val="auto"/>
              </w:rPr>
            </w:pPr>
            <w:r>
              <w:rPr>
                <w:rFonts w:ascii="Arial" w:cs="Arial" w:eastAsia="Arial" w:hAnsi="Arial"/>
                <w:sz w:val="16"/>
                <w:szCs w:val="16"/>
                <w:color w:val="0000FF"/>
              </w:rPr>
              <w:t>Executive Compensation</w:t>
            </w:r>
          </w:p>
        </w:tc>
        <w:tc>
          <w:tcPr>
            <w:tcW w:w="5320" w:type="dxa"/>
            <w:vAlign w:val="bottom"/>
            <w:tcBorders>
              <w:bottom w:val="single" w:sz="8" w:color="CFF0FC"/>
            </w:tcBorders>
            <w:gridSpan w:val="30"/>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43</w:t>
            </w:r>
          </w:p>
        </w:tc>
      </w:tr>
      <w:tr>
        <w:trPr>
          <w:trHeight w:val="169"/>
        </w:trPr>
        <w:tc>
          <w:tcPr>
            <w:tcW w:w="680" w:type="dxa"/>
            <w:vAlign w:val="bottom"/>
          </w:tcPr>
          <w:p>
            <w:pPr>
              <w:spacing w:after="0"/>
              <w:rPr>
                <w:sz w:val="14"/>
                <w:szCs w:val="14"/>
                <w:color w:val="auto"/>
              </w:rPr>
            </w:pPr>
          </w:p>
        </w:tc>
        <w:tc>
          <w:tcPr>
            <w:tcW w:w="2240" w:type="dxa"/>
            <w:vAlign w:val="bottom"/>
            <w:tcBorders>
              <w:bottom w:val="single" w:sz="8" w:color="0000FF"/>
            </w:tcBorders>
            <w:gridSpan w:val="15"/>
          </w:tcPr>
          <w:p>
            <w:pPr>
              <w:spacing w:after="0" w:line="162" w:lineRule="exact"/>
              <w:rPr>
                <w:sz w:val="20"/>
                <w:szCs w:val="20"/>
                <w:color w:val="auto"/>
              </w:rPr>
            </w:pPr>
            <w:r>
              <w:rPr>
                <w:rFonts w:ascii="Arial" w:cs="Arial" w:eastAsia="Arial" w:hAnsi="Arial"/>
                <w:sz w:val="16"/>
                <w:szCs w:val="16"/>
                <w:color w:val="0000FF"/>
              </w:rPr>
              <w:t>Summary Compensation Table</w:t>
            </w:r>
          </w:p>
        </w:tc>
        <w:tc>
          <w:tcPr>
            <w:tcW w:w="4200" w:type="dxa"/>
            <w:vAlign w:val="bottom"/>
            <w:gridSpan w:val="22"/>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43</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140" w:type="dxa"/>
            <w:vAlign w:val="bottom"/>
            <w:tcBorders>
              <w:bottom w:val="single" w:sz="8" w:color="0000FF"/>
            </w:tcBorders>
            <w:gridSpan w:val="12"/>
            <w:shd w:val="clear" w:color="auto" w:fill="CFF0FC"/>
          </w:tcPr>
          <w:p>
            <w:pPr>
              <w:spacing w:after="0" w:line="162" w:lineRule="exact"/>
              <w:rPr>
                <w:sz w:val="20"/>
                <w:szCs w:val="20"/>
                <w:color w:val="auto"/>
              </w:rPr>
            </w:pPr>
            <w:r>
              <w:rPr>
                <w:rFonts w:ascii="Arial" w:cs="Arial" w:eastAsia="Arial" w:hAnsi="Arial"/>
                <w:sz w:val="16"/>
                <w:szCs w:val="16"/>
                <w:color w:val="0000FF"/>
              </w:rPr>
              <w:t>Grants of Plan-Based Awards</w:t>
            </w:r>
          </w:p>
        </w:tc>
        <w:tc>
          <w:tcPr>
            <w:tcW w:w="4300" w:type="dxa"/>
            <w:vAlign w:val="bottom"/>
            <w:tcBorders>
              <w:bottom w:val="single" w:sz="8" w:color="CFF0FC"/>
            </w:tcBorders>
            <w:gridSpan w:val="25"/>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45</w:t>
            </w:r>
          </w:p>
        </w:tc>
      </w:tr>
      <w:tr>
        <w:trPr>
          <w:trHeight w:val="162"/>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CEO Pay Ratio</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46</w:t>
            </w:r>
          </w:p>
        </w:tc>
      </w:tr>
      <w:tr>
        <w:trPr>
          <w:trHeight w:val="27"/>
        </w:trPr>
        <w:tc>
          <w:tcPr>
            <w:tcW w:w="6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169"/>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Narrative to Summary Compensation Table and Grants of Plan-Based Awards Table</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47</w:t>
            </w:r>
          </w:p>
        </w:tc>
      </w:tr>
      <w:tr>
        <w:trPr>
          <w:trHeight w:val="169"/>
        </w:trPr>
        <w:tc>
          <w:tcPr>
            <w:tcW w:w="680" w:type="dxa"/>
            <w:vAlign w:val="bottom"/>
            <w:tcBorders>
              <w:top w:val="single" w:sz="8" w:color="CFF0FC"/>
            </w:tcBorders>
          </w:tcPr>
          <w:p>
            <w:pPr>
              <w:spacing w:after="0"/>
              <w:rPr>
                <w:sz w:val="14"/>
                <w:szCs w:val="14"/>
                <w:color w:val="auto"/>
              </w:rPr>
            </w:pPr>
          </w:p>
        </w:tc>
        <w:tc>
          <w:tcPr>
            <w:tcW w:w="3340" w:type="dxa"/>
            <w:vAlign w:val="bottom"/>
            <w:tcBorders>
              <w:top w:val="single" w:sz="8" w:color="0000FF"/>
              <w:bottom w:val="single" w:sz="8" w:color="0000FF"/>
            </w:tcBorders>
            <w:gridSpan w:val="26"/>
          </w:tcPr>
          <w:p>
            <w:pPr>
              <w:spacing w:after="0" w:line="162" w:lineRule="exact"/>
              <w:rPr>
                <w:sz w:val="20"/>
                <w:szCs w:val="20"/>
                <w:color w:val="auto"/>
              </w:rPr>
            </w:pPr>
            <w:r>
              <w:rPr>
                <w:rFonts w:ascii="Arial" w:cs="Arial" w:eastAsia="Arial" w:hAnsi="Arial"/>
                <w:sz w:val="16"/>
                <w:szCs w:val="16"/>
                <w:color w:val="0000FF"/>
              </w:rPr>
              <w:t>Outstanding Equity Awards at Fiscal Year-End</w:t>
            </w:r>
          </w:p>
        </w:tc>
        <w:tc>
          <w:tcPr>
            <w:tcW w:w="2720" w:type="dxa"/>
            <w:vAlign w:val="bottom"/>
            <w:tcBorders>
              <w:top w:val="single" w:sz="8" w:color="0000FF"/>
            </w:tcBorders>
            <w:gridSpan w:val="10"/>
          </w:tcPr>
          <w:p>
            <w:pPr>
              <w:spacing w:after="0"/>
              <w:rPr>
                <w:sz w:val="14"/>
                <w:szCs w:val="14"/>
                <w:color w:val="auto"/>
              </w:rPr>
            </w:pPr>
          </w:p>
        </w:tc>
        <w:tc>
          <w:tcPr>
            <w:tcW w:w="380" w:type="dxa"/>
            <w:vAlign w:val="bottom"/>
            <w:tcBorders>
              <w:top w:val="single" w:sz="8" w:color="CFF0FC"/>
            </w:tcBorders>
          </w:tcPr>
          <w:p>
            <w:pPr>
              <w:spacing w:after="0"/>
              <w:rPr>
                <w:sz w:val="14"/>
                <w:szCs w:val="14"/>
                <w:color w:val="auto"/>
              </w:rPr>
            </w:pPr>
          </w:p>
        </w:tc>
        <w:tc>
          <w:tcPr>
            <w:tcW w:w="4120" w:type="dxa"/>
            <w:vAlign w:val="bottom"/>
            <w:tcBorders>
              <w:top w:val="single" w:sz="8" w:color="CFF0FC"/>
            </w:tcBorders>
          </w:tcPr>
          <w:p>
            <w:pPr>
              <w:jc w:val="center"/>
              <w:ind w:left="3059"/>
              <w:spacing w:after="0" w:line="162" w:lineRule="exact"/>
              <w:rPr>
                <w:sz w:val="20"/>
                <w:szCs w:val="20"/>
                <w:color w:val="auto"/>
              </w:rPr>
            </w:pPr>
            <w:r>
              <w:rPr>
                <w:rFonts w:ascii="Arial" w:cs="Arial" w:eastAsia="Arial" w:hAnsi="Arial"/>
                <w:sz w:val="16"/>
                <w:szCs w:val="16"/>
                <w:color w:val="auto"/>
              </w:rPr>
              <w:t>49</w:t>
            </w:r>
          </w:p>
        </w:tc>
      </w:tr>
      <w:tr>
        <w:trPr>
          <w:trHeight w:val="162"/>
        </w:trPr>
        <w:tc>
          <w:tcPr>
            <w:tcW w:w="680" w:type="dxa"/>
            <w:vAlign w:val="bottom"/>
            <w:shd w:val="clear" w:color="auto" w:fill="CFF0FC"/>
          </w:tcPr>
          <w:p>
            <w:pPr>
              <w:spacing w:after="0"/>
              <w:rPr>
                <w:sz w:val="14"/>
                <w:szCs w:val="14"/>
                <w:color w:val="auto"/>
              </w:rPr>
            </w:pPr>
          </w:p>
        </w:tc>
        <w:tc>
          <w:tcPr>
            <w:tcW w:w="6440" w:type="dxa"/>
            <w:vAlign w:val="bottom"/>
            <w:gridSpan w:val="37"/>
            <w:shd w:val="clear" w:color="auto" w:fill="CFF0FC"/>
          </w:tcPr>
          <w:p>
            <w:pPr>
              <w:spacing w:after="0" w:line="162" w:lineRule="exact"/>
              <w:rPr>
                <w:sz w:val="20"/>
                <w:szCs w:val="20"/>
                <w:color w:val="auto"/>
              </w:rPr>
            </w:pPr>
            <w:r>
              <w:rPr>
                <w:rFonts w:ascii="Arial" w:cs="Arial" w:eastAsia="Arial" w:hAnsi="Arial"/>
                <w:sz w:val="16"/>
                <w:szCs w:val="16"/>
                <w:color w:val="0000FF"/>
              </w:rPr>
              <w:t>Option Exercises and Stock Vested</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50</w:t>
            </w:r>
          </w:p>
        </w:tc>
      </w:tr>
      <w:tr>
        <w:trPr>
          <w:trHeight w:val="27"/>
        </w:trPr>
        <w:tc>
          <w:tcPr>
            <w:tcW w:w="680" w:type="dxa"/>
            <w:vAlign w:val="bottom"/>
            <w:shd w:val="clear" w:color="auto" w:fill="CFF0FC"/>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4120" w:type="dxa"/>
            <w:vAlign w:val="bottom"/>
            <w:shd w:val="clear" w:color="auto" w:fill="CFF0FC"/>
          </w:tcPr>
          <w:p>
            <w:pPr>
              <w:spacing w:after="0"/>
              <w:rPr>
                <w:sz w:val="2"/>
                <w:szCs w:val="2"/>
                <w:color w:val="auto"/>
              </w:rPr>
            </w:pPr>
          </w:p>
        </w:tc>
      </w:tr>
      <w:tr>
        <w:trPr>
          <w:trHeight w:val="169"/>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Equity Compensation Plan Information</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50</w:t>
            </w:r>
          </w:p>
        </w:tc>
      </w:tr>
      <w:tr>
        <w:trPr>
          <w:trHeight w:val="169"/>
        </w:trPr>
        <w:tc>
          <w:tcPr>
            <w:tcW w:w="680" w:type="dxa"/>
            <w:vAlign w:val="bottom"/>
            <w:tcBorders>
              <w:bottom w:val="single" w:sz="8" w:color="CFF0FC"/>
            </w:tcBorders>
            <w:shd w:val="clear" w:color="auto" w:fill="CFF0FC"/>
          </w:tcPr>
          <w:p>
            <w:pPr>
              <w:spacing w:after="0"/>
              <w:rPr>
                <w:sz w:val="14"/>
                <w:szCs w:val="14"/>
                <w:color w:val="auto"/>
              </w:rPr>
            </w:pPr>
          </w:p>
        </w:tc>
        <w:tc>
          <w:tcPr>
            <w:tcW w:w="2680" w:type="dxa"/>
            <w:vAlign w:val="bottom"/>
            <w:tcBorders>
              <w:top w:val="single" w:sz="8" w:color="0000FF"/>
              <w:bottom w:val="single" w:sz="8" w:color="0000FF"/>
              <w:right w:val="single" w:sz="8" w:color="CFF0FC"/>
            </w:tcBorders>
            <w:gridSpan w:val="19"/>
            <w:shd w:val="clear" w:color="auto" w:fill="CFF0FC"/>
          </w:tcPr>
          <w:p>
            <w:pPr>
              <w:spacing w:after="0" w:line="162" w:lineRule="exact"/>
              <w:rPr>
                <w:sz w:val="20"/>
                <w:szCs w:val="20"/>
                <w:color w:val="auto"/>
              </w:rPr>
            </w:pPr>
            <w:r>
              <w:rPr>
                <w:rFonts w:ascii="Arial" w:cs="Arial" w:eastAsia="Arial" w:hAnsi="Arial"/>
                <w:sz w:val="16"/>
                <w:szCs w:val="16"/>
                <w:color w:val="0000FF"/>
              </w:rPr>
              <w:t>Nonqualified Deferred Compensation</w:t>
            </w:r>
          </w:p>
        </w:tc>
        <w:tc>
          <w:tcPr>
            <w:tcW w:w="80" w:type="dxa"/>
            <w:vAlign w:val="bottom"/>
            <w:tcBorders>
              <w:top w:val="single" w:sz="8" w:color="0000FF"/>
              <w:bottom w:val="single" w:sz="8" w:color="CFF0FC"/>
            </w:tcBorders>
            <w:shd w:val="clear" w:color="auto" w:fill="CFF0FC"/>
          </w:tcPr>
          <w:p>
            <w:pPr>
              <w:spacing w:after="0"/>
              <w:rPr>
                <w:sz w:val="14"/>
                <w:szCs w:val="14"/>
                <w:color w:val="auto"/>
              </w:rPr>
            </w:pPr>
          </w:p>
        </w:tc>
        <w:tc>
          <w:tcPr>
            <w:tcW w:w="3680" w:type="dxa"/>
            <w:vAlign w:val="bottom"/>
            <w:tcBorders>
              <w:bottom w:val="single" w:sz="8" w:color="CFF0FC"/>
            </w:tcBorders>
            <w:gridSpan w:val="17"/>
            <w:shd w:val="clear" w:color="auto" w:fill="CFF0FC"/>
          </w:tcPr>
          <w:p>
            <w:pPr>
              <w:spacing w:after="0"/>
              <w:rPr>
                <w:sz w:val="14"/>
                <w:szCs w:val="14"/>
                <w:color w:val="auto"/>
              </w:rPr>
            </w:pP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51</w:t>
            </w:r>
          </w:p>
        </w:tc>
      </w:tr>
      <w:tr>
        <w:trPr>
          <w:trHeight w:val="169"/>
        </w:trPr>
        <w:tc>
          <w:tcPr>
            <w:tcW w:w="680" w:type="dxa"/>
            <w:vAlign w:val="bottom"/>
          </w:tcPr>
          <w:p>
            <w:pPr>
              <w:spacing w:after="0"/>
              <w:rPr>
                <w:sz w:val="14"/>
                <w:szCs w:val="14"/>
                <w:color w:val="auto"/>
              </w:rPr>
            </w:pPr>
          </w:p>
        </w:tc>
        <w:tc>
          <w:tcPr>
            <w:tcW w:w="4280" w:type="dxa"/>
            <w:vAlign w:val="bottom"/>
            <w:tcBorders>
              <w:bottom w:val="single" w:sz="8" w:color="0000FF"/>
            </w:tcBorders>
            <w:gridSpan w:val="32"/>
          </w:tcPr>
          <w:p>
            <w:pPr>
              <w:spacing w:after="0" w:line="162" w:lineRule="exact"/>
              <w:rPr>
                <w:sz w:val="20"/>
                <w:szCs w:val="20"/>
                <w:color w:val="auto"/>
              </w:rPr>
            </w:pPr>
            <w:r>
              <w:rPr>
                <w:rFonts w:ascii="Arial" w:cs="Arial" w:eastAsia="Arial" w:hAnsi="Arial"/>
                <w:sz w:val="16"/>
                <w:szCs w:val="16"/>
                <w:color w:val="0000FF"/>
              </w:rPr>
              <w:t>Potential Payments Upon Termination or Change in Control</w:t>
            </w:r>
          </w:p>
        </w:tc>
        <w:tc>
          <w:tcPr>
            <w:tcW w:w="2160" w:type="dxa"/>
            <w:vAlign w:val="bottom"/>
            <w:gridSpan w:val="5"/>
          </w:tcPr>
          <w:p>
            <w:pPr>
              <w:spacing w:after="0"/>
              <w:rPr>
                <w:sz w:val="14"/>
                <w:szCs w:val="14"/>
                <w:color w:val="auto"/>
              </w:rPr>
            </w:pP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51</w:t>
            </w:r>
          </w:p>
        </w:tc>
      </w:tr>
      <w:tr>
        <w:trPr>
          <w:trHeight w:val="169"/>
        </w:trPr>
        <w:tc>
          <w:tcPr>
            <w:tcW w:w="7120" w:type="dxa"/>
            <w:vAlign w:val="bottom"/>
            <w:tcBorders>
              <w:bottom w:val="single" w:sz="8" w:color="0000FF"/>
            </w:tcBorders>
            <w:gridSpan w:val="38"/>
            <w:shd w:val="clear" w:color="auto" w:fill="CFF0FC"/>
          </w:tcPr>
          <w:p>
            <w:pPr>
              <w:spacing w:after="0" w:line="162" w:lineRule="exact"/>
              <w:rPr>
                <w:sz w:val="20"/>
                <w:szCs w:val="20"/>
                <w:color w:val="auto"/>
              </w:rPr>
            </w:pPr>
            <w:r>
              <w:rPr>
                <w:rFonts w:ascii="Arial" w:cs="Arial" w:eastAsia="Arial" w:hAnsi="Arial"/>
                <w:sz w:val="16"/>
                <w:szCs w:val="16"/>
                <w:color w:val="0000FF"/>
              </w:rPr>
              <w:t>Proposal Three - Ratification of the Appointment of Independent Registered Public Accounting Firm</w:t>
            </w:r>
          </w:p>
        </w:tc>
        <w:tc>
          <w:tcPr>
            <w:tcW w:w="4120" w:type="dxa"/>
            <w:vAlign w:val="bottom"/>
            <w:tcBorders>
              <w:bottom w:val="single" w:sz="8" w:color="CFF0FC"/>
            </w:tcBorders>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60</w:t>
            </w:r>
          </w:p>
        </w:tc>
      </w:tr>
      <w:tr>
        <w:trPr>
          <w:trHeight w:val="162"/>
        </w:trPr>
        <w:tc>
          <w:tcPr>
            <w:tcW w:w="680" w:type="dxa"/>
            <w:vAlign w:val="bottom"/>
          </w:tcPr>
          <w:p>
            <w:pPr>
              <w:spacing w:after="0"/>
              <w:rPr>
                <w:sz w:val="14"/>
                <w:szCs w:val="14"/>
                <w:color w:val="auto"/>
              </w:rPr>
            </w:pPr>
          </w:p>
        </w:tc>
        <w:tc>
          <w:tcPr>
            <w:tcW w:w="6440" w:type="dxa"/>
            <w:vAlign w:val="bottom"/>
            <w:gridSpan w:val="37"/>
          </w:tcPr>
          <w:p>
            <w:pPr>
              <w:spacing w:after="0" w:line="162" w:lineRule="exact"/>
              <w:rPr>
                <w:sz w:val="20"/>
                <w:szCs w:val="20"/>
                <w:color w:val="auto"/>
              </w:rPr>
            </w:pPr>
            <w:r>
              <w:rPr>
                <w:rFonts w:ascii="Arial" w:cs="Arial" w:eastAsia="Arial" w:hAnsi="Arial"/>
                <w:sz w:val="16"/>
                <w:szCs w:val="16"/>
                <w:color w:val="0000FF"/>
              </w:rPr>
              <w:t>Audit Fees, Audit-Related Fees, Tax Fees, and All Other Fees</w:t>
            </w:r>
          </w:p>
        </w:tc>
        <w:tc>
          <w:tcPr>
            <w:tcW w:w="4120" w:type="dxa"/>
            <w:vAlign w:val="bottom"/>
          </w:tcPr>
          <w:p>
            <w:pPr>
              <w:jc w:val="center"/>
              <w:ind w:left="3059"/>
              <w:spacing w:after="0" w:line="162" w:lineRule="exact"/>
              <w:rPr>
                <w:sz w:val="20"/>
                <w:szCs w:val="20"/>
                <w:color w:val="auto"/>
              </w:rPr>
            </w:pPr>
            <w:r>
              <w:rPr>
                <w:rFonts w:ascii="Arial" w:cs="Arial" w:eastAsia="Arial" w:hAnsi="Arial"/>
                <w:sz w:val="16"/>
                <w:szCs w:val="16"/>
                <w:color w:val="auto"/>
              </w:rPr>
              <w:t>61</w:t>
            </w:r>
          </w:p>
        </w:tc>
      </w:tr>
      <w:tr>
        <w:trPr>
          <w:trHeight w:val="27"/>
        </w:trPr>
        <w:tc>
          <w:tcPr>
            <w:tcW w:w="6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169"/>
        </w:trPr>
        <w:tc>
          <w:tcPr>
            <w:tcW w:w="7120" w:type="dxa"/>
            <w:vAlign w:val="bottom"/>
            <w:gridSpan w:val="38"/>
            <w:shd w:val="clear" w:color="auto" w:fill="CFF0FC"/>
          </w:tcPr>
          <w:p>
            <w:pPr>
              <w:spacing w:after="0" w:line="162" w:lineRule="exact"/>
              <w:rPr>
                <w:sz w:val="20"/>
                <w:szCs w:val="20"/>
                <w:color w:val="auto"/>
              </w:rPr>
            </w:pPr>
            <w:r>
              <w:rPr>
                <w:rFonts w:ascii="Arial" w:cs="Arial" w:eastAsia="Arial" w:hAnsi="Arial"/>
                <w:sz w:val="16"/>
                <w:szCs w:val="16"/>
                <w:color w:val="0000FF"/>
              </w:rPr>
              <w:t>Proposals of Stockholders and Stockholder Nominations for 2026 Annual Meeting</w:t>
            </w:r>
          </w:p>
        </w:tc>
        <w:tc>
          <w:tcPr>
            <w:tcW w:w="4120" w:type="dxa"/>
            <w:vAlign w:val="bottom"/>
            <w:shd w:val="clear" w:color="auto" w:fill="CFF0FC"/>
          </w:tcPr>
          <w:p>
            <w:pPr>
              <w:jc w:val="center"/>
              <w:ind w:left="3059"/>
              <w:spacing w:after="0" w:line="162" w:lineRule="exact"/>
              <w:rPr>
                <w:sz w:val="20"/>
                <w:szCs w:val="20"/>
                <w:color w:val="auto"/>
              </w:rPr>
            </w:pPr>
            <w:r>
              <w:rPr>
                <w:rFonts w:ascii="Arial" w:cs="Arial" w:eastAsia="Arial" w:hAnsi="Arial"/>
                <w:sz w:val="16"/>
                <w:szCs w:val="16"/>
                <w:color w:val="auto"/>
              </w:rPr>
              <w:t>62</w:t>
            </w:r>
          </w:p>
        </w:tc>
      </w:tr>
      <w:tr>
        <w:trPr>
          <w:trHeight w:val="169"/>
        </w:trPr>
        <w:tc>
          <w:tcPr>
            <w:tcW w:w="5860" w:type="dxa"/>
            <w:vAlign w:val="bottom"/>
            <w:tcBorders>
              <w:top w:val="single" w:sz="8" w:color="0000FF"/>
            </w:tcBorders>
            <w:gridSpan w:val="36"/>
          </w:tcPr>
          <w:p>
            <w:pPr>
              <w:spacing w:after="0" w:line="162" w:lineRule="exact"/>
              <w:rPr>
                <w:sz w:val="20"/>
                <w:szCs w:val="20"/>
                <w:color w:val="auto"/>
              </w:rPr>
            </w:pPr>
            <w:r>
              <w:rPr>
                <w:rFonts w:ascii="Arial" w:cs="Arial" w:eastAsia="Arial" w:hAnsi="Arial"/>
                <w:sz w:val="16"/>
                <w:szCs w:val="16"/>
                <w:color w:val="0000FF"/>
              </w:rPr>
              <w:t>Annual Report and Form 10-K</w:t>
            </w:r>
          </w:p>
        </w:tc>
        <w:tc>
          <w:tcPr>
            <w:tcW w:w="1260" w:type="dxa"/>
            <w:vAlign w:val="bottom"/>
            <w:tcBorders>
              <w:top w:val="single" w:sz="8" w:color="CFF0FC"/>
            </w:tcBorders>
            <w:gridSpan w:val="2"/>
          </w:tcPr>
          <w:p>
            <w:pPr>
              <w:spacing w:after="0"/>
              <w:rPr>
                <w:sz w:val="14"/>
                <w:szCs w:val="14"/>
                <w:color w:val="auto"/>
              </w:rPr>
            </w:pPr>
          </w:p>
        </w:tc>
        <w:tc>
          <w:tcPr>
            <w:tcW w:w="4120" w:type="dxa"/>
            <w:vAlign w:val="bottom"/>
            <w:tcBorders>
              <w:top w:val="single" w:sz="8" w:color="CFF0FC"/>
            </w:tcBorders>
          </w:tcPr>
          <w:p>
            <w:pPr>
              <w:jc w:val="center"/>
              <w:ind w:left="3059"/>
              <w:spacing w:after="0" w:line="162" w:lineRule="exact"/>
              <w:rPr>
                <w:sz w:val="20"/>
                <w:szCs w:val="20"/>
                <w:color w:val="auto"/>
              </w:rPr>
            </w:pPr>
            <w:r>
              <w:rPr>
                <w:rFonts w:ascii="Arial" w:cs="Arial" w:eastAsia="Arial" w:hAnsi="Arial"/>
                <w:sz w:val="16"/>
                <w:szCs w:val="16"/>
                <w:color w:val="auto"/>
              </w:rPr>
              <w:t>63</w:t>
            </w:r>
          </w:p>
        </w:tc>
      </w:tr>
      <w:tr>
        <w:trPr>
          <w:trHeight w:val="169"/>
        </w:trPr>
        <w:tc>
          <w:tcPr>
            <w:tcW w:w="2160" w:type="dxa"/>
            <w:vAlign w:val="bottom"/>
            <w:tcBorders>
              <w:top w:val="single" w:sz="8" w:color="0000FF"/>
              <w:right w:val="single" w:sz="8" w:color="CFF0FC"/>
            </w:tcBorders>
            <w:gridSpan w:val="9"/>
            <w:shd w:val="clear" w:color="auto" w:fill="CFF0FC"/>
          </w:tcPr>
          <w:p>
            <w:pPr>
              <w:spacing w:after="0" w:line="162" w:lineRule="exact"/>
              <w:rPr>
                <w:sz w:val="20"/>
                <w:szCs w:val="20"/>
                <w:color w:val="auto"/>
              </w:rPr>
            </w:pPr>
            <w:r>
              <w:rPr>
                <w:rFonts w:ascii="Arial" w:cs="Arial" w:eastAsia="Arial" w:hAnsi="Arial"/>
                <w:sz w:val="16"/>
                <w:szCs w:val="16"/>
                <w:color w:val="0000FF"/>
              </w:rPr>
              <w:t>Meeting Location</w:t>
            </w:r>
          </w:p>
        </w:tc>
        <w:tc>
          <w:tcPr>
            <w:tcW w:w="4960" w:type="dxa"/>
            <w:vAlign w:val="bottom"/>
            <w:gridSpan w:val="29"/>
            <w:shd w:val="clear" w:color="auto" w:fill="CFF0FC"/>
          </w:tcPr>
          <w:p>
            <w:pPr>
              <w:spacing w:after="0"/>
              <w:rPr>
                <w:sz w:val="14"/>
                <w:szCs w:val="14"/>
                <w:color w:val="auto"/>
              </w:rPr>
            </w:pPr>
          </w:p>
        </w:tc>
        <w:tc>
          <w:tcPr>
            <w:tcW w:w="4120" w:type="dxa"/>
            <w:vAlign w:val="bottom"/>
            <w:shd w:val="clear" w:color="auto" w:fill="CFF0FC"/>
          </w:tcPr>
          <w:p>
            <w:pPr>
              <w:ind w:left="3220"/>
              <w:spacing w:after="0" w:line="162" w:lineRule="exact"/>
              <w:rPr>
                <w:sz w:val="20"/>
                <w:szCs w:val="20"/>
                <w:color w:val="auto"/>
              </w:rPr>
            </w:pPr>
            <w:r>
              <w:rPr>
                <w:rFonts w:ascii="Arial" w:cs="Arial" w:eastAsia="Arial" w:hAnsi="Arial"/>
                <w:sz w:val="16"/>
                <w:szCs w:val="16"/>
                <w:color w:val="auto"/>
              </w:rPr>
              <w:t>Back Cover</w:t>
            </w:r>
          </w:p>
        </w:tc>
      </w:tr>
      <w:tr>
        <w:trPr>
          <w:trHeight w:val="1195"/>
        </w:trPr>
        <w:tc>
          <w:tcPr>
            <w:tcW w:w="6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6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2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360" w:type="dxa"/>
            <w:vAlign w:val="bottom"/>
            <w:tcBorders>
              <w:top w:val="single" w:sz="8" w:color="CFF0FC"/>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CFF0FC"/>
              <w:bottom w:val="single" w:sz="8" w:color="9A9A9A"/>
            </w:tcBorders>
          </w:tcPr>
          <w:p>
            <w:pPr>
              <w:spacing w:after="0"/>
              <w:rPr>
                <w:sz w:val="24"/>
                <w:szCs w:val="24"/>
                <w:color w:val="auto"/>
              </w:rPr>
            </w:pPr>
          </w:p>
        </w:tc>
        <w:tc>
          <w:tcPr>
            <w:tcW w:w="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CFF0FC"/>
              <w:bottom w:val="single" w:sz="8" w:color="9A9A9A"/>
            </w:tcBorders>
          </w:tcPr>
          <w:p>
            <w:pPr>
              <w:spacing w:after="0"/>
              <w:rPr>
                <w:sz w:val="24"/>
                <w:szCs w:val="24"/>
                <w:color w:val="auto"/>
              </w:rPr>
            </w:pPr>
          </w:p>
        </w:tc>
        <w:tc>
          <w:tcPr>
            <w:tcW w:w="88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CFF0FC"/>
              <w:bottom w:val="single" w:sz="8" w:color="9A9A9A"/>
            </w:tcBorders>
          </w:tcPr>
          <w:p>
            <w:pPr>
              <w:spacing w:after="0"/>
              <w:rPr>
                <w:sz w:val="24"/>
                <w:szCs w:val="24"/>
                <w:color w:val="auto"/>
              </w:rPr>
            </w:pPr>
          </w:p>
        </w:tc>
        <w:tc>
          <w:tcPr>
            <w:tcW w:w="4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29"/>
          <w:szCs w:val="29"/>
          <w:b w:val="1"/>
          <w:bCs w:val="1"/>
          <w:color w:val="auto"/>
        </w:rPr>
        <w:t>D</w:t>
      </w:r>
      <w:r>
        <w:rPr>
          <w:rFonts w:ascii="Arial" w:cs="Arial" w:eastAsia="Arial" w:hAnsi="Arial"/>
          <w:sz w:val="25"/>
          <w:szCs w:val="25"/>
          <w:b w:val="1"/>
          <w:bCs w:val="1"/>
          <w:color w:val="auto"/>
        </w:rPr>
        <w:t>IODES</w:t>
      </w:r>
      <w:r>
        <w:rPr>
          <w:rFonts w:ascii="Arial" w:cs="Arial" w:eastAsia="Arial" w:hAnsi="Arial"/>
          <w:sz w:val="29"/>
          <w:szCs w:val="29"/>
          <w:b w:val="1"/>
          <w:bCs w:val="1"/>
          <w:color w:val="auto"/>
        </w:rPr>
        <w:t xml:space="preserve"> I</w:t>
      </w:r>
      <w:r>
        <w:rPr>
          <w:rFonts w:ascii="Arial" w:cs="Arial" w:eastAsia="Arial" w:hAnsi="Arial"/>
          <w:sz w:val="25"/>
          <w:szCs w:val="25"/>
          <w:b w:val="1"/>
          <w:bCs w:val="1"/>
          <w:color w:val="auto"/>
        </w:rPr>
        <w:t>NCORPORATED</w:t>
      </w:r>
    </w:p>
    <w:p>
      <w:pPr>
        <w:spacing w:after="0" w:line="22"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4949 Hedgcoxe Road, Suite 200</w:t>
      </w:r>
    </w:p>
    <w:p>
      <w:pPr>
        <w:ind w:left="4640"/>
        <w:spacing w:after="0" w:line="230" w:lineRule="auto"/>
        <w:rPr>
          <w:sz w:val="20"/>
          <w:szCs w:val="20"/>
          <w:color w:val="auto"/>
        </w:rPr>
      </w:pPr>
      <w:r>
        <w:rPr>
          <w:rFonts w:ascii="Arial" w:cs="Arial" w:eastAsia="Arial" w:hAnsi="Arial"/>
          <w:sz w:val="22"/>
          <w:szCs w:val="22"/>
          <w:b w:val="1"/>
          <w:bCs w:val="1"/>
          <w:color w:val="auto"/>
        </w:rPr>
        <w:t>Plano, Texas 75024</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(972) 987-3900</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P</w:t>
      </w:r>
      <w:r>
        <w:rPr>
          <w:rFonts w:ascii="Arial" w:cs="Arial" w:eastAsia="Arial" w:hAnsi="Arial"/>
          <w:sz w:val="19"/>
          <w:szCs w:val="19"/>
          <w:b w:val="1"/>
          <w:bCs w:val="1"/>
          <w:color w:val="auto"/>
        </w:rPr>
        <w:t>ROXY</w:t>
      </w:r>
      <w:r>
        <w:rPr>
          <w:rFonts w:ascii="Arial" w:cs="Arial" w:eastAsia="Arial" w:hAnsi="Arial"/>
          <w:sz w:val="25"/>
          <w:szCs w:val="25"/>
          <w:b w:val="1"/>
          <w:bCs w:val="1"/>
          <w:color w:val="auto"/>
        </w:rPr>
        <w:t xml:space="preserve"> S</w:t>
      </w:r>
      <w:r>
        <w:rPr>
          <w:rFonts w:ascii="Arial" w:cs="Arial" w:eastAsia="Arial" w:hAnsi="Arial"/>
          <w:sz w:val="19"/>
          <w:szCs w:val="19"/>
          <w:b w:val="1"/>
          <w:bCs w:val="1"/>
          <w:color w:val="auto"/>
        </w:rPr>
        <w:t>TATEMENT</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9"/>
          <w:szCs w:val="19"/>
          <w:b w:val="1"/>
          <w:bCs w:val="1"/>
          <w:color w:val="auto"/>
        </w:rPr>
        <w:t>NNUAL</w:t>
      </w:r>
      <w:r>
        <w:rPr>
          <w:rFonts w:ascii="Arial" w:cs="Arial" w:eastAsia="Arial" w:hAnsi="Arial"/>
          <w:sz w:val="25"/>
          <w:szCs w:val="25"/>
          <w:b w:val="1"/>
          <w:bCs w:val="1"/>
          <w:color w:val="auto"/>
        </w:rPr>
        <w:t xml:space="preserve"> M</w:t>
      </w:r>
      <w:r>
        <w:rPr>
          <w:rFonts w:ascii="Arial" w:cs="Arial" w:eastAsia="Arial" w:hAnsi="Arial"/>
          <w:sz w:val="19"/>
          <w:szCs w:val="19"/>
          <w:b w:val="1"/>
          <w:bCs w:val="1"/>
          <w:color w:val="auto"/>
        </w:rPr>
        <w:t>EETING:</w:t>
      </w:r>
      <w:r>
        <w:rPr>
          <w:rFonts w:ascii="Arial" w:cs="Arial" w:eastAsia="Arial" w:hAnsi="Arial"/>
          <w:sz w:val="25"/>
          <w:szCs w:val="25"/>
          <w:b w:val="1"/>
          <w:bCs w:val="1"/>
          <w:color w:val="auto"/>
        </w:rPr>
        <w:t xml:space="preserve"> May 11, 2026</w:t>
      </w:r>
    </w:p>
    <w:p>
      <w:pPr>
        <w:spacing w:after="0" w:line="101" w:lineRule="exact"/>
        <w:rPr>
          <w:sz w:val="20"/>
          <w:szCs w:val="20"/>
          <w:color w:val="auto"/>
        </w:rPr>
      </w:pPr>
    </w:p>
    <w:p>
      <w:pPr>
        <w:jc w:val="center"/>
        <w:ind w:right="120"/>
        <w:spacing w:after="0"/>
        <w:rPr>
          <w:sz w:val="20"/>
          <w:szCs w:val="20"/>
          <w:color w:val="auto"/>
        </w:rPr>
      </w:pPr>
      <w:r>
        <w:rPr>
          <w:rFonts w:ascii="Arial" w:cs="Arial" w:eastAsia="Arial" w:hAnsi="Arial"/>
          <w:sz w:val="43"/>
          <w:szCs w:val="43"/>
          <w:color w:val="005CA9"/>
        </w:rPr>
        <w:t>GENERAL INFORMATION</w:t>
      </w:r>
    </w:p>
    <w:p>
      <w:pPr>
        <w:spacing w:after="0" w:line="13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This proxy statement (“Proxy Statement”) is furnished in connection with the solicitation of proxies by the Board of Directors (the “Board”) of Diodes Incorporated (the “Company”) for use at the annual meeting (the “Meeting”) of the stockholders of the Company to be held online via live audio webcast at www.proxydocs.com/DIOD on Monday, May 11, 2026, at 6:30 p.m. (Central Time), and at any adjournment or postponement thereof. Only stockholders of record at the close of business on March 12, 2026 (the “Record Date”) are entitled to notice of and to vote by proxy or at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MATTERS TO BE CONSIDERED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The matters to be considered and voted upon at the Meeting will be:</w:t>
      </w:r>
    </w:p>
    <w:p>
      <w:pPr>
        <w:spacing w:after="0" w:line="74" w:lineRule="exact"/>
        <w:rPr>
          <w:sz w:val="20"/>
          <w:szCs w:val="20"/>
          <w:color w:val="auto"/>
        </w:rPr>
      </w:pPr>
    </w:p>
    <w:p>
      <w:pPr>
        <w:jc w:val="both"/>
        <w:ind w:left="1020" w:hanging="503"/>
        <w:spacing w:after="0" w:line="234" w:lineRule="auto"/>
        <w:tabs>
          <w:tab w:leader="none" w:pos="1020" w:val="left"/>
        </w:tabs>
        <w:numPr>
          <w:ilvl w:val="0"/>
          <w:numId w:val="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Election of Directors. </w:t>
      </w:r>
      <w:r>
        <w:rPr>
          <w:rFonts w:ascii="Arial" w:cs="Arial" w:eastAsia="Arial" w:hAnsi="Arial"/>
          <w:sz w:val="20"/>
          <w:szCs w:val="20"/>
          <w:color w:val="auto"/>
        </w:rPr>
        <w:t>To elect seven persons to the Board of Directors of the Company, each to serve until the</w:t>
      </w:r>
      <w:r>
        <w:rPr>
          <w:rFonts w:ascii="Arial" w:cs="Arial" w:eastAsia="Arial" w:hAnsi="Arial"/>
          <w:sz w:val="20"/>
          <w:szCs w:val="20"/>
          <w:b w:val="1"/>
          <w:bCs w:val="1"/>
          <w:color w:val="auto"/>
        </w:rPr>
        <w:t xml:space="preserve"> </w:t>
      </w:r>
      <w:r>
        <w:rPr>
          <w:rFonts w:ascii="Arial" w:cs="Arial" w:eastAsia="Arial" w:hAnsi="Arial"/>
          <w:sz w:val="20"/>
          <w:szCs w:val="20"/>
          <w:color w:val="auto"/>
        </w:rPr>
        <w:t>next annual meeting of stockholders and until their respective successors have been elected and qualified. The Board of Directors’ nominees are: Elizabeth Bull, Angie Chen Button, Warren Chen, Keh-Shew Lu, Philip J. Ritter, Huey-Jen (Jenny) Su, and Gary Yu.</w:t>
      </w:r>
    </w:p>
    <w:p>
      <w:pPr>
        <w:spacing w:after="0" w:line="61" w:lineRule="exact"/>
        <w:rPr>
          <w:rFonts w:ascii="Calibri" w:cs="Calibri" w:eastAsia="Calibri" w:hAnsi="Calibri"/>
          <w:sz w:val="20"/>
          <w:szCs w:val="20"/>
          <w:b w:val="1"/>
          <w:bCs w:val="1"/>
          <w:color w:val="auto"/>
        </w:rPr>
      </w:pPr>
    </w:p>
    <w:p>
      <w:pPr>
        <w:ind w:left="1020" w:hanging="503"/>
        <w:spacing w:after="0"/>
        <w:tabs>
          <w:tab w:leader="none" w:pos="1020" w:val="left"/>
        </w:tabs>
        <w:numPr>
          <w:ilvl w:val="0"/>
          <w:numId w:val="5"/>
        </w:numPr>
        <w:rPr>
          <w:rFonts w:ascii="Calibri" w:cs="Calibri" w:eastAsia="Calibri" w:hAnsi="Calibri"/>
          <w:sz w:val="19"/>
          <w:szCs w:val="19"/>
          <w:b w:val="1"/>
          <w:bCs w:val="1"/>
          <w:color w:val="auto"/>
        </w:rPr>
      </w:pPr>
      <w:r>
        <w:rPr>
          <w:rFonts w:ascii="Arial" w:cs="Arial" w:eastAsia="Arial" w:hAnsi="Arial"/>
          <w:sz w:val="19"/>
          <w:szCs w:val="19"/>
          <w:b w:val="1"/>
          <w:bCs w:val="1"/>
          <w:color w:val="auto"/>
        </w:rPr>
        <w:t xml:space="preserve">Approval of Executive Compensation. </w:t>
      </w:r>
      <w:r>
        <w:rPr>
          <w:rFonts w:ascii="Arial" w:cs="Arial" w:eastAsia="Arial" w:hAnsi="Arial"/>
          <w:sz w:val="19"/>
          <w:szCs w:val="19"/>
          <w:color w:val="auto"/>
        </w:rPr>
        <w:t>To approve, on an advisory basis, the Company’s executive compensation.</w:t>
      </w:r>
    </w:p>
    <w:p>
      <w:pPr>
        <w:spacing w:after="0" w:line="132" w:lineRule="exact"/>
        <w:rPr>
          <w:rFonts w:ascii="Calibri" w:cs="Calibri" w:eastAsia="Calibri" w:hAnsi="Calibri"/>
          <w:sz w:val="19"/>
          <w:szCs w:val="19"/>
          <w:b w:val="1"/>
          <w:bCs w:val="1"/>
          <w:color w:val="auto"/>
        </w:rPr>
      </w:pPr>
    </w:p>
    <w:p>
      <w:pPr>
        <w:jc w:val="both"/>
        <w:ind w:left="1020" w:hanging="503"/>
        <w:spacing w:after="0" w:line="236" w:lineRule="auto"/>
        <w:tabs>
          <w:tab w:leader="none" w:pos="1020" w:val="left"/>
        </w:tabs>
        <w:numPr>
          <w:ilvl w:val="0"/>
          <w:numId w:val="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Ratification of Appointment of Independent Registered Public Accounting Firm. </w:t>
      </w:r>
      <w:r>
        <w:rPr>
          <w:rFonts w:ascii="Arial" w:cs="Arial" w:eastAsia="Arial" w:hAnsi="Arial"/>
          <w:sz w:val="20"/>
          <w:szCs w:val="20"/>
          <w:color w:val="auto"/>
        </w:rPr>
        <w:t>To ratify the appointment of</w:t>
      </w:r>
      <w:r>
        <w:rPr>
          <w:rFonts w:ascii="Arial" w:cs="Arial" w:eastAsia="Arial" w:hAnsi="Arial"/>
          <w:sz w:val="20"/>
          <w:szCs w:val="20"/>
          <w:b w:val="1"/>
          <w:bCs w:val="1"/>
          <w:color w:val="auto"/>
        </w:rPr>
        <w:t xml:space="preserve"> </w:t>
      </w:r>
      <w:r>
        <w:rPr>
          <w:rFonts w:ascii="Arial" w:cs="Arial" w:eastAsia="Arial" w:hAnsi="Arial"/>
          <w:sz w:val="20"/>
          <w:szCs w:val="20"/>
          <w:color w:val="auto"/>
        </w:rPr>
        <w:t>PricewaterhouseCoopers LLP as the Company’s independent registered public accounting firm for the fiscal year ending December 31, 2026.</w:t>
      </w:r>
    </w:p>
    <w:p>
      <w:pPr>
        <w:spacing w:after="0" w:line="63" w:lineRule="exact"/>
        <w:rPr>
          <w:rFonts w:ascii="Calibri" w:cs="Calibri" w:eastAsia="Calibri" w:hAnsi="Calibri"/>
          <w:sz w:val="20"/>
          <w:szCs w:val="20"/>
          <w:b w:val="1"/>
          <w:bCs w:val="1"/>
          <w:color w:val="auto"/>
        </w:rPr>
      </w:pPr>
    </w:p>
    <w:p>
      <w:pPr>
        <w:ind w:left="1020" w:hanging="503"/>
        <w:spacing w:after="0" w:line="245" w:lineRule="auto"/>
        <w:tabs>
          <w:tab w:leader="none" w:pos="1020" w:val="left"/>
        </w:tabs>
        <w:numPr>
          <w:ilvl w:val="0"/>
          <w:numId w:val="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Other Business. </w:t>
      </w:r>
      <w:r>
        <w:rPr>
          <w:rFonts w:ascii="Arial" w:cs="Arial" w:eastAsia="Arial" w:hAnsi="Arial"/>
          <w:sz w:val="20"/>
          <w:szCs w:val="20"/>
          <w:color w:val="auto"/>
        </w:rPr>
        <w:t>To transact such other business as properly may come before the Meeting or any adjournment or</w:t>
      </w:r>
      <w:r>
        <w:rPr>
          <w:rFonts w:ascii="Arial" w:cs="Arial" w:eastAsia="Arial" w:hAnsi="Arial"/>
          <w:sz w:val="20"/>
          <w:szCs w:val="20"/>
          <w:b w:val="1"/>
          <w:bCs w:val="1"/>
          <w:color w:val="auto"/>
        </w:rPr>
        <w:t xml:space="preserve"> </w:t>
      </w:r>
      <w:r>
        <w:rPr>
          <w:rFonts w:ascii="Arial" w:cs="Arial" w:eastAsia="Arial" w:hAnsi="Arial"/>
          <w:sz w:val="20"/>
          <w:szCs w:val="20"/>
          <w:color w:val="auto"/>
        </w:rPr>
        <w:t>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VOTING RECOMMENDATIONS OF THE BOARD</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Board recommends that you vote your shares “FOR” each of the nominees to the Board, “FOR” the approval of executive compensation, and “FOR” the ratification of the appointment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VOTING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Brokerage firms who are members of the New York Stock Exchange cannot vote your shares held in street name in the election of directors or on executive compensation, if you fail to instruct the organization how to vote such shares. Therefore, it is very important that you provide instructions on how to vote any shares beneficially owned by you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INTERNET ACCESS TO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Under rules adopted by the Securities and Exchange Commission (the “SEC”), the Company has elected to provide access to our proxy materials over the Internet at www.proxydocs.com/DIOD. Stockholders will not receive printed copies of the proxy materials unless they have requested us to provide proxy materials in printed form. On or about April 1, 2026, a Notice of Internet Availability of Proxy Materials (the “Notice”) will be first sent to our stockholders of record and beneficial owners. All stockholders receiving the Notice can request a printed copy of the proxy materials.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The Notice provides you with instructions regarding how to:</w:t>
      </w:r>
    </w:p>
    <w:p>
      <w:pPr>
        <w:spacing w:after="0" w:line="9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View our proxy materials for the Meeting on the Internet;</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Request a printed copy of the proxy materials; and</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Instruct us to send future proxy materials to you by mail or electronically by email on an ongoing basis.</w:t>
      </w:r>
    </w:p>
    <w:p>
      <w:pPr>
        <w:spacing w:after="0" w:line="10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 Your election to receive proxy materials by email will remain in effect until you terminate it, and it is your responsibility to notify us of any change to your email address given to us.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The proxy materials include:</w:t>
      </w:r>
    </w:p>
    <w:p>
      <w:pPr>
        <w:spacing w:after="0" w:line="9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Notice of Annual Meeting of Stockholders;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This Proxy Statement; and</w:t>
      </w:r>
    </w:p>
    <w:p>
      <w:pPr>
        <w:spacing w:after="0" w:line="106" w:lineRule="exact"/>
        <w:rPr>
          <w:rFonts w:ascii="Times New Roman" w:cs="Times New Roman" w:eastAsia="Times New Roman" w:hAnsi="Times New Roman"/>
          <w:sz w:val="20"/>
          <w:szCs w:val="20"/>
          <w:color w:val="auto"/>
        </w:rPr>
      </w:pPr>
    </w:p>
    <w:p>
      <w:pPr>
        <w:ind w:right="1180" w:firstLine="517"/>
        <w:spacing w:after="0" w:line="375" w:lineRule="auto"/>
        <w:tabs>
          <w:tab w:leader="none" w:pos="1018"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The 2025 Annual Report to Stockholders, which includes our audited consolidated financial statements. If you request printed copies of the proxy materials by mail, these materials will also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005CA9"/>
        </w:rPr>
        <w:t>HOW TO VOTE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Stockholder of Record. </w:t>
      </w:r>
      <w:r>
        <w:rPr>
          <w:rFonts w:ascii="Arial" w:cs="Arial" w:eastAsia="Arial" w:hAnsi="Arial"/>
          <w:sz w:val="20"/>
          <w:szCs w:val="20"/>
          <w:color w:val="auto"/>
        </w:rPr>
        <w:t>If your shares are registered directly in your name with our transfer agent, Continental Stock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firstLine="8"/>
        <w:spacing w:after="0" w:line="234" w:lineRule="auto"/>
        <w:tabs>
          <w:tab w:leader="none" w:pos="188" w:val="left"/>
        </w:tabs>
        <w:numPr>
          <w:ilvl w:val="0"/>
          <w:numId w:val="8"/>
        </w:numPr>
        <w:rPr>
          <w:rFonts w:ascii="Arial" w:cs="Arial" w:eastAsia="Arial" w:hAnsi="Arial"/>
          <w:sz w:val="20"/>
          <w:szCs w:val="20"/>
          <w:color w:val="auto"/>
        </w:rPr>
      </w:pPr>
      <w:r>
        <w:rPr>
          <w:rFonts w:ascii="Arial" w:cs="Arial" w:eastAsia="Arial" w:hAnsi="Arial"/>
          <w:sz w:val="20"/>
          <w:szCs w:val="20"/>
          <w:color w:val="auto"/>
        </w:rPr>
        <w:t>Trust Company, you are considered the stockholder of record with respect to those shares, and the Notice was sent directly to you by the Company. If you are a stockholder of record, you may attend the Meeting and vote in person via the Internet at www.proxydocs.com/DIOD.</w:t>
      </w:r>
    </w:p>
    <w:p>
      <w:pPr>
        <w:spacing w:after="0" w:line="6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If you do not wish to attend the Meeting and vote online during the Meeting, you may vote by proxy. There are three ways to vote by proxy. You may submit a proxy by telephone by calling (855) 686-4804 and following the instructions provided. You may submit a proxy over the Internet at </w:t>
      </w:r>
      <w:r>
        <w:rPr>
          <w:rFonts w:ascii="Arial" w:cs="Arial" w:eastAsia="Arial" w:hAnsi="Arial"/>
          <w:sz w:val="20"/>
          <w:szCs w:val="20"/>
          <w:u w:val="single" w:color="auto"/>
          <w:color w:val="auto"/>
        </w:rPr>
        <w:t>www.proxypush.com/diod</w:t>
      </w:r>
      <w:r>
        <w:rPr>
          <w:rFonts w:ascii="Arial" w:cs="Arial" w:eastAsia="Arial" w:hAnsi="Arial"/>
          <w:sz w:val="20"/>
          <w:szCs w:val="20"/>
          <w:color w:val="auto"/>
        </w:rPr>
        <w:t xml:space="preserve"> by following the instructions provided. If you request and receive a printed copy of the proxy materials by mail, you can submit a proxy by signing and dating the enclosed proxy card and either mailing it in the postage-paid envelope provided to the address stated on the proxy card or transmitting it by facsimile to the Inspector of Elections at (972) 987-3900.</w:t>
      </w:r>
    </w:p>
    <w:p>
      <w:pPr>
        <w:spacing w:after="0" w:line="6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Telephone and Internet voting facilities for stockholders will be available 24 hours a day and will close at 11:59 p.m. (Central Time) on May 10, 2026. If a proxy is properly submitted and is not revoked, the proxy will be voted at the Meeting in accordance with the stockholder’s instructions indicated on the proxy. If no instructions are indicated on the proxy with respect to any matter, the proxy will be voted on such matter as follows: “FOR” the election of the Board’s nominees, “FOR” the approval of executive compensation, “FOR” ratification of the appointment of PricewaterhouseCoopers LLP as our independent registered public accounting firm for the fiscal year ending December 31, 2026, and in accordance with the recommendations of the Board as to any other matter that may properly be brought before the Meeting or any adjournment or postponement thereof.</w:t>
      </w:r>
    </w:p>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Beneficial Owner of Shares Held in Street Name. </w:t>
      </w:r>
      <w:r>
        <w:rPr>
          <w:rFonts w:ascii="Arial" w:cs="Arial" w:eastAsia="Arial" w:hAnsi="Arial"/>
          <w:sz w:val="20"/>
          <w:szCs w:val="20"/>
          <w:color w:val="auto"/>
        </w:rPr>
        <w:t>If your shares are held in an account at a brokerage firm, bank, broker-dealer, or other similar organization, then you are the beneficial owner of shares held in “street name,” and the Notice was forwarded to you by that organization. The organization holding your shares is considered the stockholder of record for purposes of voting at the Meeting. As a beneficial owner, you have the right to direct that organization on how to vote the shares held in your account by following the instructions they provided. If you wish to attend the Meeting and vote during the Meeting in person via the Internet, you must obtain a proxy executed in your favor from the organization that holds your shares.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Even if you plan to attend the Meeting, the Company recommends that you also submit your proxy or voting instructions so that your vote will be counted if you later decide not to attend the Meeting.</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HOW TO CHANGE OR REVOKE YOUR VOTE</w:t>
      </w:r>
    </w:p>
    <w:p>
      <w:pPr>
        <w:spacing w:after="0" w:line="6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You may change your vote at any time before the vote at the Meeting. If you are a stockholder of record, you may change your vote by submitting a proxy over the Internet or telephone on a later date (only your last Internet or telephone proxy will be counted), or by filing a written revocation, or a duly executed proxy card bearing a later date, with the Company’s Corporate Secretary at the Meeting or at our offices located at 4949 Hedgcoxe Road, Suite 200, Plano, Texas 75024 provided that any such written revocation or duly executed proxy card bearing a later date must be received at such offices no later than May 10, 2026. You may also change your vote by attending the Meeting and voting in person via the Internet. Attending the Meeting will not automatically revoke a previously granted proxy unless you vote at the Meeting or file a written revocation with the Company’s Corporate Secretary at or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-1118870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If you are a beneficial owner of shares held in street name, you may change your vote by submitting new voting instructions to the brokerage firm, bank, broker-dealer, or other organization holding your shares by following the instructions they provided or, if you obtained a proxy in your favor from that organization, by attending the Meeting and voting in person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MEETING ADMISSION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This year our Meeting will be a completely virtual meeting, which will be conducted via live audio webcast at www.proxydocs.com/DIOD. You are entitled to participate in the Meeting only if you were a holder of the Company's Common Stock at the close of business on March 12, 2026, which is the record date for the Meeting, or if you hold a valid proxy. If you plan to attend the Meeting online you must be registered no later than 11:59 p.m. (Central Time) on May 10, 2026. Upon completing your registration, you will receive further instructions via email, including your unique links that will allow you access to the Meeting and will also permit you to submit questions prior to the Meeting. Please be sure to follow instructions found on your proxy card and subsequent instructions that will be delivered to you via email. You will be able to participate in, and hear others from, any remote location that has Internet connectivity. Technical assistance is available as part of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VOTING RIGHTS</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authorized capital of the Company consists of (i) 70,000,000 shares of Common Stock, par value $0.66-2/3 per share (“Common Stock”), of which 46,006,563 shares were issued and outstanding on the Record Date, and (ii) 1,000,000 shares of Preferred Stock, par value $1.00 per share (“Preferred Stock”), none of which were issued and outstanding 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 majority of the shares of Common Stock issued and outstanding and entitled to vote at the Meeting, present either in person via the Internet or by proxy, constitutes a quorum for the conduct of business at the Meeting. Votes withheld, abstentions, and “broker non-votes” (as defined below) will be counted for the purpose of determining the presence of a quorum.</w:t>
      </w:r>
    </w:p>
    <w:p>
      <w:pPr>
        <w:spacing w:after="0" w:line="6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Each stockholder is entitled to one vote, in person via the Internet or by proxy, for each share of Common Stock standing in his or her name on the books of the Company at the close of business on the Record Date on any matter submitted to the stockholders, except that in connection with the election of directors, each stockholder has the right to cumulate votes. Cumulative voting entitles a stockholder to give one candidate a number of votes equal to the number of directors to be elected multiplied by the number of shares of Common Stock owned by such stockholder, or to distribute such stockholder’s votes on the same principle among as many candidates and in such manner as the stockholder shall desire.</w:t>
      </w:r>
    </w:p>
    <w:p>
      <w:pPr>
        <w:spacing w:after="0" w:line="6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If you are a stockholder of record and wish to exercise cumulative voting rights, you must submit a proxy by mail. Your proxy card or ballot must specify how you want to allocate your votes among the nominees. Telephone and Internet voting facilities do not accommodate cumulative voting. If you hold your shares in street name, contact your brokerage firm, bank, broker-dealer, or other similar organization for directions on how to exercise cumulative voting rights using their voting instruction card, or to request a legal proxy so that you can vote your shares directly. Discretionary authority to cumulate votes is hereby solicited by the Board. If you return a signed proxy card or submit voting instructions in writing without providing instructions about cumulative voting, or if you submit a proxy by telephone or in person via the Internet, you will confer on the designated Proxyholders named below discretionary authority to exercise cumulative voting. If they elect to do so, they will be authorized, in their discretion, to cast your votes for some or all of the nominees in the manner</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0"/>
          <w:szCs w:val="20"/>
          <w:color w:val="auto"/>
        </w:rPr>
        <w:t>recommended by the Board or otherwise in the discretion of the Proxyholders. However, they will not cast any of your votes for a nominee as to whom you have instructed them on your proxy card, voting instruction card or otherwise to withhold a vote. If you do not wish to grant the Proxyholders authority to cumulate your votes in the election of directors, you must explicitly state that objection on your proxy card or voting instruction card, as applicable.</w:t>
      </w:r>
    </w:p>
    <w:p>
      <w:pPr>
        <w:spacing w:after="0" w:line="64" w:lineRule="exact"/>
        <w:rPr>
          <w:sz w:val="20"/>
          <w:szCs w:val="20"/>
          <w:color w:val="auto"/>
        </w:rPr>
      </w:pPr>
    </w:p>
    <w:p>
      <w:pPr>
        <w:jc w:val="both"/>
        <w:spacing w:after="0" w:line="223" w:lineRule="exact"/>
        <w:rPr>
          <w:sz w:val="20"/>
          <w:szCs w:val="20"/>
          <w:color w:val="auto"/>
        </w:rPr>
      </w:pPr>
      <w:r>
        <w:rPr>
          <w:rFonts w:ascii="Arial" w:cs="Arial" w:eastAsia="Arial" w:hAnsi="Arial"/>
          <w:sz w:val="20"/>
          <w:szCs w:val="20"/>
          <w:color w:val="auto"/>
        </w:rPr>
        <w:t>For Proposal 1, our Bylaws provide that, in the election of directors, the candidates receiving the highest number of votes, up to the number of directors to be elected, shall be elected; provided, however, that the Board has adopted a policy requiring that, other than elections in which the number of director nominees exceeds the number of directors to be elected, each nominee will submit a resignation for consideration by the Board promptly following the election if he or she receives a greater number of votes “WITHHELD” than votes “FOR.” Abstentions and broker non</w:t>
      </w:r>
      <w:r>
        <w:rPr>
          <w:rFonts w:ascii="MS PGothic" w:cs="MS PGothic" w:eastAsia="MS PGothic" w:hAnsi="MS PGothic"/>
          <w:sz w:val="20"/>
          <w:szCs w:val="20"/>
          <w:color w:val="auto"/>
        </w:rPr>
        <w:t>‑</w:t>
      </w:r>
      <w:r>
        <w:rPr>
          <w:rFonts w:ascii="Arial" w:cs="Arial" w:eastAsia="Arial" w:hAnsi="Arial"/>
          <w:sz w:val="20"/>
          <w:szCs w:val="20"/>
          <w:color w:val="auto"/>
        </w:rPr>
        <w:t>votes are not considered a vote cast and, therefore, will have no effect with respect to the election of directors other than to reduce the number of affirmative votes required to elect a director. “Broker non</w:t>
      </w:r>
      <w:r>
        <w:rPr>
          <w:rFonts w:ascii="MS PGothic" w:cs="MS PGothic" w:eastAsia="MS PGothic" w:hAnsi="MS PGothic"/>
          <w:sz w:val="20"/>
          <w:szCs w:val="20"/>
          <w:color w:val="auto"/>
        </w:rPr>
        <w:t>‑</w:t>
      </w:r>
      <w:r>
        <w:rPr>
          <w:rFonts w:ascii="Arial" w:cs="Arial" w:eastAsia="Arial" w:hAnsi="Arial"/>
          <w:sz w:val="20"/>
          <w:szCs w:val="20"/>
          <w:color w:val="auto"/>
        </w:rPr>
        <w:t>votes” are shares of stock held in record name by brokers or nominees for which instructions have not been received from the beneficial owners or persons entitled to vote and the broker or nominee does not have discretionary voting power under applicable rules or the instrument under which it serves in such capacity. See “Proposal One – Election of Directors” and “Corporate Governance – Director Resignation Policy.”</w:t>
      </w:r>
    </w:p>
    <w:p>
      <w:pPr>
        <w:spacing w:after="0" w:line="7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Proposals 2 and 3 require the affirmative vote of the holders of a majority of the outstanding shares of Common Stock present, in person via the Internet or by proxy, and entitled to vote on the proposal at the Meeting. Abstentions will be included in the number of votes present and entitled to vote on these proposals and, accordingly, will have the effect of a vote “AGAINST” the proposal. Broker non-votes with respect to these proposals will not be counted as shares present and entitled to vote on these proposals and, accordingly, will not have any effect with respect to the approval of these proposals (other than to reduce the number of affirmative votes required to approve the proposal). The vote with respect to executive compensation is not binding on the Company, the Board or the Compensation Committee of the Board. However, the Board and the Compensation Committee will review the result of this vote and take it into consideration when making future decisions regarding executive compensation. Although the appointment of PricewaterhouseCoopers LLP as the Company’s independent registered public accounting firm for the fiscal year ending December 31, 2026 is not required to be submitted to a vote of stockholders, the Audit Committee believes that it is appropriate as a matter of policy to request that the stockholders ratify the appointment of the Company’s independent registered public accounting firm. If the stockholders do not ratify the appointment, which requires the affirmative vote of a majority of the outstanding shares of Common Stock present, in person via the Internet or by proxy, and entitled to vote on the proposal at the Meeting, the Board will consider the selection of another independent registered public accounting firm.</w:t>
      </w:r>
    </w:p>
    <w:p>
      <w:pPr>
        <w:spacing w:after="0" w:line="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Of the shares of Common Stock outstanding on the Record Date, 801,039 shares (or approximately 1.7%) were beneficially owned by directors and executive officers of the Company. Each of the directors and executive officers have informed the Company that they will vote “FOR” the election of the Board’s nominees named herein, “FOR” the approval of executive compensation and “FOR” ratification of the appointment of PricewaterhouseCoopers LLP as the Company’s independent registered public accounting firm for the fiscal year ending December 31, 2026.</w:t>
      </w:r>
    </w:p>
    <w:p>
      <w:pPr>
        <w:spacing w:after="0" w:line="6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Organizations holding Common Stock in “street name” that are members of a stock exchange are required by the rules of the applicable stock exchange to transmit the proxy materials to the beneficial owner of the Common Stock and to solicit voting instructions with respect to the matters submitted to the stockholders. If the organization has not received instructions from the beneficial owner by the date specified in the statement accompanying such proxy materials, the organization may give or authorize the giving of a proxy to vote the Common Stock in its discretion as to “routine” matters, but not as to “non-routine” matters. When an organization is unable to vote a client’s shares on a proposal, the missing votes are referred to as “broker non-votes.” If you hold Common Stock in “street name” and you fail to instruct the organization that holds your shares as to how to vote such shares, that organization may, in its discretion, vote such Common Stock “FOR” ratification of the appointment of PricewaterhouseCoopers LLP as the Company’s independent registered public accounting firm for the fiscal year ending December 31, 2026, which is considered a routine matter, but not with respect to the election of the nominees to the Board or the advisory vote on executive compensation, each of which is considered a non-routine matter.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PROCEDURES FOR STOCKHOLDER NOMINATIONS AND PROPOSALS</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Under the Company’s Bylaws, any stockholder generally may submit proposals or nominate one or more persons for election as directors by following the procedures described in this Proxy Statement under “Proposals of Stockholders and Stockholder Nominations for 2027 Annual Meeting.” No notice of a stockholder proposal or nomination was timely received in connection with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COST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This proxy solicitation is made by the Board, and the Company will bear the costs of this solicitation, including the expense of preparing, assembling, printing and mailing this Proxy Statement and any other material used in this proxy solicitation. If it should appear desirable to do so to ensure adequate representation at the Meeting, officers and regular employees may communicate with stockholders of record, beneficial owners, banks, brokerage houses, custodians, nominees, and others by telephone, facsimile transmissions, email, or in person via the Internet to request that the proxies be furnished. No additional compensation will be paid for these services to officers or employees of the Company. The Company will reimburse banks, brokerage houses, and other custodians, nominees, and fiduciaries, for their reasonable expenses in forwarding proxy materials to their principals. The Company has not engaged a proxy solicitor at this time, but the Board may determine it is necessary to employ an outside firm to assist in the solicitation process. If so, the Company will pay the proxy solicitor its reasonable and customary fees, estimated not to exceed $25,000 plus reasonable 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As of the date of this Proxy Statement, the Board knows of no business to be presented for consideration at the Meeting other than as stated in the Notice of Annual Meeting of Stockholders. However, if any other matters properly come before the Meeting, including a motion to adjourn the Meeting to another time or place in order to solicit additional proxies in favor of the recommendations of the Board, the designated proxyholders, Gary Yu, the Company’s President and Chief Executive Officer, and Brett Whitmire, the Company’s Chief Financial Officer (the “Proxyholders”), will vote the shares represented by the proxies on such matters in accordance with the recommendation of the Board, and authority to do so is included in the proxy. Such authorization includes authority to appoint a substitute nominee or nominees to the Board’s nominees identified herein where death, illness, or other circumstances arise which prevent any such nominee from serving in such position and to vote such proxy for such substitute nominee.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8" w:name="page9"/>
    <w:bookmarkEnd w:id="8"/>
    <w:p>
      <w:pPr>
        <w:jc w:val="center"/>
        <w:ind w:right="100"/>
        <w:spacing w:after="0" w:line="273" w:lineRule="auto"/>
        <w:rPr>
          <w:sz w:val="20"/>
          <w:szCs w:val="20"/>
          <w:color w:val="auto"/>
        </w:rPr>
      </w:pPr>
      <w:r>
        <w:rPr>
          <w:rFonts w:ascii="Arial" w:cs="Arial" w:eastAsia="Arial" w:hAnsi="Arial"/>
          <w:sz w:val="43"/>
          <w:szCs w:val="43"/>
          <w:color w:val="005CA9"/>
        </w:rPr>
        <w:t>SECURITY OWNERSHIP OF CERTAIN BENEFICIAL OWNERS AND MANAGEMENT</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following table shows information as of the Record Date, unless otherwise indicated, regarding the beneficial ownership of Diodes’ common stock by each person known to Diodes to beneficially own more than 5% of the outstanding shares of Diodes’ common stock based solely on Diodes’ review of filings with the SEC pursuant to Section 13(d) or 13(g) of the Securities Exchange Act of 1934, as amended (the “Exchange Act”). Persons generally “beneficially own” shares if they have the right to vote or dispose of the shares. More than one person may beneficially own the same shares.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60" w:type="dxa"/>
            <w:vAlign w:val="bottom"/>
            <w:tcBorders>
              <w:top w:val="single" w:sz="8" w:color="005CA9"/>
            </w:tcBorders>
            <w:vMerge w:val="restart"/>
          </w:tcPr>
          <w:p>
            <w:pPr>
              <w:spacing w:after="0"/>
              <w:rPr>
                <w:sz w:val="20"/>
                <w:szCs w:val="20"/>
                <w:color w:val="auto"/>
              </w:rPr>
            </w:pPr>
            <w:r>
              <w:rPr>
                <w:rFonts w:ascii="Arial" w:cs="Arial" w:eastAsia="Arial" w:hAnsi="Arial"/>
                <w:sz w:val="20"/>
                <w:szCs w:val="20"/>
                <w:b w:val="1"/>
                <w:bCs w:val="1"/>
                <w:color w:val="auto"/>
              </w:rPr>
              <w:t>Name and Address of Beneficial Owner</w:t>
            </w:r>
          </w:p>
        </w:tc>
        <w:tc>
          <w:tcPr>
            <w:tcW w:w="2600" w:type="dxa"/>
            <w:vAlign w:val="bottom"/>
            <w:tcBorders>
              <w:top w:val="single" w:sz="8" w:color="005CA9"/>
            </w:tcBorders>
          </w:tcPr>
          <w:p>
            <w:pPr>
              <w:jc w:val="right"/>
              <w:ind w:right="182"/>
              <w:spacing w:after="0" w:line="169" w:lineRule="exact"/>
              <w:rPr>
                <w:sz w:val="20"/>
                <w:szCs w:val="20"/>
                <w:color w:val="auto"/>
              </w:rPr>
            </w:pPr>
            <w:r>
              <w:rPr>
                <w:rFonts w:ascii="Arial" w:cs="Arial" w:eastAsia="Arial" w:hAnsi="Arial"/>
                <w:sz w:val="19"/>
                <w:szCs w:val="19"/>
                <w:b w:val="1"/>
                <w:bCs w:val="1"/>
                <w:color w:val="auto"/>
              </w:rPr>
              <w:t>Amount and Nature of</w:t>
            </w:r>
          </w:p>
        </w:tc>
        <w:tc>
          <w:tcPr>
            <w:tcW w:w="320" w:type="dxa"/>
            <w:vAlign w:val="bottom"/>
            <w:tcBorders>
              <w:top w:val="single" w:sz="8" w:color="005CA9"/>
            </w:tcBorders>
          </w:tcPr>
          <w:p>
            <w:pPr>
              <w:spacing w:after="0"/>
              <w:rPr>
                <w:sz w:val="14"/>
                <w:szCs w:val="14"/>
                <w:color w:val="auto"/>
              </w:rPr>
            </w:pPr>
          </w:p>
        </w:tc>
        <w:tc>
          <w:tcPr>
            <w:tcW w:w="1960" w:type="dxa"/>
            <w:vAlign w:val="bottom"/>
            <w:tcBorders>
              <w:top w:val="single" w:sz="8" w:color="005CA9"/>
            </w:tcBorders>
            <w:vMerge w:val="restart"/>
          </w:tcPr>
          <w:p>
            <w:pPr>
              <w:ind w:left="120"/>
              <w:spacing w:after="0"/>
              <w:rPr>
                <w:sz w:val="20"/>
                <w:szCs w:val="20"/>
                <w:color w:val="auto"/>
              </w:rPr>
            </w:pPr>
            <w:r>
              <w:rPr>
                <w:rFonts w:ascii="Arial" w:cs="Arial" w:eastAsia="Arial" w:hAnsi="Arial"/>
                <w:sz w:val="20"/>
                <w:szCs w:val="20"/>
                <w:b w:val="1"/>
                <w:bCs w:val="1"/>
                <w:color w:val="auto"/>
                <w:w w:val="99"/>
              </w:rPr>
              <w:t xml:space="preserve">Percent of Class </w:t>
            </w:r>
            <w:r>
              <w:rPr>
                <w:rFonts w:ascii="Arial" w:cs="Arial" w:eastAsia="Arial" w:hAnsi="Arial"/>
                <w:sz w:val="26"/>
                <w:szCs w:val="26"/>
                <w:b w:val="1"/>
                <w:bCs w:val="1"/>
                <w:color w:val="auto"/>
                <w:w w:val="99"/>
                <w:vertAlign w:val="superscript"/>
              </w:rPr>
              <w:t>(2)</w:t>
            </w:r>
          </w:p>
        </w:tc>
        <w:tc>
          <w:tcPr>
            <w:tcW w:w="0" w:type="dxa"/>
            <w:vAlign w:val="bottom"/>
          </w:tcPr>
          <w:p>
            <w:pPr>
              <w:spacing w:after="0"/>
              <w:rPr>
                <w:sz w:val="1"/>
                <w:szCs w:val="1"/>
                <w:color w:val="auto"/>
              </w:rPr>
            </w:pPr>
          </w:p>
        </w:tc>
      </w:tr>
      <w:tr>
        <w:trPr>
          <w:trHeight w:val="257"/>
        </w:trPr>
        <w:tc>
          <w:tcPr>
            <w:tcW w:w="6360" w:type="dxa"/>
            <w:vAlign w:val="bottom"/>
            <w:vMerge w:val="continue"/>
          </w:tcPr>
          <w:p>
            <w:pPr>
              <w:spacing w:after="0"/>
              <w:rPr>
                <w:sz w:val="22"/>
                <w:szCs w:val="22"/>
                <w:color w:val="auto"/>
              </w:rPr>
            </w:pPr>
          </w:p>
        </w:tc>
        <w:tc>
          <w:tcPr>
            <w:tcW w:w="2600" w:type="dxa"/>
            <w:vAlign w:val="bottom"/>
          </w:tcPr>
          <w:p>
            <w:pPr>
              <w:jc w:val="right"/>
              <w:ind w:right="102"/>
              <w:spacing w:after="0" w:line="256" w:lineRule="exact"/>
              <w:rPr>
                <w:sz w:val="20"/>
                <w:szCs w:val="20"/>
                <w:color w:val="auto"/>
              </w:rPr>
            </w:pPr>
            <w:r>
              <w:rPr>
                <w:rFonts w:ascii="Arial" w:cs="Arial" w:eastAsia="Arial" w:hAnsi="Arial"/>
                <w:sz w:val="20"/>
                <w:szCs w:val="20"/>
                <w:b w:val="1"/>
                <w:bCs w:val="1"/>
                <w:color w:val="auto"/>
              </w:rPr>
              <w:t xml:space="preserve">Beneficial Ownership </w:t>
            </w:r>
            <w:r>
              <w:rPr>
                <w:rFonts w:ascii="Arial" w:cs="Arial" w:eastAsia="Arial" w:hAnsi="Arial"/>
                <w:sz w:val="26"/>
                <w:szCs w:val="26"/>
                <w:b w:val="1"/>
                <w:bCs w:val="1"/>
                <w:color w:val="auto"/>
                <w:vertAlign w:val="superscript"/>
              </w:rPr>
              <w:t>(1)</w:t>
            </w:r>
          </w:p>
        </w:tc>
        <w:tc>
          <w:tcPr>
            <w:tcW w:w="320" w:type="dxa"/>
            <w:vAlign w:val="bottom"/>
            <w:vMerge w:val="restart"/>
          </w:tcPr>
          <w:p>
            <w:pPr>
              <w:jc w:val="right"/>
              <w:ind w:right="34"/>
              <w:spacing w:after="0"/>
              <w:rPr>
                <w:sz w:val="20"/>
                <w:szCs w:val="20"/>
                <w:color w:val="auto"/>
              </w:rPr>
            </w:pPr>
            <w:r>
              <w:rPr>
                <w:rFonts w:ascii="Arial" w:cs="Arial" w:eastAsia="Arial" w:hAnsi="Arial"/>
                <w:sz w:val="13"/>
                <w:szCs w:val="13"/>
                <w:color w:val="auto"/>
              </w:rPr>
              <w:t>(3)</w:t>
            </w:r>
          </w:p>
        </w:tc>
        <w:tc>
          <w:tcPr>
            <w:tcW w:w="1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60"/>
              <w:spacing w:after="0"/>
              <w:rPr>
                <w:sz w:val="20"/>
                <w:szCs w:val="20"/>
                <w:color w:val="auto"/>
              </w:rPr>
            </w:pPr>
            <w:r>
              <w:rPr>
                <w:rFonts w:ascii="Arial" w:cs="Arial" w:eastAsia="Arial" w:hAnsi="Arial"/>
                <w:sz w:val="20"/>
                <w:szCs w:val="20"/>
                <w:color w:val="auto"/>
              </w:rPr>
              <w:t>BlackRock, Inc. (“BlackRock”)</w:t>
            </w:r>
          </w:p>
        </w:tc>
        <w:tc>
          <w:tcPr>
            <w:tcW w:w="2600" w:type="dxa"/>
            <w:vAlign w:val="bottom"/>
          </w:tcPr>
          <w:p>
            <w:pPr>
              <w:jc w:val="right"/>
              <w:spacing w:after="0"/>
              <w:rPr>
                <w:sz w:val="20"/>
                <w:szCs w:val="20"/>
                <w:color w:val="auto"/>
              </w:rPr>
            </w:pPr>
            <w:r>
              <w:rPr>
                <w:rFonts w:ascii="Arial" w:cs="Arial" w:eastAsia="Arial" w:hAnsi="Arial"/>
                <w:sz w:val="20"/>
                <w:szCs w:val="20"/>
                <w:color w:val="auto"/>
              </w:rPr>
              <w:t>6,761,030</w:t>
            </w:r>
          </w:p>
        </w:tc>
        <w:tc>
          <w:tcPr>
            <w:tcW w:w="320" w:type="dxa"/>
            <w:vAlign w:val="bottom"/>
            <w:vMerge w:val="continue"/>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20"/>
                <w:szCs w:val="20"/>
                <w:color w:val="auto"/>
                <w:w w:val="98"/>
              </w:rPr>
              <w:t>14.7%</w:t>
            </w:r>
          </w:p>
        </w:tc>
        <w:tc>
          <w:tcPr>
            <w:tcW w:w="0" w:type="dxa"/>
            <w:vAlign w:val="bottom"/>
          </w:tcPr>
          <w:p>
            <w:pPr>
              <w:spacing w:after="0"/>
              <w:rPr>
                <w:sz w:val="1"/>
                <w:szCs w:val="1"/>
                <w:color w:val="auto"/>
              </w:rPr>
            </w:pPr>
          </w:p>
        </w:tc>
      </w:tr>
      <w:tr>
        <w:trPr>
          <w:trHeight w:val="235"/>
        </w:trPr>
        <w:tc>
          <w:tcPr>
            <w:tcW w:w="6360" w:type="dxa"/>
            <w:vAlign w:val="bottom"/>
          </w:tcPr>
          <w:p>
            <w:pPr>
              <w:ind w:left="60"/>
              <w:spacing w:after="0" w:line="235" w:lineRule="exact"/>
              <w:rPr>
                <w:sz w:val="20"/>
                <w:szCs w:val="20"/>
                <w:color w:val="auto"/>
              </w:rPr>
            </w:pPr>
            <w:r>
              <w:rPr>
                <w:rFonts w:ascii="Arial" w:cs="Arial" w:eastAsia="Arial" w:hAnsi="Arial"/>
                <w:sz w:val="20"/>
                <w:szCs w:val="20"/>
                <w:color w:val="auto"/>
              </w:rPr>
              <w:t>55 East 52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Street</w:t>
            </w: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60"/>
              <w:spacing w:after="0"/>
              <w:rPr>
                <w:sz w:val="20"/>
                <w:szCs w:val="20"/>
                <w:color w:val="auto"/>
              </w:rPr>
            </w:pPr>
            <w:r>
              <w:rPr>
                <w:rFonts w:ascii="Arial" w:cs="Arial" w:eastAsia="Arial" w:hAnsi="Arial"/>
                <w:sz w:val="20"/>
                <w:szCs w:val="20"/>
                <w:color w:val="auto"/>
              </w:rPr>
              <w:t>New York, New York 10022</w:t>
            </w:r>
          </w:p>
        </w:tc>
        <w:tc>
          <w:tcPr>
            <w:tcW w:w="2600" w:type="dxa"/>
            <w:vAlign w:val="bottom"/>
          </w:tcPr>
          <w:p>
            <w:pPr>
              <w:spacing w:after="0"/>
              <w:rPr>
                <w:sz w:val="20"/>
                <w:szCs w:val="20"/>
                <w:color w:val="auto"/>
              </w:rPr>
            </w:pPr>
          </w:p>
        </w:tc>
        <w:tc>
          <w:tcPr>
            <w:tcW w:w="320" w:type="dxa"/>
            <w:vAlign w:val="bottom"/>
            <w:vMerge w:val="restart"/>
          </w:tcPr>
          <w:p>
            <w:pPr>
              <w:jc w:val="right"/>
              <w:ind w:right="34"/>
              <w:spacing w:after="0"/>
              <w:rPr>
                <w:sz w:val="20"/>
                <w:szCs w:val="20"/>
                <w:color w:val="auto"/>
              </w:rPr>
            </w:pPr>
            <w:r>
              <w:rPr>
                <w:rFonts w:ascii="Arial" w:cs="Arial" w:eastAsia="Arial" w:hAnsi="Arial"/>
                <w:sz w:val="13"/>
                <w:szCs w:val="13"/>
                <w:color w:val="auto"/>
              </w:rPr>
              <w:t>(4)</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60" w:type="dxa"/>
            <w:vAlign w:val="bottom"/>
          </w:tcPr>
          <w:p>
            <w:pPr>
              <w:ind w:left="60"/>
              <w:spacing w:after="0" w:line="207" w:lineRule="exact"/>
              <w:rPr>
                <w:sz w:val="20"/>
                <w:szCs w:val="20"/>
                <w:color w:val="auto"/>
              </w:rPr>
            </w:pPr>
            <w:r>
              <w:rPr>
                <w:rFonts w:ascii="Arial" w:cs="Arial" w:eastAsia="Arial" w:hAnsi="Arial"/>
                <w:sz w:val="20"/>
                <w:szCs w:val="20"/>
                <w:color w:val="auto"/>
              </w:rPr>
              <w:t>FMR LLC ("FMR")</w:t>
            </w:r>
          </w:p>
        </w:tc>
        <w:tc>
          <w:tcPr>
            <w:tcW w:w="2600" w:type="dxa"/>
            <w:vAlign w:val="bottom"/>
          </w:tcPr>
          <w:p>
            <w:pPr>
              <w:jc w:val="right"/>
              <w:spacing w:after="0" w:line="207" w:lineRule="exact"/>
              <w:rPr>
                <w:sz w:val="20"/>
                <w:szCs w:val="20"/>
                <w:color w:val="auto"/>
              </w:rPr>
            </w:pPr>
            <w:r>
              <w:rPr>
                <w:rFonts w:ascii="Arial" w:cs="Arial" w:eastAsia="Arial" w:hAnsi="Arial"/>
                <w:sz w:val="20"/>
                <w:szCs w:val="20"/>
                <w:color w:val="auto"/>
              </w:rPr>
              <w:t>6,307,175</w:t>
            </w:r>
          </w:p>
        </w:tc>
        <w:tc>
          <w:tcPr>
            <w:tcW w:w="320" w:type="dxa"/>
            <w:vAlign w:val="bottom"/>
            <w:vMerge w:val="continue"/>
          </w:tcPr>
          <w:p>
            <w:pPr>
              <w:spacing w:after="0"/>
              <w:rPr>
                <w:sz w:val="18"/>
                <w:szCs w:val="18"/>
                <w:color w:val="auto"/>
              </w:rPr>
            </w:pPr>
          </w:p>
        </w:tc>
        <w:tc>
          <w:tcPr>
            <w:tcW w:w="1960" w:type="dxa"/>
            <w:vAlign w:val="bottom"/>
          </w:tcPr>
          <w:p>
            <w:pPr>
              <w:jc w:val="center"/>
              <w:spacing w:after="0" w:line="207" w:lineRule="exact"/>
              <w:rPr>
                <w:sz w:val="20"/>
                <w:szCs w:val="20"/>
                <w:color w:val="auto"/>
              </w:rPr>
            </w:pPr>
            <w:r>
              <w:rPr>
                <w:rFonts w:ascii="Arial" w:cs="Arial" w:eastAsia="Arial" w:hAnsi="Arial"/>
                <w:sz w:val="20"/>
                <w:szCs w:val="20"/>
                <w:color w:val="auto"/>
                <w:w w:val="98"/>
              </w:rPr>
              <w:t>13.7%</w:t>
            </w:r>
          </w:p>
        </w:tc>
        <w:tc>
          <w:tcPr>
            <w:tcW w:w="0" w:type="dxa"/>
            <w:vAlign w:val="bottom"/>
          </w:tcPr>
          <w:p>
            <w:pPr>
              <w:spacing w:after="0"/>
              <w:rPr>
                <w:sz w:val="1"/>
                <w:szCs w:val="1"/>
                <w:color w:val="auto"/>
              </w:rPr>
            </w:pPr>
          </w:p>
        </w:tc>
      </w:tr>
      <w:tr>
        <w:trPr>
          <w:trHeight w:val="216"/>
        </w:trPr>
        <w:tc>
          <w:tcPr>
            <w:tcW w:w="6360" w:type="dxa"/>
            <w:vAlign w:val="bottom"/>
          </w:tcPr>
          <w:p>
            <w:pPr>
              <w:ind w:left="60"/>
              <w:spacing w:after="0" w:line="216" w:lineRule="exact"/>
              <w:rPr>
                <w:sz w:val="20"/>
                <w:szCs w:val="20"/>
                <w:color w:val="auto"/>
              </w:rPr>
            </w:pPr>
            <w:r>
              <w:rPr>
                <w:rFonts w:ascii="Arial" w:cs="Arial" w:eastAsia="Arial" w:hAnsi="Arial"/>
                <w:sz w:val="20"/>
                <w:szCs w:val="20"/>
                <w:color w:val="auto"/>
              </w:rPr>
              <w:t>245 Summer Street</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60" w:type="dxa"/>
            <w:vAlign w:val="bottom"/>
            <w:tcBorders>
              <w:bottom w:val="single" w:sz="8" w:color="005CA9"/>
            </w:tcBorders>
          </w:tcPr>
          <w:p>
            <w:pPr>
              <w:ind w:left="60"/>
              <w:spacing w:after="0"/>
              <w:rPr>
                <w:sz w:val="20"/>
                <w:szCs w:val="20"/>
                <w:color w:val="auto"/>
              </w:rPr>
            </w:pPr>
            <w:r>
              <w:rPr>
                <w:rFonts w:ascii="Arial" w:cs="Arial" w:eastAsia="Arial" w:hAnsi="Arial"/>
                <w:sz w:val="20"/>
                <w:szCs w:val="20"/>
                <w:color w:val="auto"/>
              </w:rPr>
              <w:t>Boston, Massachusetts 02210</w:t>
            </w:r>
          </w:p>
        </w:tc>
        <w:tc>
          <w:tcPr>
            <w:tcW w:w="2600" w:type="dxa"/>
            <w:vAlign w:val="bottom"/>
            <w:vMerge w:val="restart"/>
          </w:tcPr>
          <w:p>
            <w:pPr>
              <w:jc w:val="right"/>
              <w:spacing w:after="0"/>
              <w:rPr>
                <w:sz w:val="20"/>
                <w:szCs w:val="20"/>
                <w:color w:val="auto"/>
              </w:rPr>
            </w:pPr>
            <w:r>
              <w:rPr>
                <w:rFonts w:ascii="Arial" w:cs="Arial" w:eastAsia="Arial" w:hAnsi="Arial"/>
                <w:sz w:val="20"/>
                <w:szCs w:val="20"/>
                <w:color w:val="auto"/>
              </w:rPr>
              <w:t>5,650,727</w:t>
            </w:r>
          </w:p>
        </w:tc>
        <w:tc>
          <w:tcPr>
            <w:tcW w:w="320" w:type="dxa"/>
            <w:vAlign w:val="bottom"/>
            <w:vMerge w:val="restart"/>
          </w:tcPr>
          <w:p>
            <w:pPr>
              <w:jc w:val="right"/>
              <w:ind w:right="34"/>
              <w:spacing w:after="0"/>
              <w:rPr>
                <w:sz w:val="20"/>
                <w:szCs w:val="20"/>
                <w:color w:val="auto"/>
              </w:rPr>
            </w:pPr>
            <w:r>
              <w:rPr>
                <w:rFonts w:ascii="Arial" w:cs="Arial" w:eastAsia="Arial" w:hAnsi="Arial"/>
                <w:sz w:val="13"/>
                <w:szCs w:val="13"/>
                <w:color w:val="auto"/>
              </w:rPr>
              <w:t>(5)</w:t>
            </w:r>
          </w:p>
        </w:tc>
        <w:tc>
          <w:tcPr>
            <w:tcW w:w="1960" w:type="dxa"/>
            <w:vAlign w:val="bottom"/>
            <w:vMerge w:val="restart"/>
          </w:tcPr>
          <w:p>
            <w:pPr>
              <w:jc w:val="center"/>
              <w:spacing w:after="0"/>
              <w:rPr>
                <w:sz w:val="20"/>
                <w:szCs w:val="20"/>
                <w:color w:val="auto"/>
              </w:rPr>
            </w:pPr>
            <w:r>
              <w:rPr>
                <w:rFonts w:ascii="Arial" w:cs="Arial" w:eastAsia="Arial" w:hAnsi="Arial"/>
                <w:sz w:val="20"/>
                <w:szCs w:val="20"/>
                <w:color w:val="auto"/>
                <w:w w:val="98"/>
              </w:rPr>
              <w:t>12.3%</w:t>
            </w:r>
          </w:p>
        </w:tc>
        <w:tc>
          <w:tcPr>
            <w:tcW w:w="0" w:type="dxa"/>
            <w:vAlign w:val="bottom"/>
          </w:tcPr>
          <w:p>
            <w:pPr>
              <w:spacing w:after="0"/>
              <w:rPr>
                <w:sz w:val="1"/>
                <w:szCs w:val="1"/>
                <w:color w:val="auto"/>
              </w:rPr>
            </w:pPr>
          </w:p>
        </w:tc>
      </w:tr>
      <w:tr>
        <w:trPr>
          <w:trHeight w:val="188"/>
        </w:trPr>
        <w:tc>
          <w:tcPr>
            <w:tcW w:w="6360" w:type="dxa"/>
            <w:vAlign w:val="bottom"/>
          </w:tcPr>
          <w:p>
            <w:pPr>
              <w:ind w:left="60"/>
              <w:spacing w:after="0" w:line="188" w:lineRule="exact"/>
              <w:rPr>
                <w:sz w:val="20"/>
                <w:szCs w:val="20"/>
                <w:color w:val="auto"/>
              </w:rPr>
            </w:pPr>
            <w:r>
              <w:rPr>
                <w:rFonts w:ascii="Arial" w:cs="Arial" w:eastAsia="Arial" w:hAnsi="Arial"/>
                <w:sz w:val="20"/>
                <w:szCs w:val="20"/>
                <w:color w:val="auto"/>
              </w:rPr>
              <w:t>The Vanguard Group (“Vanguard”)</w:t>
            </w:r>
          </w:p>
        </w:tc>
        <w:tc>
          <w:tcPr>
            <w:tcW w:w="26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60"/>
              <w:spacing w:after="0" w:line="216" w:lineRule="exact"/>
              <w:rPr>
                <w:sz w:val="20"/>
                <w:szCs w:val="20"/>
                <w:color w:val="auto"/>
              </w:rPr>
            </w:pPr>
            <w:r>
              <w:rPr>
                <w:rFonts w:ascii="Arial" w:cs="Arial" w:eastAsia="Arial" w:hAnsi="Arial"/>
                <w:sz w:val="20"/>
                <w:szCs w:val="20"/>
                <w:color w:val="auto"/>
              </w:rPr>
              <w:t>100 Vanguard Blvd.</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60"/>
              <w:spacing w:after="0"/>
              <w:rPr>
                <w:sz w:val="20"/>
                <w:szCs w:val="20"/>
                <w:color w:val="auto"/>
              </w:rPr>
            </w:pPr>
            <w:r>
              <w:rPr>
                <w:rFonts w:ascii="Arial" w:cs="Arial" w:eastAsia="Arial" w:hAnsi="Arial"/>
                <w:sz w:val="20"/>
                <w:szCs w:val="20"/>
                <w:color w:val="auto"/>
              </w:rPr>
              <w:t>Malvern, Pennsylvania 19355</w:t>
            </w:r>
          </w:p>
        </w:tc>
        <w:tc>
          <w:tcPr>
            <w:tcW w:w="2600" w:type="dxa"/>
            <w:vAlign w:val="bottom"/>
          </w:tcPr>
          <w:p>
            <w:pPr>
              <w:spacing w:after="0"/>
              <w:rPr>
                <w:sz w:val="20"/>
                <w:szCs w:val="20"/>
                <w:color w:val="auto"/>
              </w:rPr>
            </w:pPr>
          </w:p>
        </w:tc>
        <w:tc>
          <w:tcPr>
            <w:tcW w:w="320" w:type="dxa"/>
            <w:vAlign w:val="bottom"/>
            <w:vMerge w:val="restart"/>
          </w:tcPr>
          <w:p>
            <w:pPr>
              <w:jc w:val="right"/>
              <w:ind w:right="34"/>
              <w:spacing w:after="0"/>
              <w:rPr>
                <w:sz w:val="20"/>
                <w:szCs w:val="20"/>
                <w:color w:val="auto"/>
              </w:rPr>
            </w:pPr>
            <w:r>
              <w:rPr>
                <w:rFonts w:ascii="Arial" w:cs="Arial" w:eastAsia="Arial" w:hAnsi="Arial"/>
                <w:sz w:val="13"/>
                <w:szCs w:val="13"/>
                <w:color w:val="auto"/>
              </w:rPr>
              <w:t>(6)</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60" w:type="dxa"/>
            <w:vAlign w:val="bottom"/>
          </w:tcPr>
          <w:p>
            <w:pPr>
              <w:ind w:left="60"/>
              <w:spacing w:after="0" w:line="207" w:lineRule="exact"/>
              <w:rPr>
                <w:sz w:val="20"/>
                <w:szCs w:val="20"/>
                <w:color w:val="auto"/>
              </w:rPr>
            </w:pPr>
            <w:r>
              <w:rPr>
                <w:rFonts w:ascii="Arial" w:cs="Arial" w:eastAsia="Arial" w:hAnsi="Arial"/>
                <w:sz w:val="20"/>
                <w:szCs w:val="20"/>
                <w:color w:val="auto"/>
              </w:rPr>
              <w:t>State Street Corporation ("State Street")</w:t>
            </w:r>
          </w:p>
        </w:tc>
        <w:tc>
          <w:tcPr>
            <w:tcW w:w="2600" w:type="dxa"/>
            <w:vAlign w:val="bottom"/>
          </w:tcPr>
          <w:p>
            <w:pPr>
              <w:jc w:val="right"/>
              <w:spacing w:after="0" w:line="207" w:lineRule="exact"/>
              <w:rPr>
                <w:sz w:val="20"/>
                <w:szCs w:val="20"/>
                <w:color w:val="auto"/>
              </w:rPr>
            </w:pPr>
            <w:r>
              <w:rPr>
                <w:rFonts w:ascii="Arial" w:cs="Arial" w:eastAsia="Arial" w:hAnsi="Arial"/>
                <w:sz w:val="20"/>
                <w:szCs w:val="20"/>
                <w:color w:val="auto"/>
              </w:rPr>
              <w:t>2,459,595</w:t>
            </w:r>
          </w:p>
        </w:tc>
        <w:tc>
          <w:tcPr>
            <w:tcW w:w="320" w:type="dxa"/>
            <w:vAlign w:val="bottom"/>
            <w:vMerge w:val="continue"/>
          </w:tcPr>
          <w:p>
            <w:pPr>
              <w:spacing w:after="0"/>
              <w:rPr>
                <w:sz w:val="18"/>
                <w:szCs w:val="18"/>
                <w:color w:val="auto"/>
              </w:rPr>
            </w:pPr>
          </w:p>
        </w:tc>
        <w:tc>
          <w:tcPr>
            <w:tcW w:w="1960" w:type="dxa"/>
            <w:vAlign w:val="bottom"/>
          </w:tcPr>
          <w:p>
            <w:pPr>
              <w:jc w:val="center"/>
              <w:spacing w:after="0" w:line="207" w:lineRule="exact"/>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216"/>
        </w:trPr>
        <w:tc>
          <w:tcPr>
            <w:tcW w:w="6360" w:type="dxa"/>
            <w:vAlign w:val="bottom"/>
          </w:tcPr>
          <w:p>
            <w:pPr>
              <w:ind w:left="60"/>
              <w:spacing w:after="0" w:line="216" w:lineRule="exact"/>
              <w:rPr>
                <w:sz w:val="20"/>
                <w:szCs w:val="20"/>
                <w:color w:val="auto"/>
              </w:rPr>
            </w:pPr>
            <w:r>
              <w:rPr>
                <w:rFonts w:ascii="Arial" w:cs="Arial" w:eastAsia="Arial" w:hAnsi="Arial"/>
                <w:sz w:val="20"/>
                <w:szCs w:val="20"/>
                <w:color w:val="auto"/>
              </w:rPr>
              <w:t>One Congress Street, Suite 1</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60" w:type="dxa"/>
            <w:vAlign w:val="bottom"/>
            <w:tcBorders>
              <w:bottom w:val="single" w:sz="8" w:color="005CA9"/>
            </w:tcBorders>
          </w:tcPr>
          <w:p>
            <w:pPr>
              <w:ind w:left="60"/>
              <w:spacing w:after="0"/>
              <w:rPr>
                <w:sz w:val="20"/>
                <w:szCs w:val="20"/>
                <w:color w:val="auto"/>
              </w:rPr>
            </w:pPr>
            <w:r>
              <w:rPr>
                <w:rFonts w:ascii="Arial" w:cs="Arial" w:eastAsia="Arial" w:hAnsi="Arial"/>
                <w:sz w:val="20"/>
                <w:szCs w:val="20"/>
                <w:color w:val="auto"/>
              </w:rPr>
              <w:t>Boston, Massachusetts 02114</w:t>
            </w:r>
          </w:p>
        </w:tc>
        <w:tc>
          <w:tcPr>
            <w:tcW w:w="2600" w:type="dxa"/>
            <w:vAlign w:val="bottom"/>
            <w:vMerge w:val="restart"/>
          </w:tcPr>
          <w:p>
            <w:pPr>
              <w:jc w:val="right"/>
              <w:spacing w:after="0"/>
              <w:rPr>
                <w:sz w:val="20"/>
                <w:szCs w:val="20"/>
                <w:color w:val="auto"/>
              </w:rPr>
            </w:pPr>
            <w:r>
              <w:rPr>
                <w:rFonts w:ascii="Arial" w:cs="Arial" w:eastAsia="Arial" w:hAnsi="Arial"/>
                <w:sz w:val="20"/>
                <w:szCs w:val="20"/>
                <w:color w:val="auto"/>
              </w:rPr>
              <w:t>2,364,940</w:t>
            </w:r>
          </w:p>
        </w:tc>
        <w:tc>
          <w:tcPr>
            <w:tcW w:w="320" w:type="dxa"/>
            <w:vAlign w:val="bottom"/>
            <w:vMerge w:val="restart"/>
          </w:tcPr>
          <w:p>
            <w:pPr>
              <w:jc w:val="right"/>
              <w:ind w:right="34"/>
              <w:spacing w:after="0"/>
              <w:rPr>
                <w:sz w:val="20"/>
                <w:szCs w:val="20"/>
                <w:color w:val="auto"/>
              </w:rPr>
            </w:pPr>
            <w:r>
              <w:rPr>
                <w:rFonts w:ascii="Arial" w:cs="Arial" w:eastAsia="Arial" w:hAnsi="Arial"/>
                <w:sz w:val="13"/>
                <w:szCs w:val="13"/>
                <w:color w:val="auto"/>
              </w:rPr>
              <w:t>(7)</w:t>
            </w:r>
          </w:p>
        </w:tc>
        <w:tc>
          <w:tcPr>
            <w:tcW w:w="1960" w:type="dxa"/>
            <w:vAlign w:val="bottom"/>
            <w:vMerge w:val="restart"/>
          </w:tcPr>
          <w:p>
            <w:pPr>
              <w:jc w:val="center"/>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206"/>
        </w:trPr>
        <w:tc>
          <w:tcPr>
            <w:tcW w:w="6360" w:type="dxa"/>
            <w:vAlign w:val="bottom"/>
          </w:tcPr>
          <w:p>
            <w:pPr>
              <w:ind w:left="60"/>
              <w:spacing w:after="0" w:line="206" w:lineRule="exact"/>
              <w:rPr>
                <w:sz w:val="20"/>
                <w:szCs w:val="20"/>
                <w:color w:val="auto"/>
              </w:rPr>
            </w:pPr>
            <w:r>
              <w:rPr>
                <w:rFonts w:ascii="Arial" w:cs="Arial" w:eastAsia="Arial" w:hAnsi="Arial"/>
                <w:sz w:val="20"/>
                <w:szCs w:val="20"/>
                <w:color w:val="auto"/>
              </w:rPr>
              <w:t>Dimensional Fund Advisors LP ("Dimensional")</w:t>
            </w:r>
          </w:p>
        </w:tc>
        <w:tc>
          <w:tcPr>
            <w:tcW w:w="26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-1857375</wp:posOffset>
            </wp:positionV>
            <wp:extent cx="7132320" cy="4629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28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left="60"/>
        <w:spacing w:after="0" w:line="225" w:lineRule="auto"/>
        <w:rPr>
          <w:sz w:val="20"/>
          <w:szCs w:val="20"/>
          <w:color w:val="auto"/>
        </w:rPr>
      </w:pPr>
      <w:r>
        <w:rPr>
          <w:rFonts w:ascii="Arial" w:cs="Arial" w:eastAsia="Arial" w:hAnsi="Arial"/>
          <w:sz w:val="20"/>
          <w:szCs w:val="20"/>
          <w:color w:val="auto"/>
        </w:rPr>
        <w:t>6300 Bee Cave Road, Building One</w:t>
      </w:r>
    </w:p>
    <w:p>
      <w:pPr>
        <w:ind w:left="60"/>
        <w:spacing w:after="0"/>
        <w:rPr>
          <w:sz w:val="20"/>
          <w:szCs w:val="20"/>
          <w:color w:val="auto"/>
        </w:rPr>
      </w:pPr>
      <w:r>
        <w:rPr>
          <w:rFonts w:ascii="Arial" w:cs="Arial" w:eastAsia="Arial" w:hAnsi="Arial"/>
          <w:sz w:val="20"/>
          <w:szCs w:val="20"/>
          <w:color w:val="auto"/>
        </w:rPr>
        <w:t>Austin, Texas 78746</w:t>
      </w:r>
    </w:p>
    <w:p>
      <w:pPr>
        <w:spacing w:after="0" w:line="8" w:lineRule="exact"/>
        <w:rPr>
          <w:sz w:val="20"/>
          <w:szCs w:val="20"/>
          <w:color w:val="auto"/>
        </w:rPr>
      </w:pPr>
    </w:p>
    <w:p>
      <w:pPr>
        <w:ind w:left="300" w:hanging="292"/>
        <w:spacing w:after="0"/>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The named stockholder has sole voting power and investment power with respect to the shares of common stock listed, except as indicated below.</w:t>
      </w:r>
    </w:p>
    <w:p>
      <w:pPr>
        <w:spacing w:after="0" w:line="5" w:lineRule="exact"/>
        <w:rPr>
          <w:rFonts w:ascii="Calibri" w:cs="Calibri" w:eastAsia="Calibri" w:hAnsi="Calibri"/>
          <w:sz w:val="14"/>
          <w:szCs w:val="14"/>
          <w:color w:val="auto"/>
        </w:rPr>
      </w:pPr>
    </w:p>
    <w:p>
      <w:pPr>
        <w:ind w:left="300" w:hanging="292"/>
        <w:spacing w:after="0"/>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Based on 46,006,563 shares of common stock outstanding as of the Record Date.</w:t>
      </w:r>
    </w:p>
    <w:p>
      <w:pPr>
        <w:spacing w:after="0" w:line="18" w:lineRule="exact"/>
        <w:rPr>
          <w:rFonts w:ascii="Calibri" w:cs="Calibri" w:eastAsia="Calibri" w:hAnsi="Calibri"/>
          <w:sz w:val="14"/>
          <w:szCs w:val="14"/>
          <w:color w:val="auto"/>
        </w:rPr>
      </w:pPr>
    </w:p>
    <w:p>
      <w:pPr>
        <w:jc w:val="both"/>
        <w:ind w:left="300" w:hanging="292"/>
        <w:spacing w:after="0"/>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Based solely on information provided by BlackRock in Schedule 13G/A filed with the SEC on July 17, 2025, reporting beneficial ownership of the Company’s Common Stock. According to the Schedule 13G/A, BlackRock has sole voting power with respect to 6,644,824 shares and has sole dispositive power with respect to 6,761,030 shares.</w:t>
      </w:r>
    </w:p>
    <w:p>
      <w:pPr>
        <w:spacing w:after="0" w:line="166" w:lineRule="exact"/>
        <w:rPr>
          <w:rFonts w:ascii="Calibri" w:cs="Calibri" w:eastAsia="Calibri" w:hAnsi="Calibri"/>
          <w:sz w:val="14"/>
          <w:szCs w:val="14"/>
          <w:color w:val="auto"/>
        </w:rPr>
      </w:pPr>
    </w:p>
    <w:p>
      <w:pPr>
        <w:ind w:left="300" w:right="20" w:hanging="292"/>
        <w:spacing w:after="0" w:line="234" w:lineRule="auto"/>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Based solely on information provided by FMR in Schedule 13G/A filed with the SEC on February 5, 2026, reporting beneficial ownership of the Company’s Common Stock. According to the Schedule 13G/A, FMR has sole voting power with respect to 6,292,456 shares and has sole dispositive power with respect to 6,307,175 shares.</w:t>
      </w:r>
    </w:p>
    <w:p>
      <w:pPr>
        <w:jc w:val="both"/>
        <w:ind w:left="300" w:hanging="292"/>
        <w:spacing w:after="0" w:line="236" w:lineRule="auto"/>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Based solely on information provided by Vanguard in Schedule 13G/A filed with the SEC on February 13, 2024, reporting beneficial ownership of the Company’s Common Stock. According to the Schedule 13G/A, Vanguard has shared voting power with respect to 72,143 shares, has sole dispositive power with respect to 5,529,481 shares, and has shared dispositive power with respect to 121,246 shares.</w:t>
      </w:r>
    </w:p>
    <w:p>
      <w:pPr>
        <w:spacing w:after="0" w:line="1" w:lineRule="exact"/>
        <w:rPr>
          <w:rFonts w:ascii="Calibri" w:cs="Calibri" w:eastAsia="Calibri" w:hAnsi="Calibri"/>
          <w:sz w:val="14"/>
          <w:szCs w:val="14"/>
          <w:color w:val="auto"/>
        </w:rPr>
      </w:pPr>
    </w:p>
    <w:p>
      <w:pPr>
        <w:jc w:val="both"/>
        <w:ind w:left="300" w:hanging="292"/>
        <w:spacing w:after="0" w:line="236" w:lineRule="auto"/>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Based solely on information provided by State Street in Schedule 13G filed with the SEC on November 10, 2025, reporting beneficial ownership of the Company’s Common Stock. According to the Schedule 13G, State Street has shared voting power with respect to 2,303,748 shares and has shared dispositive power with respect to 2,459,595 shares.</w:t>
      </w:r>
    </w:p>
    <w:p>
      <w:pPr>
        <w:spacing w:after="0" w:line="1" w:lineRule="exact"/>
        <w:rPr>
          <w:rFonts w:ascii="Calibri" w:cs="Calibri" w:eastAsia="Calibri" w:hAnsi="Calibri"/>
          <w:sz w:val="14"/>
          <w:szCs w:val="14"/>
          <w:color w:val="auto"/>
        </w:rPr>
      </w:pPr>
    </w:p>
    <w:p>
      <w:pPr>
        <w:jc w:val="both"/>
        <w:ind w:left="300" w:hanging="292"/>
        <w:spacing w:after="0" w:line="242" w:lineRule="auto"/>
        <w:tabs>
          <w:tab w:leader="none" w:pos="300" w:val="left"/>
        </w:tabs>
        <w:numPr>
          <w:ilvl w:val="0"/>
          <w:numId w:val="9"/>
        </w:numPr>
        <w:rPr>
          <w:rFonts w:ascii="Calibri" w:cs="Calibri" w:eastAsia="Calibri" w:hAnsi="Calibri"/>
          <w:sz w:val="14"/>
          <w:szCs w:val="14"/>
          <w:color w:val="auto"/>
        </w:rPr>
      </w:pPr>
      <w:r>
        <w:rPr>
          <w:rFonts w:ascii="Arial" w:cs="Arial" w:eastAsia="Arial" w:hAnsi="Arial"/>
          <w:sz w:val="14"/>
          <w:szCs w:val="14"/>
          <w:color w:val="auto"/>
        </w:rPr>
        <w:t>Based solely on information provided by Dimensional in Schedule 13G filed with the SEC on April 15, 2025, reporting beneficial ownership of the Company’s Common Stock. According to the Schedule 13G, Dimensional has sole voting power with respect to 2,295,723 shares and has sole dispositive power with respect to 2,364,940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 w:name="page10"/>
    <w:bookmarkEnd w:id="9"/>
    <w:p>
      <w:pPr>
        <w:jc w:val="both"/>
        <w:spacing w:after="0" w:line="232" w:lineRule="auto"/>
        <w:rPr>
          <w:sz w:val="20"/>
          <w:szCs w:val="20"/>
          <w:color w:val="auto"/>
        </w:rPr>
      </w:pPr>
      <w:r>
        <w:rPr>
          <w:rFonts w:ascii="Arial" w:cs="Arial" w:eastAsia="Arial" w:hAnsi="Arial"/>
          <w:sz w:val="20"/>
          <w:szCs w:val="20"/>
          <w:color w:val="auto"/>
        </w:rPr>
        <w:t>The following table shows information as of the Record Date regarding the beneficial ownership of Diodes’ common stock by (i) each director and nominee of the Company, (ii) each named executive officer, or NEO, of the Company (as defined below), and (iii) all directors, nominees and executive officers of the Company as a group.</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220" w:type="dxa"/>
            <w:vAlign w:val="bottom"/>
            <w:tcBorders>
              <w:top w:val="single" w:sz="8" w:color="005CA9"/>
            </w:tcBorders>
          </w:tcPr>
          <w:p>
            <w:pPr>
              <w:spacing w:after="0"/>
              <w:rPr>
                <w:sz w:val="12"/>
                <w:szCs w:val="12"/>
                <w:color w:val="auto"/>
              </w:rPr>
            </w:pPr>
          </w:p>
        </w:tc>
        <w:tc>
          <w:tcPr>
            <w:tcW w:w="2620" w:type="dxa"/>
            <w:vAlign w:val="bottom"/>
            <w:tcBorders>
              <w:top w:val="single" w:sz="8" w:color="005CA9"/>
            </w:tcBorders>
          </w:tcPr>
          <w:p>
            <w:pPr>
              <w:jc w:val="right"/>
              <w:ind w:right="239"/>
              <w:spacing w:after="0" w:line="142" w:lineRule="exact"/>
              <w:rPr>
                <w:sz w:val="20"/>
                <w:szCs w:val="20"/>
                <w:color w:val="auto"/>
              </w:rPr>
            </w:pPr>
            <w:r>
              <w:rPr>
                <w:rFonts w:ascii="Arial" w:cs="Arial" w:eastAsia="Arial" w:hAnsi="Arial"/>
                <w:sz w:val="16"/>
                <w:szCs w:val="16"/>
                <w:b w:val="1"/>
                <w:bCs w:val="1"/>
                <w:color w:val="auto"/>
              </w:rPr>
              <w:t>Shares of Common Stock</w:t>
            </w:r>
          </w:p>
        </w:tc>
        <w:tc>
          <w:tcPr>
            <w:tcW w:w="760" w:type="dxa"/>
            <w:vAlign w:val="bottom"/>
            <w:tcBorders>
              <w:top w:val="single" w:sz="8" w:color="005CA9"/>
            </w:tcBorders>
          </w:tcPr>
          <w:p>
            <w:pPr>
              <w:spacing w:after="0"/>
              <w:rPr>
                <w:sz w:val="12"/>
                <w:szCs w:val="12"/>
                <w:color w:val="auto"/>
              </w:rPr>
            </w:pPr>
          </w:p>
        </w:tc>
        <w:tc>
          <w:tcPr>
            <w:tcW w:w="2640" w:type="dxa"/>
            <w:vAlign w:val="bottom"/>
            <w:tcBorders>
              <w:top w:val="single" w:sz="8" w:color="005CA9"/>
            </w:tcBorders>
            <w:vMerge w:val="restart"/>
          </w:tcPr>
          <w:p>
            <w:pPr>
              <w:jc w:val="right"/>
              <w:ind w:right="439"/>
              <w:spacing w:after="0"/>
              <w:rPr>
                <w:sz w:val="20"/>
                <w:szCs w:val="20"/>
                <w:color w:val="auto"/>
              </w:rPr>
            </w:pPr>
            <w:r>
              <w:rPr>
                <w:rFonts w:ascii="Arial" w:cs="Arial" w:eastAsia="Arial" w:hAnsi="Arial"/>
                <w:sz w:val="16"/>
                <w:szCs w:val="16"/>
                <w:b w:val="1"/>
                <w:bCs w:val="1"/>
                <w:color w:val="auto"/>
              </w:rPr>
              <w:t xml:space="preserve">Percent of Class </w:t>
            </w:r>
            <w:r>
              <w:rPr>
                <w:rFonts w:ascii="Arial" w:cs="Arial" w:eastAsia="Arial" w:hAnsi="Arial"/>
                <w:sz w:val="21"/>
                <w:szCs w:val="21"/>
                <w:b w:val="1"/>
                <w:bCs w:val="1"/>
                <w:color w:val="auto"/>
                <w:vertAlign w:val="superscript"/>
              </w:rPr>
              <w:t>(3) (4)</w:t>
            </w:r>
          </w:p>
        </w:tc>
        <w:tc>
          <w:tcPr>
            <w:tcW w:w="0" w:type="dxa"/>
            <w:vAlign w:val="bottom"/>
          </w:tcPr>
          <w:p>
            <w:pPr>
              <w:spacing w:after="0"/>
              <w:rPr>
                <w:sz w:val="1"/>
                <w:szCs w:val="1"/>
                <w:color w:val="auto"/>
              </w:rPr>
            </w:pPr>
          </w:p>
        </w:tc>
      </w:tr>
      <w:tr>
        <w:trPr>
          <w:trHeight w:val="250"/>
        </w:trPr>
        <w:tc>
          <w:tcPr>
            <w:tcW w:w="5220" w:type="dxa"/>
            <w:vAlign w:val="bottom"/>
            <w:tcBorders>
              <w:bottom w:val="single" w:sz="8" w:color="005CA9"/>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2620" w:type="dxa"/>
            <w:vAlign w:val="bottom"/>
            <w:tcBorders>
              <w:bottom w:val="single" w:sz="8" w:color="005CA9"/>
            </w:tcBorders>
          </w:tcPr>
          <w:p>
            <w:pPr>
              <w:jc w:val="right"/>
              <w:ind w:right="299"/>
              <w:spacing w:after="0" w:line="230" w:lineRule="exact"/>
              <w:rPr>
                <w:sz w:val="20"/>
                <w:szCs w:val="20"/>
                <w:color w:val="auto"/>
              </w:rPr>
            </w:pPr>
            <w:r>
              <w:rPr>
                <w:rFonts w:ascii="Arial" w:cs="Arial" w:eastAsia="Arial" w:hAnsi="Arial"/>
                <w:sz w:val="16"/>
                <w:szCs w:val="16"/>
                <w:b w:val="1"/>
                <w:bCs w:val="1"/>
                <w:color w:val="auto"/>
              </w:rPr>
              <w:t xml:space="preserve">Beneficially Owned </w:t>
            </w:r>
            <w:r>
              <w:rPr>
                <w:rFonts w:ascii="Arial" w:cs="Arial" w:eastAsia="Arial" w:hAnsi="Arial"/>
                <w:sz w:val="21"/>
                <w:szCs w:val="21"/>
                <w:b w:val="1"/>
                <w:bCs w:val="1"/>
                <w:color w:val="auto"/>
                <w:vertAlign w:val="superscript"/>
              </w:rPr>
              <w:t>(1) (2)</w:t>
            </w:r>
          </w:p>
        </w:tc>
        <w:tc>
          <w:tcPr>
            <w:tcW w:w="760" w:type="dxa"/>
            <w:vAlign w:val="bottom"/>
            <w:tcBorders>
              <w:bottom w:val="single" w:sz="8" w:color="005CA9"/>
            </w:tcBorders>
          </w:tcPr>
          <w:p>
            <w:pPr>
              <w:spacing w:after="0"/>
              <w:rPr>
                <w:sz w:val="21"/>
                <w:szCs w:val="21"/>
                <w:color w:val="auto"/>
              </w:rPr>
            </w:pPr>
          </w:p>
        </w:tc>
        <w:tc>
          <w:tcPr>
            <w:tcW w:w="2640" w:type="dxa"/>
            <w:vAlign w:val="bottom"/>
            <w:tcBorders>
              <w:bottom w:val="single" w:sz="8" w:color="005CA9"/>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Directors and Nominees</w:t>
            </w:r>
          </w:p>
        </w:tc>
        <w:tc>
          <w:tcPr>
            <w:tcW w:w="26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tcPr>
          <w:p>
            <w:pPr>
              <w:ind w:left="100"/>
              <w:spacing w:after="0"/>
              <w:rPr>
                <w:sz w:val="20"/>
                <w:szCs w:val="20"/>
                <w:color w:val="auto"/>
              </w:rPr>
            </w:pPr>
            <w:r>
              <w:rPr>
                <w:rFonts w:ascii="Arial" w:cs="Arial" w:eastAsia="Arial" w:hAnsi="Arial"/>
                <w:sz w:val="16"/>
                <w:szCs w:val="16"/>
                <w:color w:val="auto"/>
              </w:rPr>
              <w:t>Elizabeth Bull</w:t>
            </w:r>
          </w:p>
        </w:tc>
        <w:tc>
          <w:tcPr>
            <w:tcW w:w="2620" w:type="dxa"/>
            <w:vAlign w:val="bottom"/>
          </w:tcPr>
          <w:p>
            <w:pPr>
              <w:jc w:val="right"/>
              <w:spacing w:after="0"/>
              <w:rPr>
                <w:sz w:val="20"/>
                <w:szCs w:val="20"/>
                <w:color w:val="auto"/>
              </w:rPr>
            </w:pPr>
            <w:r>
              <w:rPr>
                <w:rFonts w:ascii="Arial" w:cs="Arial" w:eastAsia="Arial" w:hAnsi="Arial"/>
                <w:sz w:val="16"/>
                <w:szCs w:val="16"/>
                <w:color w:val="auto"/>
              </w:rPr>
              <w:t>2,250</w:t>
            </w:r>
          </w:p>
        </w:tc>
        <w:tc>
          <w:tcPr>
            <w:tcW w:w="760" w:type="dxa"/>
            <w:vAlign w:val="bottom"/>
          </w:tcPr>
          <w:p>
            <w:pPr>
              <w:spacing w:after="0"/>
              <w:rPr>
                <w:sz w:val="16"/>
                <w:szCs w:val="16"/>
                <w:color w:val="auto"/>
              </w:rPr>
            </w:pP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Angie Chen Button</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6,660</w:t>
            </w:r>
          </w:p>
        </w:tc>
        <w:tc>
          <w:tcPr>
            <w:tcW w:w="760" w:type="dxa"/>
            <w:vAlign w:val="bottom"/>
            <w:shd w:val="clear" w:color="auto" w:fill="CFF0FC"/>
          </w:tcPr>
          <w:p>
            <w:pPr>
              <w:spacing w:after="0"/>
              <w:rPr>
                <w:sz w:val="16"/>
                <w:szCs w:val="16"/>
                <w:color w:val="auto"/>
              </w:rPr>
            </w:pPr>
          </w:p>
        </w:tc>
        <w:tc>
          <w:tcPr>
            <w:tcW w:w="2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tcPr>
          <w:p>
            <w:pPr>
              <w:ind w:left="100"/>
              <w:spacing w:after="0"/>
              <w:rPr>
                <w:sz w:val="20"/>
                <w:szCs w:val="20"/>
                <w:color w:val="auto"/>
              </w:rPr>
            </w:pPr>
            <w:r>
              <w:rPr>
                <w:rFonts w:ascii="Arial" w:cs="Arial" w:eastAsia="Arial" w:hAnsi="Arial"/>
                <w:sz w:val="16"/>
                <w:szCs w:val="16"/>
                <w:color w:val="auto"/>
              </w:rPr>
              <w:t>Warren Chen</w:t>
            </w:r>
          </w:p>
        </w:tc>
        <w:tc>
          <w:tcPr>
            <w:tcW w:w="2620" w:type="dxa"/>
            <w:vAlign w:val="bottom"/>
          </w:tcPr>
          <w:p>
            <w:pPr>
              <w:jc w:val="right"/>
              <w:spacing w:after="0"/>
              <w:rPr>
                <w:sz w:val="20"/>
                <w:szCs w:val="20"/>
                <w:color w:val="auto"/>
              </w:rPr>
            </w:pPr>
            <w:r>
              <w:rPr>
                <w:rFonts w:ascii="Arial" w:cs="Arial" w:eastAsia="Arial" w:hAnsi="Arial"/>
                <w:sz w:val="16"/>
                <w:szCs w:val="16"/>
                <w:color w:val="auto"/>
              </w:rPr>
              <w:t>2,760</w:t>
            </w:r>
          </w:p>
        </w:tc>
        <w:tc>
          <w:tcPr>
            <w:tcW w:w="760" w:type="dxa"/>
            <w:vAlign w:val="bottom"/>
          </w:tcPr>
          <w:p>
            <w:pPr>
              <w:spacing w:after="0"/>
              <w:rPr>
                <w:sz w:val="16"/>
                <w:szCs w:val="16"/>
                <w:color w:val="auto"/>
              </w:rPr>
            </w:pP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Robert E. Feiger</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760" w:type="dxa"/>
            <w:vAlign w:val="bottom"/>
            <w:shd w:val="clear" w:color="auto" w:fill="CFF0FC"/>
          </w:tcPr>
          <w:p>
            <w:pPr>
              <w:spacing w:after="0"/>
              <w:rPr>
                <w:sz w:val="16"/>
                <w:szCs w:val="16"/>
                <w:color w:val="auto"/>
              </w:rPr>
            </w:pPr>
          </w:p>
        </w:tc>
        <w:tc>
          <w:tcPr>
            <w:tcW w:w="2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tcPr>
          <w:p>
            <w:pPr>
              <w:ind w:left="100"/>
              <w:spacing w:after="0" w:line="189" w:lineRule="exact"/>
              <w:rPr>
                <w:sz w:val="20"/>
                <w:szCs w:val="20"/>
                <w:color w:val="auto"/>
              </w:rPr>
            </w:pPr>
            <w:r>
              <w:rPr>
                <w:rFonts w:ascii="Arial" w:cs="Arial" w:eastAsia="Arial" w:hAnsi="Arial"/>
                <w:sz w:val="16"/>
                <w:szCs w:val="16"/>
                <w:color w:val="auto"/>
              </w:rPr>
              <w:t xml:space="preserve">Keh-Shew Lu </w:t>
            </w:r>
            <w:r>
              <w:rPr>
                <w:rFonts w:ascii="Arial" w:cs="Arial" w:eastAsia="Arial" w:hAnsi="Arial"/>
                <w:sz w:val="21"/>
                <w:szCs w:val="21"/>
                <w:color w:val="auto"/>
                <w:vertAlign w:val="superscript"/>
              </w:rPr>
              <w:t>(5)</w:t>
            </w:r>
          </w:p>
        </w:tc>
        <w:tc>
          <w:tcPr>
            <w:tcW w:w="2620" w:type="dxa"/>
            <w:vAlign w:val="bottom"/>
          </w:tcPr>
          <w:p>
            <w:pPr>
              <w:jc w:val="right"/>
              <w:spacing w:after="0"/>
              <w:rPr>
                <w:sz w:val="20"/>
                <w:szCs w:val="20"/>
                <w:color w:val="auto"/>
              </w:rPr>
            </w:pPr>
            <w:r>
              <w:rPr>
                <w:rFonts w:ascii="Arial" w:cs="Arial" w:eastAsia="Arial" w:hAnsi="Arial"/>
                <w:sz w:val="16"/>
                <w:szCs w:val="16"/>
                <w:color w:val="auto"/>
              </w:rPr>
              <w:t>486,758</w:t>
            </w:r>
          </w:p>
        </w:tc>
        <w:tc>
          <w:tcPr>
            <w:tcW w:w="760" w:type="dxa"/>
            <w:vAlign w:val="bottom"/>
          </w:tcPr>
          <w:p>
            <w:pPr>
              <w:ind w:left="60"/>
              <w:spacing w:after="0"/>
              <w:rPr>
                <w:sz w:val="20"/>
                <w:szCs w:val="20"/>
                <w:color w:val="auto"/>
              </w:rPr>
            </w:pPr>
            <w:r>
              <w:rPr>
                <w:rFonts w:ascii="Arial" w:cs="Arial" w:eastAsia="Arial" w:hAnsi="Arial"/>
                <w:sz w:val="11"/>
                <w:szCs w:val="11"/>
                <w:color w:val="auto"/>
              </w:rPr>
              <w:t>(6)</w:t>
            </w:r>
          </w:p>
        </w:tc>
        <w:tc>
          <w:tcPr>
            <w:tcW w:w="26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Philip J. Ritter</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6"/>
                <w:szCs w:val="16"/>
                <w:color w:val="auto"/>
              </w:rPr>
            </w:pPr>
          </w:p>
        </w:tc>
        <w:tc>
          <w:tcPr>
            <w:tcW w:w="2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tcPr>
          <w:p>
            <w:pPr>
              <w:ind w:left="100"/>
              <w:spacing w:after="0"/>
              <w:rPr>
                <w:sz w:val="20"/>
                <w:szCs w:val="20"/>
                <w:color w:val="auto"/>
              </w:rPr>
            </w:pPr>
            <w:r>
              <w:rPr>
                <w:rFonts w:ascii="Arial" w:cs="Arial" w:eastAsia="Arial" w:hAnsi="Arial"/>
                <w:sz w:val="16"/>
                <w:szCs w:val="16"/>
                <w:color w:val="auto"/>
              </w:rPr>
              <w:t>Huey-Jen (Jenny) Su</w:t>
            </w:r>
          </w:p>
        </w:tc>
        <w:tc>
          <w:tcPr>
            <w:tcW w:w="26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line="189" w:lineRule="exact"/>
              <w:rPr>
                <w:sz w:val="20"/>
                <w:szCs w:val="20"/>
                <w:color w:val="auto"/>
              </w:rPr>
            </w:pPr>
            <w:r>
              <w:rPr>
                <w:rFonts w:ascii="Arial" w:cs="Arial" w:eastAsia="Arial" w:hAnsi="Arial"/>
                <w:sz w:val="16"/>
                <w:szCs w:val="16"/>
                <w:color w:val="auto"/>
              </w:rPr>
              <w:t xml:space="preserve">Gary Yu </w:t>
            </w:r>
            <w:r>
              <w:rPr>
                <w:rFonts w:ascii="Arial" w:cs="Arial" w:eastAsia="Arial" w:hAnsi="Arial"/>
                <w:sz w:val="21"/>
                <w:szCs w:val="21"/>
                <w:color w:val="auto"/>
                <w:vertAlign w:val="superscript"/>
              </w:rPr>
              <w:t>(7)</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48,735</w:t>
            </w:r>
          </w:p>
        </w:tc>
        <w:tc>
          <w:tcPr>
            <w:tcW w:w="7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(8)</w:t>
            </w:r>
          </w:p>
        </w:tc>
        <w:tc>
          <w:tcPr>
            <w:tcW w:w="2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20"/>
                <w:szCs w:val="20"/>
                <w:color w:val="auto"/>
              </w:rPr>
            </w:pPr>
            <w:r>
              <w:rPr>
                <w:rFonts w:ascii="Arial" w:cs="Arial" w:eastAsia="Arial" w:hAnsi="Arial"/>
                <w:sz w:val="16"/>
                <w:szCs w:val="16"/>
                <w:b w:val="1"/>
                <w:bCs w:val="1"/>
                <w:color w:val="auto"/>
              </w:rPr>
              <w:t>Named Executive Officers</w:t>
            </w:r>
          </w:p>
        </w:tc>
        <w:tc>
          <w:tcPr>
            <w:tcW w:w="2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Brett R. Whitmire</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35,488</w:t>
            </w:r>
          </w:p>
        </w:tc>
        <w:tc>
          <w:tcPr>
            <w:tcW w:w="760" w:type="dxa"/>
            <w:vAlign w:val="bottom"/>
            <w:shd w:val="clear" w:color="auto" w:fill="CFF0FC"/>
          </w:tcPr>
          <w:p>
            <w:pPr>
              <w:ind w:left="60"/>
              <w:spacing w:after="0"/>
              <w:rPr>
                <w:sz w:val="20"/>
                <w:szCs w:val="20"/>
                <w:color w:val="auto"/>
              </w:rPr>
            </w:pPr>
            <w:r>
              <w:rPr>
                <w:rFonts w:ascii="Arial" w:cs="Arial" w:eastAsia="Arial" w:hAnsi="Arial"/>
                <w:sz w:val="11"/>
                <w:szCs w:val="11"/>
                <w:color w:val="auto"/>
              </w:rPr>
              <w:t>(9)</w:t>
            </w:r>
          </w:p>
        </w:tc>
        <w:tc>
          <w:tcPr>
            <w:tcW w:w="2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tcPr>
          <w:p>
            <w:pPr>
              <w:ind w:left="100"/>
              <w:spacing w:after="0"/>
              <w:rPr>
                <w:sz w:val="20"/>
                <w:szCs w:val="20"/>
                <w:color w:val="auto"/>
              </w:rPr>
            </w:pPr>
            <w:r>
              <w:rPr>
                <w:rFonts w:ascii="Arial" w:cs="Arial" w:eastAsia="Arial" w:hAnsi="Arial"/>
                <w:sz w:val="16"/>
                <w:szCs w:val="16"/>
                <w:color w:val="auto"/>
              </w:rPr>
              <w:t>Francis Tang</w:t>
            </w:r>
          </w:p>
        </w:tc>
        <w:tc>
          <w:tcPr>
            <w:tcW w:w="2620" w:type="dxa"/>
            <w:vAlign w:val="bottom"/>
          </w:tcPr>
          <w:p>
            <w:pPr>
              <w:jc w:val="right"/>
              <w:spacing w:after="0"/>
              <w:rPr>
                <w:sz w:val="20"/>
                <w:szCs w:val="20"/>
                <w:color w:val="auto"/>
              </w:rPr>
            </w:pPr>
            <w:r>
              <w:rPr>
                <w:rFonts w:ascii="Arial" w:cs="Arial" w:eastAsia="Arial" w:hAnsi="Arial"/>
                <w:sz w:val="16"/>
                <w:szCs w:val="16"/>
                <w:color w:val="auto"/>
              </w:rPr>
              <w:t>76,415</w:t>
            </w:r>
          </w:p>
        </w:tc>
        <w:tc>
          <w:tcPr>
            <w:tcW w:w="760" w:type="dxa"/>
            <w:vAlign w:val="bottom"/>
          </w:tcPr>
          <w:p>
            <w:pPr>
              <w:ind w:left="60"/>
              <w:spacing w:after="0"/>
              <w:rPr>
                <w:sz w:val="20"/>
                <w:szCs w:val="20"/>
                <w:color w:val="auto"/>
              </w:rPr>
            </w:pPr>
            <w:r>
              <w:rPr>
                <w:rFonts w:ascii="Arial" w:cs="Arial" w:eastAsia="Arial" w:hAnsi="Arial"/>
                <w:sz w:val="11"/>
                <w:szCs w:val="11"/>
                <w:color w:val="auto"/>
              </w:rPr>
              <w:t>(10)</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Andy (Kuo-Ting) Tsong</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21,791</w:t>
            </w:r>
          </w:p>
        </w:tc>
        <w:tc>
          <w:tcPr>
            <w:tcW w:w="760" w:type="dxa"/>
            <w:vAlign w:val="bottom"/>
            <w:shd w:val="clear" w:color="auto" w:fill="CFF0FC"/>
          </w:tcPr>
          <w:p>
            <w:pPr>
              <w:ind w:left="60"/>
              <w:spacing w:after="0"/>
              <w:rPr>
                <w:sz w:val="20"/>
                <w:szCs w:val="20"/>
                <w:color w:val="auto"/>
              </w:rPr>
            </w:pPr>
            <w:r>
              <w:rPr>
                <w:rFonts w:ascii="Arial" w:cs="Arial" w:eastAsia="Arial" w:hAnsi="Arial"/>
                <w:sz w:val="11"/>
                <w:szCs w:val="11"/>
                <w:color w:val="auto"/>
              </w:rPr>
              <w:t>(11)</w:t>
            </w:r>
          </w:p>
        </w:tc>
        <w:tc>
          <w:tcPr>
            <w:tcW w:w="2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20" w:type="dxa"/>
            <w:vAlign w:val="bottom"/>
          </w:tcPr>
          <w:p>
            <w:pPr>
              <w:ind w:left="100"/>
              <w:spacing w:after="0"/>
              <w:rPr>
                <w:sz w:val="20"/>
                <w:szCs w:val="20"/>
                <w:color w:val="auto"/>
              </w:rPr>
            </w:pPr>
            <w:r>
              <w:rPr>
                <w:rFonts w:ascii="Arial" w:cs="Arial" w:eastAsia="Arial" w:hAnsi="Arial"/>
                <w:sz w:val="16"/>
                <w:szCs w:val="16"/>
                <w:color w:val="auto"/>
              </w:rPr>
              <w:t>Emily Yang</w:t>
            </w:r>
          </w:p>
        </w:tc>
        <w:tc>
          <w:tcPr>
            <w:tcW w:w="2620" w:type="dxa"/>
            <w:vAlign w:val="bottom"/>
          </w:tcPr>
          <w:p>
            <w:pPr>
              <w:jc w:val="right"/>
              <w:spacing w:after="0"/>
              <w:rPr>
                <w:sz w:val="20"/>
                <w:szCs w:val="20"/>
                <w:color w:val="auto"/>
              </w:rPr>
            </w:pPr>
            <w:r>
              <w:rPr>
                <w:rFonts w:ascii="Arial" w:cs="Arial" w:eastAsia="Arial" w:hAnsi="Arial"/>
                <w:sz w:val="16"/>
                <w:szCs w:val="16"/>
                <w:color w:val="auto"/>
              </w:rPr>
              <w:t>49,178</w:t>
            </w:r>
          </w:p>
        </w:tc>
        <w:tc>
          <w:tcPr>
            <w:tcW w:w="760" w:type="dxa"/>
            <w:vAlign w:val="bottom"/>
          </w:tcPr>
          <w:p>
            <w:pPr>
              <w:ind w:left="60"/>
              <w:spacing w:after="0"/>
              <w:rPr>
                <w:sz w:val="20"/>
                <w:szCs w:val="20"/>
                <w:color w:val="auto"/>
              </w:rPr>
            </w:pPr>
            <w:r>
              <w:rPr>
                <w:rFonts w:ascii="Arial" w:cs="Arial" w:eastAsia="Arial" w:hAnsi="Arial"/>
                <w:sz w:val="11"/>
                <w:szCs w:val="11"/>
                <w:color w:val="auto"/>
              </w:rPr>
              <w:t>(12)</w:t>
            </w:r>
          </w:p>
        </w:tc>
        <w:tc>
          <w:tcPr>
            <w:tcW w:w="26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Jin Zhao</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24,680</w:t>
            </w:r>
          </w:p>
        </w:tc>
        <w:tc>
          <w:tcPr>
            <w:tcW w:w="760" w:type="dxa"/>
            <w:vAlign w:val="bottom"/>
            <w:shd w:val="clear" w:color="auto" w:fill="CFF0FC"/>
          </w:tcPr>
          <w:p>
            <w:pPr>
              <w:ind w:left="60"/>
              <w:spacing w:after="0"/>
              <w:rPr>
                <w:sz w:val="20"/>
                <w:szCs w:val="20"/>
                <w:color w:val="auto"/>
              </w:rPr>
            </w:pPr>
            <w:r>
              <w:rPr>
                <w:rFonts w:ascii="Arial" w:cs="Arial" w:eastAsia="Arial" w:hAnsi="Arial"/>
                <w:sz w:val="11"/>
                <w:szCs w:val="11"/>
                <w:color w:val="auto"/>
              </w:rPr>
              <w:t>(13)</w:t>
            </w:r>
          </w:p>
        </w:tc>
        <w:tc>
          <w:tcPr>
            <w:tcW w:w="26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220" w:type="dxa"/>
            <w:vAlign w:val="bottom"/>
          </w:tcPr>
          <w:p>
            <w:pPr>
              <w:ind w:left="100"/>
              <w:spacing w:after="0" w:line="175" w:lineRule="exact"/>
              <w:rPr>
                <w:sz w:val="20"/>
                <w:szCs w:val="20"/>
                <w:color w:val="auto"/>
              </w:rPr>
            </w:pPr>
            <w:r>
              <w:rPr>
                <w:rFonts w:ascii="Arial" w:cs="Arial" w:eastAsia="Arial" w:hAnsi="Arial"/>
                <w:sz w:val="16"/>
                <w:szCs w:val="16"/>
                <w:color w:val="auto"/>
              </w:rPr>
              <w:t>All directors, nominees and executive officers of the Company as a</w:t>
            </w:r>
          </w:p>
        </w:tc>
        <w:tc>
          <w:tcPr>
            <w:tcW w:w="262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auto"/>
              </w:rPr>
              <w:t>(14)</w:t>
            </w: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005CA9"/>
            </w:tcBorders>
          </w:tcPr>
          <w:p>
            <w:pPr>
              <w:ind w:left="100"/>
              <w:spacing w:after="0"/>
              <w:rPr>
                <w:sz w:val="20"/>
                <w:szCs w:val="20"/>
                <w:color w:val="auto"/>
              </w:rPr>
            </w:pPr>
            <w:r>
              <w:rPr>
                <w:rFonts w:ascii="Arial" w:cs="Arial" w:eastAsia="Arial" w:hAnsi="Arial"/>
                <w:sz w:val="16"/>
                <w:szCs w:val="16"/>
                <w:color w:val="auto"/>
              </w:rPr>
              <w:t>group (13 individuals including those named above)</w:t>
            </w:r>
          </w:p>
        </w:tc>
        <w:tc>
          <w:tcPr>
            <w:tcW w:w="2620" w:type="dxa"/>
            <w:vAlign w:val="bottom"/>
            <w:tcBorders>
              <w:bottom w:val="single" w:sz="8" w:color="005CA9"/>
            </w:tcBorders>
          </w:tcPr>
          <w:p>
            <w:pPr>
              <w:jc w:val="right"/>
              <w:spacing w:after="0"/>
              <w:rPr>
                <w:sz w:val="20"/>
                <w:szCs w:val="20"/>
                <w:color w:val="auto"/>
              </w:rPr>
            </w:pPr>
            <w:r>
              <w:rPr>
                <w:rFonts w:ascii="Arial" w:cs="Arial" w:eastAsia="Arial" w:hAnsi="Arial"/>
                <w:sz w:val="16"/>
                <w:szCs w:val="16"/>
                <w:color w:val="auto"/>
              </w:rPr>
              <w:t>801,039</w:t>
            </w:r>
          </w:p>
        </w:tc>
        <w:tc>
          <w:tcPr>
            <w:tcW w:w="760" w:type="dxa"/>
            <w:vAlign w:val="bottom"/>
            <w:tcBorders>
              <w:bottom w:val="single" w:sz="8" w:color="005CA9"/>
            </w:tcBorders>
            <w:vMerge w:val="continue"/>
          </w:tcPr>
          <w:p>
            <w:pPr>
              <w:spacing w:after="0"/>
              <w:rPr>
                <w:sz w:val="17"/>
                <w:szCs w:val="17"/>
                <w:color w:val="auto"/>
              </w:rPr>
            </w:pPr>
          </w:p>
        </w:tc>
        <w:tc>
          <w:tcPr>
            <w:tcW w:w="2640" w:type="dxa"/>
            <w:vAlign w:val="bottom"/>
            <w:tcBorders>
              <w:bottom w:val="single" w:sz="8" w:color="005CA9"/>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Indicates less than 1%.</w:t>
      </w:r>
    </w:p>
    <w:p>
      <w:pPr>
        <w:spacing w:after="0" w:line="15" w:lineRule="exact"/>
        <w:rPr>
          <w:sz w:val="20"/>
          <w:szCs w:val="20"/>
          <w:color w:val="auto"/>
        </w:rPr>
      </w:pPr>
    </w:p>
    <w:p>
      <w:pPr>
        <w:jc w:val="both"/>
        <w:ind w:left="300" w:hanging="149"/>
        <w:spacing w:after="0" w:line="236" w:lineRule="auto"/>
        <w:rPr>
          <w:sz w:val="20"/>
          <w:szCs w:val="20"/>
          <w:color w:val="auto"/>
        </w:rPr>
      </w:pPr>
      <w:r>
        <w:rPr>
          <w:rFonts w:ascii="Calibri" w:cs="Calibri" w:eastAsia="Calibri" w:hAnsi="Calibri"/>
          <w:sz w:val="14"/>
          <w:szCs w:val="14"/>
          <w:color w:val="auto"/>
        </w:rPr>
        <w:t>(1)</w:t>
      </w:r>
      <w:r>
        <w:rPr>
          <w:rFonts w:ascii="Arial" w:cs="Arial" w:eastAsia="Arial" w:hAnsi="Arial"/>
          <w:sz w:val="14"/>
          <w:szCs w:val="14"/>
          <w:color w:val="auto"/>
        </w:rPr>
        <w:t>Consists of shares of Common Stock held by the named individual, and shares of Common Stock that the named individual has the right to acquire within sixty (60) days</w:t>
      </w:r>
      <w:r>
        <w:rPr>
          <w:rFonts w:ascii="Calibri" w:cs="Calibri" w:eastAsia="Calibri" w:hAnsi="Calibri"/>
          <w:sz w:val="14"/>
          <w:szCs w:val="14"/>
          <w:color w:val="auto"/>
        </w:rPr>
        <w:t xml:space="preserve"> </w:t>
      </w:r>
      <w:r>
        <w:rPr>
          <w:rFonts w:ascii="Arial" w:cs="Arial" w:eastAsia="Arial" w:hAnsi="Arial"/>
          <w:sz w:val="14"/>
          <w:szCs w:val="14"/>
          <w:color w:val="auto"/>
        </w:rPr>
        <w:t>after the Record Date by exercising stock options or upon the vesting of restricted stock units (“RSUs”) or performance stock units (“PSUs”). For further discussion on the Company’s use of equity awards, see “Compensation Discussion and Analysis – Principal Components of Compensation - Long-Term Incentive (LTI) Plan.”</w:t>
      </w:r>
    </w:p>
    <w:p>
      <w:pPr>
        <w:spacing w:after="0" w:line="1" w:lineRule="exact"/>
        <w:rPr>
          <w:sz w:val="20"/>
          <w:szCs w:val="20"/>
          <w:color w:val="auto"/>
        </w:rPr>
      </w:pPr>
    </w:p>
    <w:p>
      <w:pPr>
        <w:jc w:val="both"/>
        <w:ind w:left="300" w:hanging="151"/>
        <w:spacing w:after="0" w:line="227" w:lineRule="auto"/>
        <w:rPr>
          <w:sz w:val="20"/>
          <w:szCs w:val="20"/>
          <w:color w:val="auto"/>
        </w:rPr>
      </w:pPr>
      <w:r>
        <w:rPr>
          <w:rFonts w:ascii="Calibri" w:cs="Calibri" w:eastAsia="Calibri" w:hAnsi="Calibri"/>
          <w:sz w:val="14"/>
          <w:szCs w:val="14"/>
          <w:color w:val="auto"/>
        </w:rPr>
        <w:t>(2)</w:t>
      </w:r>
      <w:r>
        <w:rPr>
          <w:rFonts w:ascii="Arial" w:cs="Arial" w:eastAsia="Arial" w:hAnsi="Arial"/>
          <w:sz w:val="14"/>
          <w:szCs w:val="14"/>
          <w:color w:val="auto"/>
        </w:rPr>
        <w:t>The named stockholder has sole voting power and investment power with respect to the shares listed, except as indicated and subject to community property laws where</w:t>
      </w:r>
      <w:r>
        <w:rPr>
          <w:rFonts w:ascii="Calibri" w:cs="Calibri" w:eastAsia="Calibri" w:hAnsi="Calibri"/>
          <w:sz w:val="14"/>
          <w:szCs w:val="14"/>
          <w:color w:val="auto"/>
        </w:rPr>
        <w:t xml:space="preserve"> </w:t>
      </w:r>
      <w:r>
        <w:rPr>
          <w:rFonts w:ascii="Arial" w:cs="Arial" w:eastAsia="Arial" w:hAnsi="Arial"/>
          <w:sz w:val="14"/>
          <w:szCs w:val="14"/>
          <w:color w:val="auto"/>
        </w:rPr>
        <w:t>applicable.</w:t>
      </w:r>
    </w:p>
    <w:p>
      <w:pPr>
        <w:spacing w:after="0" w:line="1" w:lineRule="exact"/>
        <w:rPr>
          <w:sz w:val="20"/>
          <w:szCs w:val="20"/>
          <w:color w:val="auto"/>
        </w:rPr>
      </w:pPr>
    </w:p>
    <w:p>
      <w:pPr>
        <w:jc w:val="both"/>
        <w:ind w:left="300" w:hanging="149"/>
        <w:spacing w:after="0" w:line="234" w:lineRule="auto"/>
        <w:rPr>
          <w:sz w:val="20"/>
          <w:szCs w:val="20"/>
          <w:color w:val="auto"/>
        </w:rPr>
      </w:pPr>
      <w:r>
        <w:rPr>
          <w:rFonts w:ascii="Calibri" w:cs="Calibri" w:eastAsia="Calibri" w:hAnsi="Calibri"/>
          <w:sz w:val="14"/>
          <w:szCs w:val="14"/>
          <w:color w:val="auto"/>
        </w:rPr>
        <w:t>(3)</w:t>
      </w:r>
      <w:r>
        <w:rPr>
          <w:rFonts w:ascii="Arial" w:cs="Arial" w:eastAsia="Arial" w:hAnsi="Arial"/>
          <w:sz w:val="14"/>
          <w:szCs w:val="14"/>
          <w:color w:val="auto"/>
        </w:rPr>
        <w:t>Under Rule 13d-3 of the Exchange Act, certain shares may be deemed to be beneficially owned by more than one person (for example, if a person shares the power to</w:t>
      </w:r>
      <w:r>
        <w:rPr>
          <w:rFonts w:ascii="Calibri" w:cs="Calibri" w:eastAsia="Calibri" w:hAnsi="Calibri"/>
          <w:sz w:val="14"/>
          <w:szCs w:val="14"/>
          <w:color w:val="auto"/>
        </w:rPr>
        <w:t xml:space="preserve"> </w:t>
      </w:r>
      <w:r>
        <w:rPr>
          <w:rFonts w:ascii="Arial" w:cs="Arial" w:eastAsia="Arial" w:hAnsi="Arial"/>
          <w:sz w:val="14"/>
          <w:szCs w:val="14"/>
          <w:color w:val="auto"/>
        </w:rPr>
        <w:t>vote or the power to dispose of the shares). In addition, under Rule 13d-3(d)(1) of the Exchange Act, shares which the person (or group) has the right to acquire within sixty</w:t>
      </w:r>
    </w:p>
    <w:p>
      <w:pPr>
        <w:jc w:val="both"/>
        <w:ind w:left="300" w:firstLine="7"/>
        <w:spacing w:after="0" w:line="241" w:lineRule="auto"/>
        <w:tabs>
          <w:tab w:leader="none" w:pos="605" w:val="left"/>
        </w:tabs>
        <w:numPr>
          <w:ilvl w:val="0"/>
          <w:numId w:val="10"/>
        </w:numPr>
        <w:rPr>
          <w:rFonts w:ascii="Arial" w:cs="Arial" w:eastAsia="Arial" w:hAnsi="Arial"/>
          <w:sz w:val="14"/>
          <w:szCs w:val="14"/>
          <w:color w:val="auto"/>
        </w:rPr>
      </w:pPr>
      <w:r>
        <w:rPr>
          <w:rFonts w:ascii="Arial" w:cs="Arial" w:eastAsia="Arial" w:hAnsi="Arial"/>
          <w:sz w:val="14"/>
          <w:szCs w:val="14"/>
          <w:color w:val="auto"/>
        </w:rPr>
        <w:t>days after the Record Date are deemed to be outstanding in calculating the beneficial ownership and the percentage ownership of the person (or group) but are not deemed to be outstanding as to any other person or group. As a result, the percentage of outstanding shares of any person as shown in this table does not necessarily reflect the person’s actual ownership of voting power with respect to the number of shares of Common Stock actually outstanding at the Record Date.</w:t>
      </w:r>
    </w:p>
    <w:p>
      <w:pPr>
        <w:spacing w:after="0" w:line="1"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(4)</w:t>
      </w:r>
      <w:r>
        <w:rPr>
          <w:rFonts w:ascii="Arial" w:cs="Arial" w:eastAsia="Arial" w:hAnsi="Arial"/>
          <w:sz w:val="14"/>
          <w:szCs w:val="14"/>
          <w:color w:val="auto"/>
        </w:rPr>
        <w:t>Percent of class is based on 46,006,563 shares of the Common Stock outstanding as of the Record Date.</w:t>
      </w:r>
    </w:p>
    <w:p>
      <w:pPr>
        <w:spacing w:after="0" w:line="5"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(5)</w:t>
      </w:r>
      <w:r>
        <w:rPr>
          <w:rFonts w:ascii="Arial" w:cs="Arial" w:eastAsia="Arial" w:hAnsi="Arial"/>
          <w:sz w:val="14"/>
          <w:szCs w:val="14"/>
          <w:color w:val="auto"/>
        </w:rPr>
        <w:t>Dr. Lu is Chairman of the Board and an NEO.</w:t>
      </w:r>
    </w:p>
    <w:p>
      <w:pPr>
        <w:spacing w:after="0" w:line="18" w:lineRule="exact"/>
        <w:rPr>
          <w:sz w:val="20"/>
          <w:szCs w:val="20"/>
          <w:color w:val="auto"/>
        </w:rPr>
      </w:pPr>
    </w:p>
    <w:p>
      <w:pPr>
        <w:jc w:val="both"/>
        <w:ind w:left="300" w:hanging="149"/>
        <w:spacing w:after="0" w:line="242" w:lineRule="auto"/>
        <w:rPr>
          <w:sz w:val="20"/>
          <w:szCs w:val="20"/>
          <w:color w:val="auto"/>
        </w:rPr>
      </w:pPr>
      <w:r>
        <w:rPr>
          <w:rFonts w:ascii="Calibri" w:cs="Calibri" w:eastAsia="Calibri" w:hAnsi="Calibri"/>
          <w:sz w:val="14"/>
          <w:szCs w:val="14"/>
          <w:color w:val="auto"/>
        </w:rPr>
        <w:t>(6)</w:t>
      </w:r>
      <w:r>
        <w:rPr>
          <w:rFonts w:ascii="Arial" w:cs="Arial" w:eastAsia="Arial" w:hAnsi="Arial"/>
          <w:sz w:val="14"/>
          <w:szCs w:val="14"/>
          <w:color w:val="auto"/>
        </w:rPr>
        <w:t>Includes the following shares of Common Stock over which Dr. Lu has voting and investment authority: 225,152 shares held in the name of the Lu Grandchildren’s Trust,</w:t>
      </w:r>
      <w:r>
        <w:rPr>
          <w:rFonts w:ascii="Calibri" w:cs="Calibri" w:eastAsia="Calibri" w:hAnsi="Calibri"/>
          <w:sz w:val="14"/>
          <w:szCs w:val="14"/>
          <w:color w:val="auto"/>
        </w:rPr>
        <w:t xml:space="preserve"> </w:t>
      </w:r>
      <w:r>
        <w:rPr>
          <w:rFonts w:ascii="Arial" w:cs="Arial" w:eastAsia="Arial" w:hAnsi="Arial"/>
          <w:sz w:val="14"/>
          <w:szCs w:val="14"/>
          <w:color w:val="auto"/>
        </w:rPr>
        <w:t>4,700 shares held by the Lu 2017 Irrevocable Trust, 6,000 shares held by the Lu Family Foundation, and 180,131 shares held by the Texas TAC Account. Dr. Lu is a co-trustee of the Lu Grandchildren’s Trust, the Lu 2017 Irrevocable Trust, the Lu Family Foundation, and the Texas TAC account. Does not include 53,500 shares of Common Stock subject to RSUs and 50,000 shares of Common Stock subject to PSUs.</w:t>
      </w:r>
    </w:p>
    <w:p>
      <w:pPr>
        <w:spacing w:after="0" w:line="1"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(7)</w:t>
      </w:r>
      <w:r>
        <w:rPr>
          <w:rFonts w:ascii="Arial" w:cs="Arial" w:eastAsia="Arial" w:hAnsi="Arial"/>
          <w:sz w:val="14"/>
          <w:szCs w:val="14"/>
          <w:color w:val="auto"/>
        </w:rPr>
        <w:t>Mr. Yu is President and CEO of the Company and an NEO.</w:t>
      </w:r>
    </w:p>
    <w:p>
      <w:pPr>
        <w:spacing w:after="0" w:line="5"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(8)</w:t>
      </w:r>
      <w:r>
        <w:rPr>
          <w:rFonts w:ascii="Arial" w:cs="Arial" w:eastAsia="Arial" w:hAnsi="Arial"/>
          <w:sz w:val="14"/>
          <w:szCs w:val="14"/>
          <w:color w:val="auto"/>
        </w:rPr>
        <w:t>Does not include 69,436 shares of Common Stock subject to RSUs and 76,000 shares of Common Stock subject to PSUs.</w:t>
      </w:r>
    </w:p>
    <w:p>
      <w:pPr>
        <w:spacing w:after="0" w:line="18"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(9)</w:t>
      </w:r>
      <w:r>
        <w:rPr>
          <w:rFonts w:ascii="Arial" w:cs="Arial" w:eastAsia="Arial" w:hAnsi="Arial"/>
          <w:sz w:val="14"/>
          <w:szCs w:val="14"/>
          <w:color w:val="auto"/>
        </w:rPr>
        <w:t>Does not include 33,300 shares of Common Stock subject to RSUs and 36,100 shares of Common Stock subject to PSUs.</w:t>
      </w:r>
    </w:p>
    <w:p>
      <w:pPr>
        <w:spacing w:after="0" w:line="18"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(10)</w:t>
      </w:r>
      <w:r>
        <w:rPr>
          <w:rFonts w:ascii="Arial" w:cs="Arial" w:eastAsia="Arial" w:hAnsi="Arial"/>
          <w:sz w:val="14"/>
          <w:szCs w:val="14"/>
          <w:color w:val="auto"/>
        </w:rPr>
        <w:t>Does not include 24,850 shares of Common Stock subject to RSUs and 28,200 shares of Common Stock subject to PSUs.</w:t>
      </w:r>
    </w:p>
    <w:p>
      <w:pPr>
        <w:spacing w:after="0" w:line="18"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(11)</w:t>
      </w:r>
      <w:r>
        <w:rPr>
          <w:rFonts w:ascii="Arial" w:cs="Arial" w:eastAsia="Arial" w:hAnsi="Arial"/>
          <w:sz w:val="14"/>
          <w:szCs w:val="14"/>
          <w:color w:val="auto"/>
        </w:rPr>
        <w:t>Does not include 30,613 shares of Common Stock subject to RSUs and 32,100 shares of Common Stock subject to PSUs.</w:t>
      </w:r>
    </w:p>
    <w:p>
      <w:pPr>
        <w:spacing w:after="0" w:line="18"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(12)</w:t>
      </w:r>
      <w:r>
        <w:rPr>
          <w:rFonts w:ascii="Arial" w:cs="Arial" w:eastAsia="Arial" w:hAnsi="Arial"/>
          <w:sz w:val="14"/>
          <w:szCs w:val="14"/>
          <w:color w:val="auto"/>
        </w:rPr>
        <w:t>Does not include 29,300 shares of Common Stock subject to RSUs and 32,100 shares of Common Stock subject to PSUs.</w:t>
      </w:r>
    </w:p>
    <w:p>
      <w:pPr>
        <w:spacing w:after="0" w:line="18" w:lineRule="exact"/>
        <w:rPr>
          <w:sz w:val="20"/>
          <w:szCs w:val="20"/>
          <w:color w:val="auto"/>
        </w:rPr>
      </w:pPr>
    </w:p>
    <w:p>
      <w:pPr>
        <w:ind w:left="160"/>
        <w:spacing w:after="0"/>
        <w:rPr>
          <w:sz w:val="20"/>
          <w:szCs w:val="20"/>
          <w:color w:val="auto"/>
        </w:rPr>
      </w:pPr>
      <w:r>
        <w:rPr>
          <w:rFonts w:ascii="Calibri" w:cs="Calibri" w:eastAsia="Calibri" w:hAnsi="Calibri"/>
          <w:sz w:val="14"/>
          <w:szCs w:val="14"/>
          <w:color w:val="auto"/>
        </w:rPr>
        <w:t>(13)</w:t>
      </w:r>
      <w:r>
        <w:rPr>
          <w:rFonts w:ascii="Arial" w:cs="Arial" w:eastAsia="Arial" w:hAnsi="Arial"/>
          <w:sz w:val="14"/>
          <w:szCs w:val="14"/>
          <w:color w:val="auto"/>
        </w:rPr>
        <w:t>Does not include 29,300 shares of Common Stock subject to RSUs and 32,100 shares of Common Stock subject to PSUs.</w:t>
      </w:r>
    </w:p>
    <w:p>
      <w:pPr>
        <w:spacing w:after="0" w:line="18" w:lineRule="exact"/>
        <w:rPr>
          <w:sz w:val="20"/>
          <w:szCs w:val="20"/>
          <w:color w:val="auto"/>
        </w:rPr>
      </w:pPr>
    </w:p>
    <w:p>
      <w:pPr>
        <w:jc w:val="both"/>
        <w:ind w:left="340" w:right="20" w:hanging="184"/>
        <w:spacing w:after="0" w:line="268" w:lineRule="auto"/>
        <w:rPr>
          <w:sz w:val="20"/>
          <w:szCs w:val="20"/>
          <w:color w:val="auto"/>
        </w:rPr>
      </w:pPr>
      <w:r>
        <w:rPr>
          <w:rFonts w:ascii="Calibri" w:cs="Calibri" w:eastAsia="Calibri" w:hAnsi="Calibri"/>
          <w:sz w:val="14"/>
          <w:szCs w:val="14"/>
          <w:color w:val="auto"/>
        </w:rPr>
        <w:t>(14)</w:t>
      </w:r>
      <w:r>
        <w:rPr>
          <w:rFonts w:ascii="Arial" w:cs="Arial" w:eastAsia="Arial" w:hAnsi="Arial"/>
          <w:sz w:val="14"/>
          <w:szCs w:val="14"/>
          <w:color w:val="auto"/>
        </w:rPr>
        <w:t>Does not include 586,659 shares of Common Stock subject to RSUs and PSUs held by directors and executive officers of the Company, which may vest in installments</w:t>
      </w:r>
      <w:r>
        <w:rPr>
          <w:rFonts w:ascii="Calibri" w:cs="Calibri" w:eastAsia="Calibri" w:hAnsi="Calibri"/>
          <w:sz w:val="14"/>
          <w:szCs w:val="14"/>
          <w:color w:val="auto"/>
        </w:rPr>
        <w:t xml:space="preserve"> </w:t>
      </w:r>
      <w:r>
        <w:rPr>
          <w:rFonts w:ascii="Arial" w:cs="Arial" w:eastAsia="Arial" w:hAnsi="Arial"/>
          <w:sz w:val="14"/>
          <w:szCs w:val="14"/>
          <w:color w:val="auto"/>
        </w:rPr>
        <w:t>more than sixty (60) days after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43"/>
          <w:szCs w:val="43"/>
          <w:color w:val="005CA9"/>
        </w:rPr>
        <w:t>PROPOSAL ONE</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43"/>
          <w:szCs w:val="43"/>
          <w:color w:val="005CA9"/>
        </w:rPr>
        <w:t>ELECTION OF DIRECTORS</w:t>
      </w:r>
    </w:p>
    <w:p>
      <w:pPr>
        <w:spacing w:after="0" w:line="4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Company’s Bylaws provide that the number of directors shall be determined from time to time by the Board, but may not be less than five nor more than seventeen. Currently the Board consists of seven directors. Mr. Robert E. Feiger will not be standing for re-election and will retire from the Board in order to resume law practice on a full-time basis. The Company’s Bylaws further provide for the election of each director at each annual meeting of stockholders. Proxies cannot be voted for a greater number of persons than the number of nominees named.</w:t>
      </w:r>
    </w:p>
    <w:p>
      <w:pPr>
        <w:spacing w:after="0" w:line="6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persons nominated have been nominated for election to the Board to serve until the next annual meeting of stockholders and until their respective successors have been elected and qualified. All nominees other than Mr. Philip J. Ritter are currently directors of the Company, and all nominees have indicated their willingness to serve. Unless otherwise instructed, proxies will be voted in such a way as to elect as many of these nominees as possible under applicable voting rules. In the event that any of the nominees should be unable or unwilling to serve as a director, proxies will be voted for the election of such substitute nominees, if any, as shall be designated by the Board. The Board has no reason to believe that any nominee will be unable or unwilling to serve.</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Company’s Corporate Governance Guidelines provides that a non-employee member of the Board will not be eligible to stand for re-election to the Board after attaining the age of 75, but the Board may waive the requirement for up to five years for any non-employee director. Prior to the date of this Proxy Statement, Mr. Warren Chen attained the age of 75, and the Board waived this requirement to allow him to be eligible to stand for re-election to the Board at the Meeting.</w:t>
      </w:r>
    </w:p>
    <w:p>
      <w:pPr>
        <w:spacing w:after="0" w:line="6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seven nominees who receive the highest number of affirmative votes will be elected. The Board has adopted a policy requiring that in an uncontested election (such as the election held at the Meeting), each nominee will submit an irrevocable resignation promptly following the election if he or she fails to receive a majority of votes cast. An uncontested election means that there are as many candidates standing for election to the Board at a meeting as there are directors to be elected at the meeting. A majority of votes cast means that the number of shares cast “FOR” a director’s election exceeds the number of votes “WITHHELD.” See “Corporate Governance – Director Resignation Policy.”</w:t>
      </w:r>
    </w:p>
    <w:p>
      <w:pPr>
        <w:spacing w:after="0" w:line="6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None of the nominees were selected pursuant to any arrangement or understanding with any other person. Mr. Gary Yu is married to the niece of Dr. Keh-Shew Lu. Other than the aforementioned relationship between Mr. Yu and Dr. Lu, there are no family relationships among the directors of the Company as of the date hereof, and, except as set forth below, as of the date hereof, no directorships are now, or in the past five years have been, held by any director in a company that has a class of securities registered pursuant to Section 12 of the Exchange Act or subject to the requirements of Section 15(d) of the Exchange Act or any company registered as an investment company under the Investment Company Act of 1940.</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and discussion sets forth certain biographical information concerning the nominees of the Company as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Record Date: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Nominees</w:t>
            </w:r>
          </w:p>
        </w:tc>
        <w:tc>
          <w:tcPr>
            <w:tcW w:w="1420" w:type="dxa"/>
            <w:vAlign w:val="bottom"/>
            <w:tcBorders>
              <w:top w:val="single" w:sz="8" w:color="005CA9"/>
            </w:tcBorders>
          </w:tcPr>
          <w:p>
            <w:pPr>
              <w:jc w:val="center"/>
              <w:ind w:left="441"/>
              <w:spacing w:after="0"/>
              <w:rPr>
                <w:sz w:val="20"/>
                <w:szCs w:val="20"/>
                <w:color w:val="auto"/>
              </w:rPr>
            </w:pPr>
            <w:r>
              <w:rPr>
                <w:rFonts w:ascii="Arial" w:cs="Arial" w:eastAsia="Arial" w:hAnsi="Arial"/>
                <w:sz w:val="20"/>
                <w:szCs w:val="20"/>
                <w:b w:val="1"/>
                <w:bCs w:val="1"/>
                <w:color w:val="auto"/>
                <w:w w:val="95"/>
              </w:rPr>
              <w:t>Age</w:t>
            </w:r>
          </w:p>
        </w:tc>
        <w:tc>
          <w:tcPr>
            <w:tcW w:w="4980" w:type="dxa"/>
            <w:vAlign w:val="bottom"/>
            <w:tcBorders>
              <w:top w:val="single" w:sz="8" w:color="005CA9"/>
            </w:tcBorders>
          </w:tcPr>
          <w:p>
            <w:pPr>
              <w:ind w:left="260"/>
              <w:spacing w:after="0"/>
              <w:rPr>
                <w:sz w:val="20"/>
                <w:szCs w:val="20"/>
                <w:color w:val="auto"/>
              </w:rPr>
            </w:pPr>
            <w:r>
              <w:rPr>
                <w:rFonts w:ascii="Arial" w:cs="Arial" w:eastAsia="Arial" w:hAnsi="Arial"/>
                <w:sz w:val="20"/>
                <w:szCs w:val="20"/>
                <w:b w:val="1"/>
                <w:bCs w:val="1"/>
                <w:color w:val="auto"/>
              </w:rPr>
              <w:t>Position with the Company</w:t>
            </w:r>
          </w:p>
        </w:tc>
        <w:tc>
          <w:tcPr>
            <w:tcW w:w="2160" w:type="dxa"/>
            <w:vAlign w:val="bottom"/>
            <w:tcBorders>
              <w:top w:val="single" w:sz="8" w:color="005CA9"/>
            </w:tcBorders>
          </w:tcPr>
          <w:p>
            <w:pPr>
              <w:ind w:left="600"/>
              <w:spacing w:after="0"/>
              <w:rPr>
                <w:sz w:val="20"/>
                <w:szCs w:val="20"/>
                <w:color w:val="auto"/>
              </w:rPr>
            </w:pPr>
            <w:r>
              <w:rPr>
                <w:rFonts w:ascii="Arial" w:cs="Arial" w:eastAsia="Arial" w:hAnsi="Arial"/>
                <w:sz w:val="20"/>
                <w:szCs w:val="20"/>
                <w:b w:val="1"/>
                <w:bCs w:val="1"/>
                <w:color w:val="auto"/>
              </w:rPr>
              <w:t>Director Since</w:t>
            </w:r>
          </w:p>
        </w:tc>
      </w:tr>
      <w:tr>
        <w:trPr>
          <w:trHeight w:val="68"/>
        </w:trPr>
        <w:tc>
          <w:tcPr>
            <w:tcW w:w="2680" w:type="dxa"/>
            <w:vAlign w:val="bottom"/>
            <w:shd w:val="clear" w:color="auto" w:fill="005CA9"/>
          </w:tcPr>
          <w:p>
            <w:pPr>
              <w:spacing w:after="0"/>
              <w:rPr>
                <w:sz w:val="5"/>
                <w:szCs w:val="5"/>
                <w:color w:val="auto"/>
              </w:rPr>
            </w:pPr>
          </w:p>
        </w:tc>
        <w:tc>
          <w:tcPr>
            <w:tcW w:w="1420" w:type="dxa"/>
            <w:vAlign w:val="bottom"/>
            <w:shd w:val="clear" w:color="auto" w:fill="005CA9"/>
          </w:tcPr>
          <w:p>
            <w:pPr>
              <w:spacing w:after="0"/>
              <w:rPr>
                <w:sz w:val="5"/>
                <w:szCs w:val="5"/>
                <w:color w:val="auto"/>
              </w:rPr>
            </w:pPr>
          </w:p>
        </w:tc>
        <w:tc>
          <w:tcPr>
            <w:tcW w:w="4980" w:type="dxa"/>
            <w:vAlign w:val="bottom"/>
            <w:shd w:val="clear" w:color="auto" w:fill="005CA9"/>
          </w:tcPr>
          <w:p>
            <w:pPr>
              <w:spacing w:after="0"/>
              <w:rPr>
                <w:sz w:val="5"/>
                <w:szCs w:val="5"/>
                <w:color w:val="auto"/>
              </w:rPr>
            </w:pPr>
          </w:p>
        </w:tc>
        <w:tc>
          <w:tcPr>
            <w:tcW w:w="2160" w:type="dxa"/>
            <w:vAlign w:val="bottom"/>
            <w:shd w:val="clear" w:color="auto" w:fill="005CA9"/>
          </w:tcPr>
          <w:p>
            <w:pPr>
              <w:spacing w:after="0"/>
              <w:rPr>
                <w:sz w:val="5"/>
                <w:szCs w:val="5"/>
                <w:color w:val="auto"/>
              </w:rPr>
            </w:pPr>
          </w:p>
        </w:tc>
      </w:tr>
      <w:tr>
        <w:trPr>
          <w:trHeight w:val="216"/>
        </w:trPr>
        <w:tc>
          <w:tcPr>
            <w:tcW w:w="2680" w:type="dxa"/>
            <w:vAlign w:val="bottom"/>
            <w:shd w:val="clear" w:color="auto" w:fill="CFF0FC"/>
          </w:tcPr>
          <w:p>
            <w:pPr>
              <w:ind w:left="40"/>
              <w:spacing w:after="0" w:line="216" w:lineRule="exact"/>
              <w:rPr>
                <w:sz w:val="20"/>
                <w:szCs w:val="20"/>
                <w:color w:val="auto"/>
              </w:rPr>
            </w:pPr>
            <w:r>
              <w:rPr>
                <w:rFonts w:ascii="Arial" w:cs="Arial" w:eastAsia="Arial" w:hAnsi="Arial"/>
                <w:sz w:val="20"/>
                <w:szCs w:val="20"/>
                <w:color w:val="auto"/>
              </w:rPr>
              <w:t>Keh-Shew Lu</w:t>
            </w:r>
          </w:p>
        </w:tc>
        <w:tc>
          <w:tcPr>
            <w:tcW w:w="1420" w:type="dxa"/>
            <w:vAlign w:val="bottom"/>
            <w:shd w:val="clear" w:color="auto" w:fill="CFF0FC"/>
          </w:tcPr>
          <w:p>
            <w:pPr>
              <w:jc w:val="center"/>
              <w:ind w:left="461"/>
              <w:spacing w:after="0" w:line="216" w:lineRule="exact"/>
              <w:rPr>
                <w:sz w:val="20"/>
                <w:szCs w:val="20"/>
                <w:color w:val="auto"/>
              </w:rPr>
            </w:pPr>
            <w:r>
              <w:rPr>
                <w:rFonts w:ascii="Arial" w:cs="Arial" w:eastAsia="Arial" w:hAnsi="Arial"/>
                <w:sz w:val="20"/>
                <w:szCs w:val="20"/>
                <w:color w:val="auto"/>
                <w:w w:val="98"/>
              </w:rPr>
              <w:t>79</w:t>
            </w:r>
          </w:p>
        </w:tc>
        <w:tc>
          <w:tcPr>
            <w:tcW w:w="4980" w:type="dxa"/>
            <w:vAlign w:val="bottom"/>
            <w:shd w:val="clear" w:color="auto" w:fill="CFF0FC"/>
          </w:tcPr>
          <w:p>
            <w:pPr>
              <w:ind w:left="260"/>
              <w:spacing w:after="0" w:line="216" w:lineRule="exact"/>
              <w:rPr>
                <w:sz w:val="20"/>
                <w:szCs w:val="20"/>
                <w:color w:val="auto"/>
              </w:rPr>
            </w:pPr>
            <w:r>
              <w:rPr>
                <w:rFonts w:ascii="Arial" w:cs="Arial" w:eastAsia="Arial" w:hAnsi="Arial"/>
                <w:sz w:val="20"/>
                <w:szCs w:val="20"/>
                <w:color w:val="auto"/>
              </w:rPr>
              <w:t>Chairman of the Board and Director</w:t>
            </w:r>
          </w:p>
        </w:tc>
        <w:tc>
          <w:tcPr>
            <w:tcW w:w="2160" w:type="dxa"/>
            <w:vAlign w:val="bottom"/>
            <w:shd w:val="clear" w:color="auto" w:fill="CFF0FC"/>
          </w:tcPr>
          <w:p>
            <w:pPr>
              <w:jc w:val="center"/>
              <w:ind w:left="261"/>
              <w:spacing w:after="0" w:line="216" w:lineRule="exact"/>
              <w:rPr>
                <w:sz w:val="20"/>
                <w:szCs w:val="20"/>
                <w:color w:val="auto"/>
              </w:rPr>
            </w:pPr>
            <w:r>
              <w:rPr>
                <w:rFonts w:ascii="Arial" w:cs="Arial" w:eastAsia="Arial" w:hAnsi="Arial"/>
                <w:sz w:val="20"/>
                <w:szCs w:val="20"/>
                <w:color w:val="auto"/>
                <w:w w:val="98"/>
              </w:rPr>
              <w:t>2001</w:t>
            </w:r>
          </w:p>
        </w:tc>
      </w:tr>
      <w:tr>
        <w:trPr>
          <w:trHeight w:val="216"/>
        </w:trPr>
        <w:tc>
          <w:tcPr>
            <w:tcW w:w="2680" w:type="dxa"/>
            <w:vAlign w:val="bottom"/>
          </w:tcPr>
          <w:p>
            <w:pPr>
              <w:ind w:left="40"/>
              <w:spacing w:after="0" w:line="216" w:lineRule="exact"/>
              <w:rPr>
                <w:sz w:val="20"/>
                <w:szCs w:val="20"/>
                <w:color w:val="auto"/>
              </w:rPr>
            </w:pPr>
            <w:r>
              <w:rPr>
                <w:rFonts w:ascii="Arial" w:cs="Arial" w:eastAsia="Arial" w:hAnsi="Arial"/>
                <w:sz w:val="20"/>
                <w:szCs w:val="20"/>
                <w:color w:val="auto"/>
              </w:rPr>
              <w:t>Angie Chen Button</w:t>
            </w:r>
          </w:p>
        </w:tc>
        <w:tc>
          <w:tcPr>
            <w:tcW w:w="1420" w:type="dxa"/>
            <w:vAlign w:val="bottom"/>
          </w:tcPr>
          <w:p>
            <w:pPr>
              <w:jc w:val="center"/>
              <w:ind w:left="461"/>
              <w:spacing w:after="0" w:line="216" w:lineRule="exact"/>
              <w:rPr>
                <w:sz w:val="20"/>
                <w:szCs w:val="20"/>
                <w:color w:val="auto"/>
              </w:rPr>
            </w:pPr>
            <w:r>
              <w:rPr>
                <w:rFonts w:ascii="Arial" w:cs="Arial" w:eastAsia="Arial" w:hAnsi="Arial"/>
                <w:sz w:val="20"/>
                <w:szCs w:val="20"/>
                <w:color w:val="auto"/>
                <w:w w:val="98"/>
              </w:rPr>
              <w:t>72</w:t>
            </w:r>
          </w:p>
        </w:tc>
        <w:tc>
          <w:tcPr>
            <w:tcW w:w="4980" w:type="dxa"/>
            <w:vAlign w:val="bottom"/>
          </w:tcPr>
          <w:p>
            <w:pPr>
              <w:ind w:left="260"/>
              <w:spacing w:after="0" w:line="216" w:lineRule="exact"/>
              <w:rPr>
                <w:sz w:val="20"/>
                <w:szCs w:val="20"/>
                <w:color w:val="auto"/>
              </w:rPr>
            </w:pPr>
            <w:r>
              <w:rPr>
                <w:rFonts w:ascii="Arial" w:cs="Arial" w:eastAsia="Arial" w:hAnsi="Arial"/>
                <w:sz w:val="20"/>
                <w:szCs w:val="20"/>
                <w:color w:val="auto"/>
              </w:rPr>
              <w:t>Lead Independent Director</w:t>
            </w:r>
          </w:p>
        </w:tc>
        <w:tc>
          <w:tcPr>
            <w:tcW w:w="2160" w:type="dxa"/>
            <w:vAlign w:val="bottom"/>
          </w:tcPr>
          <w:p>
            <w:pPr>
              <w:jc w:val="center"/>
              <w:ind w:left="261"/>
              <w:spacing w:after="0" w:line="216" w:lineRule="exact"/>
              <w:rPr>
                <w:sz w:val="20"/>
                <w:szCs w:val="20"/>
                <w:color w:val="auto"/>
              </w:rPr>
            </w:pPr>
            <w:r>
              <w:rPr>
                <w:rFonts w:ascii="Arial" w:cs="Arial" w:eastAsia="Arial" w:hAnsi="Arial"/>
                <w:sz w:val="20"/>
                <w:szCs w:val="20"/>
                <w:color w:val="auto"/>
                <w:w w:val="98"/>
              </w:rPr>
              <w:t>2021</w:t>
            </w:r>
          </w:p>
        </w:tc>
      </w:tr>
      <w:tr>
        <w:trPr>
          <w:trHeight w:val="216"/>
        </w:trPr>
        <w:tc>
          <w:tcPr>
            <w:tcW w:w="2680" w:type="dxa"/>
            <w:vAlign w:val="bottom"/>
            <w:shd w:val="clear" w:color="auto" w:fill="CFF0FC"/>
          </w:tcPr>
          <w:p>
            <w:pPr>
              <w:ind w:left="40"/>
              <w:spacing w:after="0" w:line="216" w:lineRule="exact"/>
              <w:rPr>
                <w:sz w:val="20"/>
                <w:szCs w:val="20"/>
                <w:color w:val="auto"/>
              </w:rPr>
            </w:pPr>
            <w:r>
              <w:rPr>
                <w:rFonts w:ascii="Arial" w:cs="Arial" w:eastAsia="Arial" w:hAnsi="Arial"/>
                <w:sz w:val="20"/>
                <w:szCs w:val="20"/>
                <w:color w:val="auto"/>
              </w:rPr>
              <w:t>Elizabeth Bull</w:t>
            </w:r>
          </w:p>
        </w:tc>
        <w:tc>
          <w:tcPr>
            <w:tcW w:w="1420" w:type="dxa"/>
            <w:vAlign w:val="bottom"/>
            <w:shd w:val="clear" w:color="auto" w:fill="CFF0FC"/>
          </w:tcPr>
          <w:p>
            <w:pPr>
              <w:jc w:val="center"/>
              <w:ind w:left="461"/>
              <w:spacing w:after="0" w:line="216" w:lineRule="exact"/>
              <w:rPr>
                <w:sz w:val="20"/>
                <w:szCs w:val="20"/>
                <w:color w:val="auto"/>
              </w:rPr>
            </w:pPr>
            <w:r>
              <w:rPr>
                <w:rFonts w:ascii="Arial" w:cs="Arial" w:eastAsia="Arial" w:hAnsi="Arial"/>
                <w:sz w:val="20"/>
                <w:szCs w:val="20"/>
                <w:color w:val="auto"/>
                <w:w w:val="98"/>
              </w:rPr>
              <w:t>67</w:t>
            </w:r>
          </w:p>
        </w:tc>
        <w:tc>
          <w:tcPr>
            <w:tcW w:w="4980" w:type="dxa"/>
            <w:vAlign w:val="bottom"/>
            <w:shd w:val="clear" w:color="auto" w:fill="CFF0FC"/>
          </w:tcPr>
          <w:p>
            <w:pPr>
              <w:ind w:left="260"/>
              <w:spacing w:after="0" w:line="216" w:lineRule="exact"/>
              <w:rPr>
                <w:sz w:val="20"/>
                <w:szCs w:val="20"/>
                <w:color w:val="auto"/>
              </w:rPr>
            </w:pPr>
            <w:r>
              <w:rPr>
                <w:rFonts w:ascii="Arial" w:cs="Arial" w:eastAsia="Arial" w:hAnsi="Arial"/>
                <w:sz w:val="20"/>
                <w:szCs w:val="20"/>
                <w:color w:val="auto"/>
              </w:rPr>
              <w:t>Independent Director</w:t>
            </w:r>
          </w:p>
        </w:tc>
        <w:tc>
          <w:tcPr>
            <w:tcW w:w="2160" w:type="dxa"/>
            <w:vAlign w:val="bottom"/>
            <w:shd w:val="clear" w:color="auto" w:fill="CFF0FC"/>
          </w:tcPr>
          <w:p>
            <w:pPr>
              <w:jc w:val="center"/>
              <w:ind w:left="261"/>
              <w:spacing w:after="0" w:line="216" w:lineRule="exact"/>
              <w:rPr>
                <w:sz w:val="20"/>
                <w:szCs w:val="20"/>
                <w:color w:val="auto"/>
              </w:rPr>
            </w:pPr>
            <w:r>
              <w:rPr>
                <w:rFonts w:ascii="Arial" w:cs="Arial" w:eastAsia="Arial" w:hAnsi="Arial"/>
                <w:sz w:val="20"/>
                <w:szCs w:val="20"/>
                <w:color w:val="auto"/>
                <w:w w:val="98"/>
              </w:rPr>
              <w:t>2023</w:t>
            </w:r>
          </w:p>
        </w:tc>
      </w:tr>
      <w:tr>
        <w:trPr>
          <w:trHeight w:val="216"/>
        </w:trPr>
        <w:tc>
          <w:tcPr>
            <w:tcW w:w="2680" w:type="dxa"/>
            <w:vAlign w:val="bottom"/>
          </w:tcPr>
          <w:p>
            <w:pPr>
              <w:ind w:left="40"/>
              <w:spacing w:after="0" w:line="216" w:lineRule="exact"/>
              <w:rPr>
                <w:sz w:val="20"/>
                <w:szCs w:val="20"/>
                <w:color w:val="auto"/>
              </w:rPr>
            </w:pPr>
            <w:r>
              <w:rPr>
                <w:rFonts w:ascii="Arial" w:cs="Arial" w:eastAsia="Arial" w:hAnsi="Arial"/>
                <w:sz w:val="20"/>
                <w:szCs w:val="20"/>
                <w:color w:val="auto"/>
              </w:rPr>
              <w:t>Warren Chen</w:t>
            </w:r>
          </w:p>
        </w:tc>
        <w:tc>
          <w:tcPr>
            <w:tcW w:w="1420" w:type="dxa"/>
            <w:vAlign w:val="bottom"/>
          </w:tcPr>
          <w:p>
            <w:pPr>
              <w:jc w:val="center"/>
              <w:ind w:left="461"/>
              <w:spacing w:after="0" w:line="216" w:lineRule="exact"/>
              <w:rPr>
                <w:sz w:val="20"/>
                <w:szCs w:val="20"/>
                <w:color w:val="auto"/>
              </w:rPr>
            </w:pPr>
            <w:r>
              <w:rPr>
                <w:rFonts w:ascii="Arial" w:cs="Arial" w:eastAsia="Arial" w:hAnsi="Arial"/>
                <w:sz w:val="20"/>
                <w:szCs w:val="20"/>
                <w:color w:val="auto"/>
                <w:w w:val="98"/>
              </w:rPr>
              <w:t>76</w:t>
            </w:r>
          </w:p>
        </w:tc>
        <w:tc>
          <w:tcPr>
            <w:tcW w:w="4980" w:type="dxa"/>
            <w:vAlign w:val="bottom"/>
          </w:tcPr>
          <w:p>
            <w:pPr>
              <w:ind w:left="260"/>
              <w:spacing w:after="0" w:line="216" w:lineRule="exact"/>
              <w:rPr>
                <w:sz w:val="20"/>
                <w:szCs w:val="20"/>
                <w:color w:val="auto"/>
              </w:rPr>
            </w:pPr>
            <w:r>
              <w:rPr>
                <w:rFonts w:ascii="Arial" w:cs="Arial" w:eastAsia="Arial" w:hAnsi="Arial"/>
                <w:sz w:val="20"/>
                <w:szCs w:val="20"/>
                <w:color w:val="auto"/>
              </w:rPr>
              <w:t>Independent Director</w:t>
            </w:r>
          </w:p>
        </w:tc>
        <w:tc>
          <w:tcPr>
            <w:tcW w:w="2160" w:type="dxa"/>
            <w:vAlign w:val="bottom"/>
          </w:tcPr>
          <w:p>
            <w:pPr>
              <w:jc w:val="center"/>
              <w:ind w:left="261"/>
              <w:spacing w:after="0" w:line="216" w:lineRule="exact"/>
              <w:rPr>
                <w:sz w:val="20"/>
                <w:szCs w:val="20"/>
                <w:color w:val="auto"/>
              </w:rPr>
            </w:pPr>
            <w:r>
              <w:rPr>
                <w:rFonts w:ascii="Arial" w:cs="Arial" w:eastAsia="Arial" w:hAnsi="Arial"/>
                <w:sz w:val="20"/>
                <w:szCs w:val="20"/>
                <w:color w:val="auto"/>
                <w:w w:val="98"/>
              </w:rPr>
              <w:t>2020</w:t>
            </w:r>
          </w:p>
        </w:tc>
      </w:tr>
      <w:tr>
        <w:trPr>
          <w:trHeight w:val="216"/>
        </w:trPr>
        <w:tc>
          <w:tcPr>
            <w:tcW w:w="2680" w:type="dxa"/>
            <w:vAlign w:val="bottom"/>
            <w:shd w:val="clear" w:color="auto" w:fill="CFF0FC"/>
          </w:tcPr>
          <w:p>
            <w:pPr>
              <w:ind w:left="40"/>
              <w:spacing w:after="0" w:line="216" w:lineRule="exact"/>
              <w:rPr>
                <w:sz w:val="20"/>
                <w:szCs w:val="20"/>
                <w:color w:val="auto"/>
              </w:rPr>
            </w:pPr>
            <w:r>
              <w:rPr>
                <w:rFonts w:ascii="Arial" w:cs="Arial" w:eastAsia="Arial" w:hAnsi="Arial"/>
                <w:sz w:val="20"/>
                <w:szCs w:val="20"/>
                <w:color w:val="auto"/>
              </w:rPr>
              <w:t>Philip J. Ritter</w:t>
            </w:r>
          </w:p>
        </w:tc>
        <w:tc>
          <w:tcPr>
            <w:tcW w:w="1420" w:type="dxa"/>
            <w:vAlign w:val="bottom"/>
            <w:shd w:val="clear" w:color="auto" w:fill="CFF0FC"/>
          </w:tcPr>
          <w:p>
            <w:pPr>
              <w:jc w:val="center"/>
              <w:ind w:left="461"/>
              <w:spacing w:after="0" w:line="216" w:lineRule="exact"/>
              <w:rPr>
                <w:sz w:val="20"/>
                <w:szCs w:val="20"/>
                <w:color w:val="auto"/>
              </w:rPr>
            </w:pPr>
            <w:r>
              <w:rPr>
                <w:rFonts w:ascii="Arial" w:cs="Arial" w:eastAsia="Arial" w:hAnsi="Arial"/>
                <w:sz w:val="20"/>
                <w:szCs w:val="20"/>
                <w:color w:val="auto"/>
                <w:w w:val="98"/>
              </w:rPr>
              <w:t>67</w:t>
            </w:r>
          </w:p>
        </w:tc>
        <w:tc>
          <w:tcPr>
            <w:tcW w:w="4980" w:type="dxa"/>
            <w:vAlign w:val="bottom"/>
            <w:shd w:val="clear" w:color="auto" w:fill="CFF0FC"/>
          </w:tcPr>
          <w:p>
            <w:pPr>
              <w:ind w:left="260"/>
              <w:spacing w:after="0" w:line="216" w:lineRule="exact"/>
              <w:rPr>
                <w:sz w:val="20"/>
                <w:szCs w:val="20"/>
                <w:color w:val="auto"/>
              </w:rPr>
            </w:pPr>
            <w:r>
              <w:rPr>
                <w:rFonts w:ascii="Arial" w:cs="Arial" w:eastAsia="Arial" w:hAnsi="Arial"/>
                <w:sz w:val="20"/>
                <w:szCs w:val="20"/>
                <w:color w:val="auto"/>
              </w:rPr>
              <w:t>Nominee</w:t>
            </w:r>
          </w:p>
        </w:tc>
        <w:tc>
          <w:tcPr>
            <w:tcW w:w="2160" w:type="dxa"/>
            <w:vAlign w:val="bottom"/>
            <w:shd w:val="clear" w:color="auto" w:fill="CFF0FC"/>
          </w:tcPr>
          <w:p>
            <w:pPr>
              <w:jc w:val="center"/>
              <w:ind w:left="261"/>
              <w:spacing w:after="0" w:line="216" w:lineRule="exact"/>
              <w:rPr>
                <w:sz w:val="20"/>
                <w:szCs w:val="20"/>
                <w:color w:val="auto"/>
              </w:rPr>
            </w:pPr>
            <w:r>
              <w:rPr>
                <w:rFonts w:ascii="Arial" w:cs="Arial" w:eastAsia="Arial" w:hAnsi="Arial"/>
                <w:sz w:val="20"/>
                <w:szCs w:val="20"/>
                <w:color w:val="auto"/>
                <w:w w:val="99"/>
              </w:rPr>
              <w:t>—</w:t>
            </w:r>
          </w:p>
        </w:tc>
      </w:tr>
      <w:tr>
        <w:trPr>
          <w:trHeight w:val="216"/>
        </w:trPr>
        <w:tc>
          <w:tcPr>
            <w:tcW w:w="2680" w:type="dxa"/>
            <w:vAlign w:val="bottom"/>
          </w:tcPr>
          <w:p>
            <w:pPr>
              <w:ind w:left="40"/>
              <w:spacing w:after="0" w:line="216" w:lineRule="exact"/>
              <w:rPr>
                <w:sz w:val="20"/>
                <w:szCs w:val="20"/>
                <w:color w:val="auto"/>
              </w:rPr>
            </w:pPr>
            <w:r>
              <w:rPr>
                <w:rFonts w:ascii="Arial" w:cs="Arial" w:eastAsia="Arial" w:hAnsi="Arial"/>
                <w:sz w:val="20"/>
                <w:szCs w:val="20"/>
                <w:color w:val="auto"/>
              </w:rPr>
              <w:t>Huey-Jen (Jenny) Su</w:t>
            </w:r>
          </w:p>
        </w:tc>
        <w:tc>
          <w:tcPr>
            <w:tcW w:w="1420" w:type="dxa"/>
            <w:vAlign w:val="bottom"/>
          </w:tcPr>
          <w:p>
            <w:pPr>
              <w:jc w:val="center"/>
              <w:ind w:left="461"/>
              <w:spacing w:after="0" w:line="216" w:lineRule="exact"/>
              <w:rPr>
                <w:sz w:val="20"/>
                <w:szCs w:val="20"/>
                <w:color w:val="auto"/>
              </w:rPr>
            </w:pPr>
            <w:r>
              <w:rPr>
                <w:rFonts w:ascii="Arial" w:cs="Arial" w:eastAsia="Arial" w:hAnsi="Arial"/>
                <w:sz w:val="20"/>
                <w:szCs w:val="20"/>
                <w:color w:val="auto"/>
                <w:w w:val="98"/>
              </w:rPr>
              <w:t>66</w:t>
            </w:r>
          </w:p>
        </w:tc>
        <w:tc>
          <w:tcPr>
            <w:tcW w:w="4980" w:type="dxa"/>
            <w:vAlign w:val="bottom"/>
          </w:tcPr>
          <w:p>
            <w:pPr>
              <w:ind w:left="260"/>
              <w:spacing w:after="0" w:line="216" w:lineRule="exact"/>
              <w:rPr>
                <w:sz w:val="20"/>
                <w:szCs w:val="20"/>
                <w:color w:val="auto"/>
              </w:rPr>
            </w:pPr>
            <w:r>
              <w:rPr>
                <w:rFonts w:ascii="Arial" w:cs="Arial" w:eastAsia="Arial" w:hAnsi="Arial"/>
                <w:sz w:val="20"/>
                <w:szCs w:val="20"/>
                <w:color w:val="auto"/>
              </w:rPr>
              <w:t>Independent Director</w:t>
            </w:r>
          </w:p>
        </w:tc>
        <w:tc>
          <w:tcPr>
            <w:tcW w:w="2160" w:type="dxa"/>
            <w:vAlign w:val="bottom"/>
          </w:tcPr>
          <w:p>
            <w:pPr>
              <w:jc w:val="center"/>
              <w:ind w:left="261"/>
              <w:spacing w:after="0" w:line="216" w:lineRule="exact"/>
              <w:rPr>
                <w:sz w:val="20"/>
                <w:szCs w:val="20"/>
                <w:color w:val="auto"/>
              </w:rPr>
            </w:pPr>
            <w:r>
              <w:rPr>
                <w:rFonts w:ascii="Arial" w:cs="Arial" w:eastAsia="Arial" w:hAnsi="Arial"/>
                <w:sz w:val="20"/>
                <w:szCs w:val="20"/>
                <w:color w:val="auto"/>
                <w:w w:val="98"/>
              </w:rPr>
              <w:t>2025</w:t>
            </w:r>
          </w:p>
        </w:tc>
      </w:tr>
      <w:tr>
        <w:trPr>
          <w:trHeight w:val="216"/>
        </w:trPr>
        <w:tc>
          <w:tcPr>
            <w:tcW w:w="2680" w:type="dxa"/>
            <w:vAlign w:val="bottom"/>
            <w:tcBorders>
              <w:bottom w:val="single" w:sz="8" w:color="4F81BD"/>
            </w:tcBorders>
            <w:shd w:val="clear" w:color="auto" w:fill="CFF0FC"/>
          </w:tcPr>
          <w:p>
            <w:pPr>
              <w:ind w:left="40"/>
              <w:spacing w:after="0" w:line="216" w:lineRule="exact"/>
              <w:rPr>
                <w:sz w:val="20"/>
                <w:szCs w:val="20"/>
                <w:color w:val="auto"/>
              </w:rPr>
            </w:pPr>
            <w:r>
              <w:rPr>
                <w:rFonts w:ascii="Arial" w:cs="Arial" w:eastAsia="Arial" w:hAnsi="Arial"/>
                <w:sz w:val="20"/>
                <w:szCs w:val="20"/>
                <w:color w:val="auto"/>
              </w:rPr>
              <w:t>Gary Yu</w:t>
            </w:r>
          </w:p>
        </w:tc>
        <w:tc>
          <w:tcPr>
            <w:tcW w:w="1420" w:type="dxa"/>
            <w:vAlign w:val="bottom"/>
            <w:tcBorders>
              <w:bottom w:val="single" w:sz="8" w:color="4F81BD"/>
            </w:tcBorders>
            <w:shd w:val="clear" w:color="auto" w:fill="CFF0FC"/>
          </w:tcPr>
          <w:p>
            <w:pPr>
              <w:jc w:val="center"/>
              <w:ind w:left="461"/>
              <w:spacing w:after="0" w:line="216" w:lineRule="exact"/>
              <w:rPr>
                <w:sz w:val="20"/>
                <w:szCs w:val="20"/>
                <w:color w:val="auto"/>
              </w:rPr>
            </w:pPr>
            <w:r>
              <w:rPr>
                <w:rFonts w:ascii="Arial" w:cs="Arial" w:eastAsia="Arial" w:hAnsi="Arial"/>
                <w:sz w:val="20"/>
                <w:szCs w:val="20"/>
                <w:color w:val="auto"/>
                <w:w w:val="98"/>
              </w:rPr>
              <w:t>53</w:t>
            </w:r>
          </w:p>
        </w:tc>
        <w:tc>
          <w:tcPr>
            <w:tcW w:w="4980" w:type="dxa"/>
            <w:vAlign w:val="bottom"/>
            <w:tcBorders>
              <w:bottom w:val="single" w:sz="8" w:color="4F81BD"/>
            </w:tcBorders>
            <w:shd w:val="clear" w:color="auto" w:fill="CFF0FC"/>
          </w:tcPr>
          <w:p>
            <w:pPr>
              <w:ind w:left="260"/>
              <w:spacing w:after="0" w:line="216" w:lineRule="exact"/>
              <w:rPr>
                <w:sz w:val="20"/>
                <w:szCs w:val="20"/>
                <w:color w:val="auto"/>
              </w:rPr>
            </w:pPr>
            <w:r>
              <w:rPr>
                <w:rFonts w:ascii="Arial" w:cs="Arial" w:eastAsia="Arial" w:hAnsi="Arial"/>
                <w:sz w:val="20"/>
                <w:szCs w:val="20"/>
                <w:color w:val="auto"/>
              </w:rPr>
              <w:t>President, Chief Executive Officer, and Director</w:t>
            </w:r>
          </w:p>
        </w:tc>
        <w:tc>
          <w:tcPr>
            <w:tcW w:w="2160" w:type="dxa"/>
            <w:vAlign w:val="bottom"/>
            <w:tcBorders>
              <w:bottom w:val="single" w:sz="8" w:color="4F81BD"/>
            </w:tcBorders>
            <w:shd w:val="clear" w:color="auto" w:fill="CFF0FC"/>
          </w:tcPr>
          <w:p>
            <w:pPr>
              <w:jc w:val="center"/>
              <w:ind w:left="261"/>
              <w:spacing w:after="0" w:line="216" w:lineRule="exact"/>
              <w:rPr>
                <w:sz w:val="20"/>
                <w:szCs w:val="20"/>
                <w:color w:val="auto"/>
              </w:rPr>
            </w:pPr>
            <w:r>
              <w:rPr>
                <w:rFonts w:ascii="Arial" w:cs="Arial" w:eastAsia="Arial" w:hAnsi="Arial"/>
                <w:sz w:val="20"/>
                <w:szCs w:val="20"/>
                <w:color w:val="auto"/>
                <w:w w:val="98"/>
              </w:rPr>
              <w:t>2024</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8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Keh-Shew Lu</w:t>
      </w:r>
    </w:p>
    <w:p>
      <w:pPr>
        <w:spacing w:after="0" w:line="231" w:lineRule="auto"/>
        <w:rPr>
          <w:sz w:val="20"/>
          <w:szCs w:val="20"/>
          <w:color w:val="auto"/>
        </w:rPr>
      </w:pPr>
      <w:r>
        <w:rPr>
          <w:rFonts w:ascii="Arial" w:cs="Arial" w:eastAsia="Arial" w:hAnsi="Arial"/>
          <w:sz w:val="20"/>
          <w:szCs w:val="20"/>
          <w:color w:val="auto"/>
        </w:rPr>
        <w:t>Chairman of the Board and Director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Member, Risk Oversight Committee</w:t>
      </w:r>
    </w:p>
    <w:p>
      <w:pPr>
        <w:spacing w:after="0" w:line="7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Dr. Lu was elected Chairman of the Board in May 2020 and served as Chief Executive Officer until Mr. Yu was appointed to that position in May 2025 and served as President until Mr. Yu was appointed to that position in January 2024. Dr. Lu has served as a Board member since 2001. Dr. Lu is also a board member of Lite-On Technology Corporation, a publicly held company. Dr. Lu is the founding Chairman of the Asian American Citizen’s Council. From 2001 to 2005, Dr. Lu was a partner of the WK Technology Venture Fund. From 1998 to 2001, Dr. Lu served as Senior Vice President and General Manager of Worldwide Mixed-Signal and Logic Products of Texas Instruments (“TI”). His responsibilities included all aspects of the analog, mixed-signal and logic products for TI’s worldwide business, including design, process and product development, manufacturing and marketing. From 1996 to 1998, Dr. Lu was the manager of TI’s worldwide memory business. In addition, he served as the President of TI Asia from 1994 to 1997 where he supervised all of TI activities in Asia, excluding Japan. Dr. Lu holds a bachelor’s degree in Electrical Engineering from the National Cheng Kung University in Taiwan, and a master’s degree and a doctorate in Electrical Engineering from Texas Tech University.</w:t>
      </w:r>
    </w:p>
    <w:p>
      <w:pPr>
        <w:spacing w:after="0" w:line="7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Having worked in the semiconductor industry for more than 40 years and, particularly, having served in various managerial and senior executive capacities at TI, Dr. Lu possesses a wealth of semiconductor management experience. Dr. Lu is also an experienced board leader and member, having served for many years on behalf of several public and private companies.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Angie Chen Button</w:t>
      </w:r>
    </w:p>
    <w:p>
      <w:pPr>
        <w:spacing w:after="0" w:line="231" w:lineRule="auto"/>
        <w:rPr>
          <w:sz w:val="20"/>
          <w:szCs w:val="20"/>
          <w:color w:val="auto"/>
        </w:rPr>
      </w:pPr>
      <w:r>
        <w:rPr>
          <w:rFonts w:ascii="Arial" w:cs="Arial" w:eastAsia="Arial" w:hAnsi="Arial"/>
          <w:sz w:val="20"/>
          <w:szCs w:val="20"/>
          <w:color w:val="auto"/>
        </w:rPr>
        <w:t>Lead Independent Director</w:t>
      </w:r>
    </w:p>
    <w:p>
      <w:pPr>
        <w:spacing w:after="0" w:line="226" w:lineRule="auto"/>
        <w:rPr>
          <w:sz w:val="20"/>
          <w:szCs w:val="20"/>
          <w:color w:val="auto"/>
        </w:rPr>
      </w:pPr>
      <w:r>
        <w:rPr>
          <w:rFonts w:ascii="Arial" w:cs="Arial" w:eastAsia="Arial" w:hAnsi="Arial"/>
          <w:sz w:val="20"/>
          <w:szCs w:val="20"/>
          <w:color w:val="auto"/>
        </w:rPr>
        <w:t>Chair, Compensation Committee</w:t>
      </w:r>
    </w:p>
    <w:p>
      <w:pPr>
        <w:spacing w:after="0"/>
        <w:rPr>
          <w:sz w:val="20"/>
          <w:szCs w:val="20"/>
          <w:color w:val="auto"/>
        </w:rPr>
      </w:pPr>
      <w:r>
        <w:rPr>
          <w:rFonts w:ascii="Arial" w:cs="Arial" w:eastAsia="Arial" w:hAnsi="Arial"/>
          <w:sz w:val="20"/>
          <w:szCs w:val="20"/>
          <w:color w:val="auto"/>
        </w:rPr>
        <w:t>Chair, Governance and Stockholder Relations Committee</w:t>
      </w:r>
    </w:p>
    <w:p>
      <w:pPr>
        <w:spacing w:after="0" w:line="7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Ms. Button has served as a representative in the State of Texas House of Representatives since 2009. The only Asian American Woman legislator in Texas, she currently chairs the Trade, Workforce, and Economic Development Committee, and has previously served as Chair of the International Relations and Economic Development Committee, Chair of the Urban Affairs Committee, as Chair of the Economic and Small Business Development Committee, as Vice Chair of the Technology Committee, sat on the Appropriations (Budget) Committee, and has sat and currently serves on the Ways and Means (Taxation) Committee. A CPA, Ms. Button worked for Texas Instruments for over 30 years in various auditing, finance, business development, procurement, and international marketing positions. She also served on the Audit Committee of the Dallas Area Rapid Transit Board. Texas Monthly named Ms. Button as a “Top 10 Best Legislator” in 2021 and 2023; the Texas Healthcare &amp; Bioscience Institute awarded her its “Luminary Award” in 2023; and the Texas Association for the Education of Young Children awarded her as its “Elected Official of the Year” in 2021. In 2025, the Texas Society of CPAs presented her with its Legislative Champion Award. As a state representative, she brings experience and connections in dealing with government officials and business leaders, including promoting international business and trade. Ms. Button provides the Board with semiconductor industry experience, leadership skills, as well as state and national governmental knowledge.</w:t>
      </w:r>
    </w:p>
    <w:p>
      <w:pPr>
        <w:spacing w:after="0" w:line="6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Ms. Button received her bachelor’s degree in Accounting from National Taiwan University in 1976, her master’s degree in Public Finance from National Chengchi University in 1978, and her master’s degree in Management Science from University of Texas at Dallas in 1980, which has recognized her as an outstanding alumnus. Ms. Button is a co-founder of the DFW Asian American Citizens Council.</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Ms. Button is not related to Mr. Warren Chen.</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Elizabeth Bull</w:t>
      </w:r>
    </w:p>
    <w:p>
      <w:pPr>
        <w:spacing w:after="0" w:line="231" w:lineRule="auto"/>
        <w:rPr>
          <w:sz w:val="20"/>
          <w:szCs w:val="20"/>
          <w:color w:val="auto"/>
        </w:rPr>
      </w:pPr>
      <w:r>
        <w:rPr>
          <w:rFonts w:ascii="Arial" w:cs="Arial" w:eastAsia="Arial" w:hAnsi="Arial"/>
          <w:sz w:val="20"/>
          <w:szCs w:val="20"/>
          <w:color w:val="auto"/>
        </w:rPr>
        <w:t>Independent Director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Chair, Audit Committee (Audit Committee Financial Expert)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9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 w:name="page13"/>
    <w:bookmarkEnd w:id="12"/>
    <w:p>
      <w:pPr>
        <w:jc w:val="both"/>
        <w:spacing w:after="0" w:line="234" w:lineRule="auto"/>
        <w:rPr>
          <w:sz w:val="20"/>
          <w:szCs w:val="20"/>
          <w:color w:val="auto"/>
        </w:rPr>
      </w:pPr>
      <w:r>
        <w:rPr>
          <w:rFonts w:ascii="Arial" w:cs="Arial" w:eastAsia="Arial" w:hAnsi="Arial"/>
          <w:sz w:val="20"/>
          <w:szCs w:val="20"/>
          <w:color w:val="auto"/>
        </w:rPr>
        <w:t>Ms. Bull is the former Chief Financial Officer of Communities Foundation of Texas ("CFT"). CFT is a Dallas-based non-profit grant-making organization and is one of the largest community foundations in the nation, with more than $1.5 billion in assets. In her role as CFO, Ms. Bull held full budget accountability, reporting to the CEO and Board/Committees. She served as Staff Lead on Finance &amp; Audit, Investment, Compensation, Governance, and Building Committees for the CFT Board of Trustees, partnering for organizational growth.</w:t>
      </w:r>
    </w:p>
    <w:p>
      <w:pPr>
        <w:spacing w:after="0" w:line="6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Prior to CFT, Ms. Bull was Vice President and Treasurer of Texas Instruments, where she was employed for over 25 years. In her role as Vice President and Treasurer she led strategic financial, investment, operational, and people development initiatives in progressive roles, working in multiple Texas locations and in Asia across eight countries. She was TI's first female Vice President in Finance, Treasury, and Asia regional roles and worked with billion dollar and smaller entities/organizations in multiple capacities.</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Ms. Bull received her MBA from the Kellogg School of Management at Northwestern University and her bachelor's degree in Mathematics from DePauw University. She is a member of the North Texas chapter of the National Association of Corporate Directors, and she is a 2025 graduate of Harvard Business School’s Executive Education Corporate Director Certificate.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Warren Chen</w:t>
      </w:r>
    </w:p>
    <w:p>
      <w:pPr>
        <w:spacing w:after="0" w:line="231" w:lineRule="auto"/>
        <w:rPr>
          <w:sz w:val="20"/>
          <w:szCs w:val="20"/>
          <w:color w:val="auto"/>
        </w:rPr>
      </w:pPr>
      <w:r>
        <w:rPr>
          <w:rFonts w:ascii="Arial" w:cs="Arial" w:eastAsia="Arial" w:hAnsi="Arial"/>
          <w:sz w:val="20"/>
          <w:szCs w:val="20"/>
          <w:color w:val="auto"/>
        </w:rPr>
        <w:t>Independent Director</w:t>
      </w:r>
    </w:p>
    <w:p>
      <w:pPr>
        <w:spacing w:after="0" w:line="226" w:lineRule="auto"/>
        <w:rPr>
          <w:sz w:val="20"/>
          <w:szCs w:val="20"/>
          <w:color w:val="auto"/>
        </w:rPr>
      </w:pPr>
      <w:r>
        <w:rPr>
          <w:rFonts w:ascii="Arial" w:cs="Arial" w:eastAsia="Arial" w:hAnsi="Arial"/>
          <w:sz w:val="20"/>
          <w:szCs w:val="20"/>
          <w:color w:val="auto"/>
        </w:rPr>
        <w:t>Chair, Risk Oversight Committee</w:t>
      </w:r>
    </w:p>
    <w:p>
      <w:pPr>
        <w:spacing w:after="0"/>
        <w:rPr>
          <w:sz w:val="20"/>
          <w:szCs w:val="20"/>
          <w:color w:val="auto"/>
        </w:rPr>
      </w:pPr>
      <w:r>
        <w:rPr>
          <w:rFonts w:ascii="Arial" w:cs="Arial" w:eastAsia="Arial" w:hAnsi="Arial"/>
          <w:sz w:val="20"/>
          <w:szCs w:val="20"/>
          <w:color w:val="auto"/>
        </w:rPr>
        <w:t>Member, Compensation Committee</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Mr. Chen was a member of the Board of Lite-On Technology Corp. (“LTC”) from 2002 to 2022. He was named Vice Chairman and Group CEO of LTC in 2014 and stepped down on July 31, 2020. He joined the Lite-On Group in 1983 and served in positions of increasing responsibility, including as Group Deputy CEO and Core Investment CEO from 2006 to 2014, Deputy CEO of LTC from 2000 to 2006, President of Taiwan Lite-On Electronics Inc. from 1992 to 2000, and Senior Vice President of Lite-On Inc. and Production Manager of Compound Semi, Inc. (CA). Prior to joining the Lite-On Group, from 1975 to 1983, Mr. Chen served as manufacturing superintendent for TI Taiwan. Mr. Chen holds a bachelor’s degree in Chemical Engineering from Chinese Culture University. Lite-On Semiconductor Corp. was a company in the Lite-On Group. See “Certain Relationships and Related Person Transactions – Relationships and Transactions.”</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Chen’s approximately 45 years of management experience in the electronics industry and the global supply chain provides the Board with perspective on the future trends and challenges in the semiconductor industry. Mr. Warren Chen is not related to Ms. Angie Chen Button.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Philip J. Ritter</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Nominee</w:t>
      </w:r>
    </w:p>
    <w:p>
      <w:pPr>
        <w:spacing w:after="0" w:line="76"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Mr. Ritter is an attorney, senior executive leader, and advocate with over 30 years of multi-industry leadership experience, including two decades in various legal, government relations, and public affairs roles with Texas Instruments. Mr. Ritter served as a key policy catalyst for Texas’ rise as the leading U.S. state for advanced semiconductor manufacturing, and he led global site selection processes for multibillion-dollar investments in advanced technology manufacturing. He spearheaded the design, hiring, and management of a global public affairs team spanning Europe, India, China, and the United States, and he served as a board member of numerous business and trade associations including the US-Japan Business Council and the World Affairs Council of Dallas/Fort Worth. His policy interests include transportation and logistics, and his service in that sector includes executive management roles with Dallas/Fort Worth International Airport and appointment to the Dallas Area Rapid Transit Board of Directors.</w:t>
      </w:r>
    </w:p>
    <w:p>
      <w:pPr>
        <w:spacing w:after="0" w:line="6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Mr. Ritter has extensive experience in non-profit management and board leadership, including as the Chairman of the Board of Directors of the United Way of Metropolitan Dallas, and as founding Chief Operating Officer of the Meadows Mental Health Policy Institute. A passionate education advocate, he is the past Chairman of the Development Board of the University of Texas at Dallas, and he presently serves as an elected trustee of Dallas College, where he chairs the Governance Committee. Mr. Ritter owns a consulting firm that assist clients with AI and blockchain enabled educational</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10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20"/>
          <w:szCs w:val="20"/>
          <w:color w:val="auto"/>
        </w:rPr>
        <w:t>software development, and he serves as an adjunct professor with Southern Methodist University at the Moody School for Graduate and Advanced Studies.</w:t>
      </w:r>
    </w:p>
    <w:p>
      <w:pPr>
        <w:spacing w:after="0" w:line="4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Ritter received his bachelor’s and Juris Doctor degrees from the University of Maryland, and his Master of Public Affairs from the Lyndon B. Johnson School of Public Affairs at the University of Texas at Austin. He is licensed to practice law in Maryland and Texas.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Huey-Jen (Jenny) Su</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Independent Director</w:t>
      </w:r>
    </w:p>
    <w:p>
      <w:pPr>
        <w:spacing w:after="0" w:line="229" w:lineRule="auto"/>
        <w:rPr>
          <w:sz w:val="20"/>
          <w:szCs w:val="20"/>
          <w:color w:val="auto"/>
        </w:rPr>
      </w:pPr>
      <w:r>
        <w:rPr>
          <w:rFonts w:ascii="Arial" w:cs="Arial" w:eastAsia="Arial" w:hAnsi="Arial"/>
          <w:sz w:val="20"/>
          <w:szCs w:val="20"/>
          <w:color w:val="auto"/>
        </w:rPr>
        <w:t>Member, Audit Committee</w:t>
      </w:r>
    </w:p>
    <w:p>
      <w:pPr>
        <w:spacing w:after="0" w:line="226" w:lineRule="auto"/>
        <w:rPr>
          <w:sz w:val="20"/>
          <w:szCs w:val="20"/>
          <w:color w:val="auto"/>
        </w:rPr>
      </w:pPr>
      <w:r>
        <w:rPr>
          <w:rFonts w:ascii="Arial" w:cs="Arial" w:eastAsia="Arial" w:hAnsi="Arial"/>
          <w:sz w:val="20"/>
          <w:szCs w:val="20"/>
          <w:color w:val="auto"/>
        </w:rPr>
        <w:t>Member, Governance and Stockholder Relations Committee</w:t>
      </w:r>
    </w:p>
    <w:p>
      <w:pPr>
        <w:spacing w:after="0"/>
        <w:rPr>
          <w:sz w:val="20"/>
          <w:szCs w:val="20"/>
          <w:color w:val="auto"/>
        </w:rPr>
      </w:pPr>
      <w:r>
        <w:rPr>
          <w:rFonts w:ascii="Arial" w:cs="Arial" w:eastAsia="Arial" w:hAnsi="Arial"/>
          <w:sz w:val="20"/>
          <w:szCs w:val="20"/>
          <w:color w:val="auto"/>
        </w:rPr>
        <w:t>Member, Risk Oversight Committee</w:t>
      </w:r>
    </w:p>
    <w:p>
      <w:pPr>
        <w:spacing w:after="0" w:line="7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Dr. Su served as the first and only female President in the 95-year history of the National Cheng Kung University in Taiwan from 2015 to 2023, and was a Professor of Environmental Health from 1992 to 2024. Her research efforts have primarily focused on the topic of air pollution related health effects, with a particular emphasis on the rising global awareness of airborne microbial hazards. She also served as an expert member of the committee that prepared the World Health Organization’s report concerning guidelines for biological agents in indoor environments. She currently leads the strategic planning initiative for the Ministry of Education’s University Academic Alliance in Taiwan and serves on the Standing Committee of Future Earth, Academia Sinica, Taipei.</w:t>
      </w:r>
    </w:p>
    <w:p>
      <w:pPr>
        <w:spacing w:after="0" w:line="64" w:lineRule="exact"/>
        <w:rPr>
          <w:sz w:val="20"/>
          <w:szCs w:val="20"/>
          <w:color w:val="auto"/>
        </w:rPr>
      </w:pPr>
    </w:p>
    <w:p>
      <w:pPr>
        <w:ind w:right="80"/>
        <w:spacing w:after="0" w:line="241" w:lineRule="auto"/>
        <w:rPr>
          <w:sz w:val="20"/>
          <w:szCs w:val="20"/>
          <w:color w:val="auto"/>
        </w:rPr>
      </w:pPr>
      <w:r>
        <w:rPr>
          <w:rFonts w:ascii="Arial" w:cs="Arial" w:eastAsia="Arial" w:hAnsi="Arial"/>
          <w:sz w:val="19"/>
          <w:szCs w:val="19"/>
          <w:color w:val="auto"/>
        </w:rPr>
        <w:t>In 2022, Dr. Su was the first recipient from academia to be awarded the Outstanding Professional Global Corporate Sustainability Award, and in 2017, was honored by her alma mater with the Harvard T. H. Chan School of Public Health’s Leadership Award in Public Health Practice. Moreover, Dr. Su was cited for her outstanding leadership among the top 100 award-winning researchers, innovators and leaders in the 2018 edition of the Asian Scientist Magazine. She also received the 2017 Outstanding Research Award from the Ministry of Science and Technology in Taiwan and was featured as one of the 10 “Science Stars of East Asia” for her indoor air pollution research by the leading journal Nature. Her leadership drives sustainability and resilience in a rapidly evolving global landscape.Dr. Su served as the first female President in the 85-year history of the National Cheng Kung University in Taiwan from 2015 to 2023, and was a Professor of Environmental Health from 1992 to 2024. Her research efforts have primarily focused on the topic of air pollution related health effects, with a particular emphasis on the rising global awareness of airborne microbial hazards. She also served as an expert member of the committee that prepared the World Health Organization’s report concerning guidelines for biological agents in indoor environments.</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Dr. Su received her bachelor’s degree from National Taiwan University in 1983 and doctorate from the Harvard T. H. Chan School of Public Health in 1990.</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Gary Yu</w:t>
      </w:r>
    </w:p>
    <w:p>
      <w:pPr>
        <w:spacing w:after="0" w:line="231" w:lineRule="auto"/>
        <w:rPr>
          <w:sz w:val="20"/>
          <w:szCs w:val="20"/>
          <w:color w:val="auto"/>
        </w:rPr>
      </w:pPr>
      <w:r>
        <w:rPr>
          <w:rFonts w:ascii="Arial" w:cs="Arial" w:eastAsia="Arial" w:hAnsi="Arial"/>
          <w:sz w:val="20"/>
          <w:szCs w:val="20"/>
          <w:color w:val="auto"/>
        </w:rPr>
        <w:t>President, Chief Executive, and Director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Member, Risk Oversight Committee</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Mr. Yu, who has been with the Company since 2008, was appointed President and elected to the Board of Directors in January 2024 and appointed Chief Executive Officer in May 2025. Prior roles in the Company include Chief Operating Officer; Senior Vice President with responsibility for Business Groups and the integration of Lite-On Semiconductor Corporation; President, Asia Pacific Region; General Manager of the Company’s Shanghai wafer fabrication operation and the Company's BCD business unit; Vice President of Asia Pacific Sales; and manager of the Company’s sensor and satellite business unit. Prior to joining the Company, Mr. Yu spent over 10 years at Lite-On Semiconductor Corporation as Vice President, Worldwide Sales and at Texas Instruments in IT, finance, and capacity planning positions. Mr. Yu holds a bachelor’s degree in MIS from Fu-Jen University, Taiwan, a master’s degree in Telecommunication Engineering from Southern Methodist University, and an MBA from University of Dallas. Mr. Yu provides the Board with many years of domestic and foreign semiconductor experience in sales and operations as well as risk management.</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THE BOARD UNANIMOUSLY RECOMMENDS THAT YOU VOTE “FOR” EACH OF THE SEVEN NOMINEES TO THE BOARD SET FORTH ABOVE.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4" w:name="page15"/>
    <w:bookmarkEnd w:id="14"/>
    <w:p>
      <w:pPr>
        <w:ind w:left="2600"/>
        <w:spacing w:after="0"/>
        <w:rPr>
          <w:sz w:val="20"/>
          <w:szCs w:val="20"/>
          <w:color w:val="auto"/>
        </w:rPr>
      </w:pPr>
      <w:r>
        <w:rPr>
          <w:rFonts w:ascii="Arial" w:cs="Arial" w:eastAsia="Arial" w:hAnsi="Arial"/>
          <w:sz w:val="43"/>
          <w:szCs w:val="43"/>
          <w:color w:val="005CA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Board has delegated authority to four standing committees: the Audit Committee, the Compensation Committee, the Governance and Stockholder Relations Committee, and the Risk Oversight Committee (the “Committees”) and the Committees regularly report on their activities and actions to the full Board. Each Committee consists of three or more directors who serve at the discretion of the Board. The Board usually makes Committee and Committee chair assignments annually at its meeting immediately following the Company’s annual meeting of stockholders. Mr. Feiger will cease to serve on his respective committees upon his retirement from the Board at the Meeting. The Board will name Mr. Feiger's replacement to his respective committees promptly following the Meeting. The current composition of each Committee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20" w:type="dxa"/>
            <w:vAlign w:val="bottom"/>
            <w:tcBorders>
              <w:top w:val="single" w:sz="8" w:color="005CA9"/>
            </w:tcBorders>
          </w:tcPr>
          <w:p>
            <w:pPr>
              <w:spacing w:after="0"/>
              <w:rPr>
                <w:sz w:val="17"/>
                <w:szCs w:val="17"/>
                <w:color w:val="auto"/>
              </w:rPr>
            </w:pPr>
          </w:p>
        </w:tc>
        <w:tc>
          <w:tcPr>
            <w:tcW w:w="2520" w:type="dxa"/>
            <w:vAlign w:val="bottom"/>
            <w:tcBorders>
              <w:top w:val="single" w:sz="8" w:color="005CA9"/>
            </w:tcBorders>
          </w:tcPr>
          <w:p>
            <w:pPr>
              <w:spacing w:after="0"/>
              <w:rPr>
                <w:sz w:val="17"/>
                <w:szCs w:val="17"/>
                <w:color w:val="auto"/>
              </w:rPr>
            </w:pPr>
          </w:p>
        </w:tc>
        <w:tc>
          <w:tcPr>
            <w:tcW w:w="1860" w:type="dxa"/>
            <w:vAlign w:val="bottom"/>
            <w:tcBorders>
              <w:top w:val="single" w:sz="8" w:color="005CA9"/>
            </w:tcBorders>
          </w:tcPr>
          <w:p>
            <w:pPr>
              <w:spacing w:after="0"/>
              <w:rPr>
                <w:sz w:val="17"/>
                <w:szCs w:val="17"/>
                <w:color w:val="auto"/>
              </w:rPr>
            </w:pPr>
          </w:p>
        </w:tc>
        <w:tc>
          <w:tcPr>
            <w:tcW w:w="2060" w:type="dxa"/>
            <w:vAlign w:val="bottom"/>
            <w:tcBorders>
              <w:top w:val="single" w:sz="8" w:color="005CA9"/>
            </w:tcBorders>
          </w:tcPr>
          <w:p>
            <w:pPr>
              <w:jc w:val="center"/>
              <w:spacing w:after="0" w:line="206" w:lineRule="exact"/>
              <w:rPr>
                <w:sz w:val="20"/>
                <w:szCs w:val="20"/>
                <w:color w:val="auto"/>
              </w:rPr>
            </w:pPr>
            <w:r>
              <w:rPr>
                <w:rFonts w:ascii="Arial" w:cs="Arial" w:eastAsia="Arial" w:hAnsi="Arial"/>
                <w:sz w:val="20"/>
                <w:szCs w:val="20"/>
                <w:b w:val="1"/>
                <w:bCs w:val="1"/>
                <w:color w:val="auto"/>
                <w:w w:val="99"/>
              </w:rPr>
              <w:t>Governance and</w:t>
            </w:r>
          </w:p>
        </w:tc>
        <w:tc>
          <w:tcPr>
            <w:tcW w:w="198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Compensation</w:t>
            </w:r>
          </w:p>
        </w:tc>
        <w:tc>
          <w:tcPr>
            <w:tcW w:w="20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Stockholder</w:t>
            </w:r>
          </w:p>
        </w:tc>
        <w:tc>
          <w:tcPr>
            <w:tcW w:w="19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Risk Oversight</w:t>
            </w:r>
          </w:p>
        </w:tc>
        <w:tc>
          <w:tcPr>
            <w:tcW w:w="0" w:type="dxa"/>
            <w:vAlign w:val="bottom"/>
          </w:tcPr>
          <w:p>
            <w:pPr>
              <w:spacing w:after="0"/>
              <w:rPr>
                <w:sz w:val="1"/>
                <w:szCs w:val="1"/>
                <w:color w:val="auto"/>
              </w:rPr>
            </w:pPr>
          </w:p>
        </w:tc>
      </w:tr>
      <w:tr>
        <w:trPr>
          <w:trHeight w:val="216"/>
        </w:trPr>
        <w:tc>
          <w:tcPr>
            <w:tcW w:w="2820" w:type="dxa"/>
            <w:vAlign w:val="bottom"/>
            <w:vMerge w:val="restart"/>
          </w:tcPr>
          <w:p>
            <w:pPr>
              <w:spacing w:after="0"/>
              <w:rPr>
                <w:sz w:val="20"/>
                <w:szCs w:val="20"/>
                <w:color w:val="auto"/>
              </w:rPr>
            </w:pPr>
            <w:r>
              <w:rPr>
                <w:rFonts w:ascii="Arial" w:cs="Arial" w:eastAsia="Arial" w:hAnsi="Arial"/>
                <w:sz w:val="20"/>
                <w:szCs w:val="20"/>
                <w:b w:val="1"/>
                <w:bCs w:val="1"/>
                <w:color w:val="auto"/>
              </w:rPr>
              <w:t>Directors</w:t>
            </w:r>
          </w:p>
        </w:tc>
        <w:tc>
          <w:tcPr>
            <w:tcW w:w="2520" w:type="dxa"/>
            <w:vAlign w:val="bottom"/>
            <w:vMerge w:val="restart"/>
          </w:tcPr>
          <w:p>
            <w:pPr>
              <w:jc w:val="center"/>
              <w:ind w:left="402"/>
              <w:spacing w:after="0"/>
              <w:rPr>
                <w:sz w:val="20"/>
                <w:szCs w:val="20"/>
                <w:color w:val="auto"/>
              </w:rPr>
            </w:pPr>
            <w:r>
              <w:rPr>
                <w:rFonts w:ascii="Arial" w:cs="Arial" w:eastAsia="Arial" w:hAnsi="Arial"/>
                <w:sz w:val="20"/>
                <w:szCs w:val="20"/>
                <w:b w:val="1"/>
                <w:bCs w:val="1"/>
                <w:color w:val="auto"/>
                <w:w w:val="98"/>
              </w:rPr>
              <w:t>Audit Committee</w:t>
            </w:r>
          </w:p>
        </w:tc>
        <w:tc>
          <w:tcPr>
            <w:tcW w:w="1860" w:type="dxa"/>
            <w:vAlign w:val="bottom"/>
            <w:vMerge w:val="continue"/>
          </w:tcPr>
          <w:p>
            <w:pPr>
              <w:spacing w:after="0"/>
              <w:rPr>
                <w:sz w:val="18"/>
                <w:szCs w:val="18"/>
                <w:color w:val="auto"/>
              </w:rPr>
            </w:pPr>
          </w:p>
        </w:tc>
        <w:tc>
          <w:tcPr>
            <w:tcW w:w="20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Relations</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820" w:type="dxa"/>
            <w:vAlign w:val="bottom"/>
            <w:vMerge w:val="continue"/>
          </w:tcPr>
          <w:p>
            <w:pPr>
              <w:spacing w:after="0"/>
              <w:rPr>
                <w:sz w:val="20"/>
                <w:szCs w:val="20"/>
                <w:color w:val="auto"/>
              </w:rPr>
            </w:pPr>
          </w:p>
        </w:tc>
        <w:tc>
          <w:tcPr>
            <w:tcW w:w="2520" w:type="dxa"/>
            <w:vAlign w:val="bottom"/>
            <w:vMerge w:val="continue"/>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20"/>
                <w:szCs w:val="20"/>
                <w:b w:val="1"/>
                <w:bCs w:val="1"/>
                <w:color w:val="auto"/>
                <w:w w:val="98"/>
              </w:rPr>
              <w:t>Committee</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auto"/>
                <w:w w:val="98"/>
              </w:rPr>
              <w:t>Committee</w:t>
            </w:r>
          </w:p>
        </w:tc>
        <w:tc>
          <w:tcPr>
            <w:tcW w:w="1980" w:type="dxa"/>
            <w:vAlign w:val="bottom"/>
          </w:tcPr>
          <w:p>
            <w:pPr>
              <w:jc w:val="center"/>
              <w:spacing w:after="0"/>
              <w:rPr>
                <w:sz w:val="20"/>
                <w:szCs w:val="20"/>
                <w:color w:val="auto"/>
              </w:rPr>
            </w:pPr>
            <w:r>
              <w:rPr>
                <w:rFonts w:ascii="Arial" w:cs="Arial" w:eastAsia="Arial" w:hAnsi="Arial"/>
                <w:sz w:val="20"/>
                <w:szCs w:val="20"/>
                <w:b w:val="1"/>
                <w:bCs w:val="1"/>
                <w:color w:val="auto"/>
                <w:w w:val="98"/>
              </w:rPr>
              <w:t>Committee</w:t>
            </w:r>
          </w:p>
        </w:tc>
        <w:tc>
          <w:tcPr>
            <w:tcW w:w="0" w:type="dxa"/>
            <w:vAlign w:val="bottom"/>
          </w:tcPr>
          <w:p>
            <w:pPr>
              <w:spacing w:after="0"/>
              <w:rPr>
                <w:sz w:val="1"/>
                <w:szCs w:val="1"/>
                <w:color w:val="auto"/>
              </w:rPr>
            </w:pPr>
          </w:p>
        </w:tc>
      </w:tr>
      <w:tr>
        <w:trPr>
          <w:trHeight w:val="68"/>
        </w:trPr>
        <w:tc>
          <w:tcPr>
            <w:tcW w:w="2820" w:type="dxa"/>
            <w:vAlign w:val="bottom"/>
            <w:shd w:val="clear" w:color="auto" w:fill="005CA9"/>
          </w:tcPr>
          <w:p>
            <w:pPr>
              <w:spacing w:after="0"/>
              <w:rPr>
                <w:sz w:val="5"/>
                <w:szCs w:val="5"/>
                <w:color w:val="auto"/>
              </w:rPr>
            </w:pPr>
          </w:p>
        </w:tc>
        <w:tc>
          <w:tcPr>
            <w:tcW w:w="2520" w:type="dxa"/>
            <w:vAlign w:val="bottom"/>
            <w:shd w:val="clear" w:color="auto" w:fill="005CA9"/>
          </w:tcPr>
          <w:p>
            <w:pPr>
              <w:spacing w:after="0"/>
              <w:rPr>
                <w:sz w:val="5"/>
                <w:szCs w:val="5"/>
                <w:color w:val="auto"/>
              </w:rPr>
            </w:pPr>
          </w:p>
        </w:tc>
        <w:tc>
          <w:tcPr>
            <w:tcW w:w="1860" w:type="dxa"/>
            <w:vAlign w:val="bottom"/>
            <w:shd w:val="clear" w:color="auto" w:fill="005CA9"/>
          </w:tcPr>
          <w:p>
            <w:pPr>
              <w:spacing w:after="0"/>
              <w:rPr>
                <w:sz w:val="5"/>
                <w:szCs w:val="5"/>
                <w:color w:val="auto"/>
              </w:rPr>
            </w:pPr>
          </w:p>
        </w:tc>
        <w:tc>
          <w:tcPr>
            <w:tcW w:w="2060" w:type="dxa"/>
            <w:vAlign w:val="bottom"/>
            <w:shd w:val="clear" w:color="auto" w:fill="005CA9"/>
          </w:tcPr>
          <w:p>
            <w:pPr>
              <w:spacing w:after="0"/>
              <w:rPr>
                <w:sz w:val="5"/>
                <w:szCs w:val="5"/>
                <w:color w:val="auto"/>
              </w:rPr>
            </w:pPr>
          </w:p>
        </w:tc>
        <w:tc>
          <w:tcPr>
            <w:tcW w:w="1980" w:type="dxa"/>
            <w:vAlign w:val="bottom"/>
            <w:shd w:val="clear" w:color="auto" w:fill="005CA9"/>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40"/>
              <w:spacing w:after="0" w:line="216" w:lineRule="exact"/>
              <w:rPr>
                <w:sz w:val="20"/>
                <w:szCs w:val="20"/>
                <w:color w:val="auto"/>
              </w:rPr>
            </w:pPr>
            <w:r>
              <w:rPr>
                <w:rFonts w:ascii="Arial" w:cs="Arial" w:eastAsia="Arial" w:hAnsi="Arial"/>
                <w:sz w:val="20"/>
                <w:szCs w:val="20"/>
                <w:color w:val="auto"/>
              </w:rPr>
              <w:t>Keh-Shew Lu</w:t>
            </w:r>
          </w:p>
        </w:tc>
        <w:tc>
          <w:tcPr>
            <w:tcW w:w="252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98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8"/>
              </w:rPr>
              <w:t>Member</w:t>
            </w:r>
          </w:p>
        </w:tc>
        <w:tc>
          <w:tcPr>
            <w:tcW w:w="0" w:type="dxa"/>
            <w:vAlign w:val="bottom"/>
          </w:tcPr>
          <w:p>
            <w:pPr>
              <w:spacing w:after="0"/>
              <w:rPr>
                <w:sz w:val="1"/>
                <w:szCs w:val="1"/>
                <w:color w:val="auto"/>
              </w:rPr>
            </w:pPr>
          </w:p>
        </w:tc>
      </w:tr>
      <w:tr>
        <w:trPr>
          <w:trHeight w:val="216"/>
        </w:trPr>
        <w:tc>
          <w:tcPr>
            <w:tcW w:w="2820" w:type="dxa"/>
            <w:vAlign w:val="bottom"/>
          </w:tcPr>
          <w:p>
            <w:pPr>
              <w:ind w:left="40"/>
              <w:spacing w:after="0" w:line="216" w:lineRule="exact"/>
              <w:rPr>
                <w:sz w:val="20"/>
                <w:szCs w:val="20"/>
                <w:color w:val="auto"/>
              </w:rPr>
            </w:pPr>
            <w:r>
              <w:rPr>
                <w:rFonts w:ascii="Arial" w:cs="Arial" w:eastAsia="Arial" w:hAnsi="Arial"/>
                <w:sz w:val="19"/>
                <w:szCs w:val="19"/>
                <w:color w:val="auto"/>
              </w:rPr>
              <w:t xml:space="preserve">Angie Chen Button </w:t>
            </w:r>
            <w:r>
              <w:rPr>
                <w:rFonts w:ascii="Arial" w:cs="Arial" w:eastAsia="Arial" w:hAnsi="Arial"/>
                <w:sz w:val="25"/>
                <w:szCs w:val="25"/>
                <w:color w:val="auto"/>
                <w:vertAlign w:val="superscript"/>
              </w:rPr>
              <w:t>(1)</w:t>
            </w:r>
          </w:p>
        </w:tc>
        <w:tc>
          <w:tcPr>
            <w:tcW w:w="25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Arial" w:cs="Arial" w:eastAsia="Arial" w:hAnsi="Arial"/>
                <w:sz w:val="20"/>
                <w:szCs w:val="20"/>
                <w:color w:val="auto"/>
                <w:w w:val="96"/>
              </w:rPr>
              <w:t>Chair</w:t>
            </w:r>
          </w:p>
        </w:tc>
        <w:tc>
          <w:tcPr>
            <w:tcW w:w="2060" w:type="dxa"/>
            <w:vAlign w:val="bottom"/>
          </w:tcPr>
          <w:p>
            <w:pPr>
              <w:jc w:val="center"/>
              <w:spacing w:after="0" w:line="216" w:lineRule="exact"/>
              <w:rPr>
                <w:sz w:val="20"/>
                <w:szCs w:val="20"/>
                <w:color w:val="auto"/>
              </w:rPr>
            </w:pPr>
            <w:r>
              <w:rPr>
                <w:rFonts w:ascii="Arial" w:cs="Arial" w:eastAsia="Arial" w:hAnsi="Arial"/>
                <w:sz w:val="20"/>
                <w:szCs w:val="20"/>
                <w:color w:val="auto"/>
              </w:rPr>
              <w:t>Chair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40"/>
              <w:spacing w:after="0" w:line="216" w:lineRule="exact"/>
              <w:rPr>
                <w:sz w:val="20"/>
                <w:szCs w:val="20"/>
                <w:color w:val="auto"/>
              </w:rPr>
            </w:pPr>
            <w:r>
              <w:rPr>
                <w:rFonts w:ascii="Arial" w:cs="Arial" w:eastAsia="Arial" w:hAnsi="Arial"/>
                <w:sz w:val="19"/>
                <w:szCs w:val="19"/>
                <w:color w:val="auto"/>
              </w:rPr>
              <w:t xml:space="preserve">Elizabeth Bull </w:t>
            </w:r>
            <w:r>
              <w:rPr>
                <w:rFonts w:ascii="Arial" w:cs="Arial" w:eastAsia="Arial" w:hAnsi="Arial"/>
                <w:sz w:val="25"/>
                <w:szCs w:val="25"/>
                <w:color w:val="auto"/>
                <w:vertAlign w:val="superscript"/>
              </w:rPr>
              <w:t>(1)</w:t>
            </w:r>
          </w:p>
        </w:tc>
        <w:tc>
          <w:tcPr>
            <w:tcW w:w="2520" w:type="dxa"/>
            <w:vAlign w:val="bottom"/>
            <w:shd w:val="clear" w:color="auto" w:fill="CFF0FC"/>
          </w:tcPr>
          <w:p>
            <w:pPr>
              <w:jc w:val="center"/>
              <w:ind w:left="382"/>
              <w:spacing w:after="0" w:line="216" w:lineRule="exact"/>
              <w:rPr>
                <w:sz w:val="20"/>
                <w:szCs w:val="20"/>
                <w:color w:val="auto"/>
              </w:rPr>
            </w:pPr>
            <w:r>
              <w:rPr>
                <w:rFonts w:ascii="Arial" w:cs="Arial" w:eastAsia="Arial" w:hAnsi="Arial"/>
                <w:sz w:val="19"/>
                <w:szCs w:val="19"/>
                <w:color w:val="auto"/>
                <w:w w:val="95"/>
              </w:rPr>
              <w:t xml:space="preserve">Chair </w:t>
            </w:r>
            <w:r>
              <w:rPr>
                <w:rFonts w:ascii="Arial" w:cs="Arial" w:eastAsia="Arial" w:hAnsi="Arial"/>
                <w:sz w:val="25"/>
                <w:szCs w:val="25"/>
                <w:color w:val="auto"/>
                <w:w w:val="95"/>
                <w:vertAlign w:val="superscript"/>
              </w:rPr>
              <w:t>(2)</w:t>
            </w:r>
          </w:p>
        </w:tc>
        <w:tc>
          <w:tcPr>
            <w:tcW w:w="18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40"/>
              <w:spacing w:after="0" w:line="216" w:lineRule="exact"/>
              <w:rPr>
                <w:sz w:val="20"/>
                <w:szCs w:val="20"/>
                <w:color w:val="auto"/>
              </w:rPr>
            </w:pPr>
            <w:r>
              <w:rPr>
                <w:rFonts w:ascii="Arial" w:cs="Arial" w:eastAsia="Arial" w:hAnsi="Arial"/>
                <w:sz w:val="19"/>
                <w:szCs w:val="19"/>
                <w:color w:val="auto"/>
              </w:rPr>
              <w:t xml:space="preserve">Warren Chen </w:t>
            </w:r>
            <w:r>
              <w:rPr>
                <w:rFonts w:ascii="Arial" w:cs="Arial" w:eastAsia="Arial" w:hAnsi="Arial"/>
                <w:sz w:val="25"/>
                <w:szCs w:val="25"/>
                <w:color w:val="auto"/>
                <w:vertAlign w:val="superscript"/>
              </w:rPr>
              <w:t>(1)</w:t>
            </w:r>
          </w:p>
        </w:tc>
        <w:tc>
          <w:tcPr>
            <w:tcW w:w="2520" w:type="dxa"/>
            <w:vAlign w:val="bottom"/>
          </w:tcPr>
          <w:p>
            <w:pPr>
              <w:spacing w:after="0"/>
              <w:rPr>
                <w:sz w:val="18"/>
                <w:szCs w:val="18"/>
                <w:color w:val="auto"/>
              </w:rPr>
            </w:pPr>
          </w:p>
        </w:tc>
        <w:tc>
          <w:tcPr>
            <w:tcW w:w="1860" w:type="dxa"/>
            <w:vAlign w:val="bottom"/>
          </w:tcPr>
          <w:p>
            <w:pPr>
              <w:jc w:val="center"/>
              <w:spacing w:after="0" w:line="216" w:lineRule="exact"/>
              <w:rPr>
                <w:sz w:val="20"/>
                <w:szCs w:val="20"/>
                <w:color w:val="auto"/>
              </w:rPr>
            </w:pPr>
            <w:r>
              <w:rPr>
                <w:rFonts w:ascii="Arial" w:cs="Arial" w:eastAsia="Arial" w:hAnsi="Arial"/>
                <w:sz w:val="20"/>
                <w:szCs w:val="20"/>
                <w:color w:val="auto"/>
              </w:rPr>
              <w:t>Member</w:t>
            </w:r>
          </w:p>
        </w:tc>
        <w:tc>
          <w:tcPr>
            <w:tcW w:w="2060" w:type="dxa"/>
            <w:vAlign w:val="bottom"/>
          </w:tcPr>
          <w:p>
            <w:pPr>
              <w:spacing w:after="0"/>
              <w:rPr>
                <w:sz w:val="18"/>
                <w:szCs w:val="18"/>
                <w:color w:val="auto"/>
              </w:rPr>
            </w:pPr>
          </w:p>
        </w:tc>
        <w:tc>
          <w:tcPr>
            <w:tcW w:w="1980" w:type="dxa"/>
            <w:vAlign w:val="bottom"/>
          </w:tcPr>
          <w:p>
            <w:pPr>
              <w:jc w:val="center"/>
              <w:spacing w:after="0" w:line="216" w:lineRule="exact"/>
              <w:rPr>
                <w:sz w:val="20"/>
                <w:szCs w:val="20"/>
                <w:color w:val="auto"/>
              </w:rPr>
            </w:pPr>
            <w:r>
              <w:rPr>
                <w:rFonts w:ascii="Arial" w:cs="Arial" w:eastAsia="Arial" w:hAnsi="Arial"/>
                <w:sz w:val="20"/>
                <w:szCs w:val="20"/>
                <w:color w:val="auto"/>
              </w:rPr>
              <w:t>Chair</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40"/>
              <w:spacing w:after="0" w:line="216" w:lineRule="exact"/>
              <w:rPr>
                <w:sz w:val="20"/>
                <w:szCs w:val="20"/>
                <w:color w:val="auto"/>
              </w:rPr>
            </w:pPr>
            <w:r>
              <w:rPr>
                <w:rFonts w:ascii="Arial" w:cs="Arial" w:eastAsia="Arial" w:hAnsi="Arial"/>
                <w:sz w:val="19"/>
                <w:szCs w:val="19"/>
                <w:color w:val="auto"/>
              </w:rPr>
              <w:t xml:space="preserve">Robert E. Feiger </w:t>
            </w:r>
            <w:r>
              <w:rPr>
                <w:rFonts w:ascii="Arial" w:cs="Arial" w:eastAsia="Arial" w:hAnsi="Arial"/>
                <w:sz w:val="25"/>
                <w:szCs w:val="25"/>
                <w:color w:val="auto"/>
                <w:vertAlign w:val="superscript"/>
              </w:rPr>
              <w:t>(1) (3)</w:t>
            </w:r>
          </w:p>
        </w:tc>
        <w:tc>
          <w:tcPr>
            <w:tcW w:w="2520" w:type="dxa"/>
            <w:vAlign w:val="bottom"/>
            <w:shd w:val="clear" w:color="auto" w:fill="CFF0FC"/>
          </w:tcPr>
          <w:p>
            <w:pPr>
              <w:jc w:val="center"/>
              <w:ind w:left="382"/>
              <w:spacing w:after="0" w:line="216" w:lineRule="exact"/>
              <w:rPr>
                <w:sz w:val="20"/>
                <w:szCs w:val="20"/>
                <w:color w:val="auto"/>
              </w:rPr>
            </w:pPr>
            <w:r>
              <w:rPr>
                <w:rFonts w:ascii="Arial" w:cs="Arial" w:eastAsia="Arial" w:hAnsi="Arial"/>
                <w:sz w:val="20"/>
                <w:szCs w:val="20"/>
                <w:color w:val="auto"/>
                <w:w w:val="98"/>
              </w:rPr>
              <w:t>Member</w:t>
            </w:r>
          </w:p>
        </w:tc>
        <w:tc>
          <w:tcPr>
            <w:tcW w:w="186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rPr>
              <w:t>Member</w:t>
            </w:r>
          </w:p>
        </w:tc>
        <w:tc>
          <w:tcPr>
            <w:tcW w:w="2060" w:type="dxa"/>
            <w:vAlign w:val="bottom"/>
            <w:shd w:val="clear" w:color="auto" w:fill="CFF0FC"/>
          </w:tcPr>
          <w:p>
            <w:pPr>
              <w:jc w:val="center"/>
              <w:spacing w:after="0" w:line="216" w:lineRule="exact"/>
              <w:rPr>
                <w:sz w:val="20"/>
                <w:szCs w:val="20"/>
                <w:color w:val="auto"/>
              </w:rPr>
            </w:pPr>
            <w:r>
              <w:rPr>
                <w:rFonts w:ascii="Arial" w:cs="Arial" w:eastAsia="Arial" w:hAnsi="Arial"/>
                <w:sz w:val="20"/>
                <w:szCs w:val="20"/>
                <w:color w:val="auto"/>
                <w:w w:val="98"/>
              </w:rPr>
              <w:t>Member</w:t>
            </w:r>
          </w:p>
        </w:tc>
        <w:tc>
          <w:tcPr>
            <w:tcW w:w="1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40"/>
              <w:spacing w:after="0" w:line="216" w:lineRule="exact"/>
              <w:rPr>
                <w:sz w:val="20"/>
                <w:szCs w:val="20"/>
                <w:color w:val="auto"/>
              </w:rPr>
            </w:pPr>
            <w:r>
              <w:rPr>
                <w:rFonts w:ascii="Arial" w:cs="Arial" w:eastAsia="Arial" w:hAnsi="Arial"/>
                <w:sz w:val="19"/>
                <w:szCs w:val="19"/>
                <w:color w:val="auto"/>
              </w:rPr>
              <w:t xml:space="preserve">Huey-Jen (Jenny) Su </w:t>
            </w:r>
            <w:r>
              <w:rPr>
                <w:rFonts w:ascii="Arial" w:cs="Arial" w:eastAsia="Arial" w:hAnsi="Arial"/>
                <w:sz w:val="25"/>
                <w:szCs w:val="25"/>
                <w:color w:val="auto"/>
                <w:vertAlign w:val="superscript"/>
              </w:rPr>
              <w:t>(1)</w:t>
            </w:r>
          </w:p>
        </w:tc>
        <w:tc>
          <w:tcPr>
            <w:tcW w:w="2520" w:type="dxa"/>
            <w:vAlign w:val="bottom"/>
          </w:tcPr>
          <w:p>
            <w:pPr>
              <w:jc w:val="center"/>
              <w:ind w:left="382"/>
              <w:spacing w:after="0" w:line="216" w:lineRule="exact"/>
              <w:rPr>
                <w:sz w:val="20"/>
                <w:szCs w:val="20"/>
                <w:color w:val="auto"/>
              </w:rPr>
            </w:pPr>
            <w:r>
              <w:rPr>
                <w:rFonts w:ascii="Arial" w:cs="Arial" w:eastAsia="Arial" w:hAnsi="Arial"/>
                <w:sz w:val="20"/>
                <w:szCs w:val="20"/>
                <w:color w:val="auto"/>
                <w:w w:val="98"/>
              </w:rPr>
              <w:t>Member</w:t>
            </w:r>
          </w:p>
        </w:tc>
        <w:tc>
          <w:tcPr>
            <w:tcW w:w="1860" w:type="dxa"/>
            <w:vAlign w:val="bottom"/>
          </w:tcPr>
          <w:p>
            <w:pPr>
              <w:spacing w:after="0"/>
              <w:rPr>
                <w:sz w:val="18"/>
                <w:szCs w:val="18"/>
                <w:color w:val="auto"/>
              </w:rPr>
            </w:pPr>
          </w:p>
        </w:tc>
        <w:tc>
          <w:tcPr>
            <w:tcW w:w="2060" w:type="dxa"/>
            <w:vAlign w:val="bottom"/>
          </w:tcPr>
          <w:p>
            <w:pPr>
              <w:jc w:val="center"/>
              <w:spacing w:after="0" w:line="216" w:lineRule="exact"/>
              <w:rPr>
                <w:sz w:val="20"/>
                <w:szCs w:val="20"/>
                <w:color w:val="auto"/>
              </w:rPr>
            </w:pPr>
            <w:r>
              <w:rPr>
                <w:rFonts w:ascii="Arial" w:cs="Arial" w:eastAsia="Arial" w:hAnsi="Arial"/>
                <w:sz w:val="20"/>
                <w:szCs w:val="20"/>
                <w:color w:val="auto"/>
                <w:w w:val="98"/>
              </w:rPr>
              <w:t>Member</w:t>
            </w:r>
          </w:p>
        </w:tc>
        <w:tc>
          <w:tcPr>
            <w:tcW w:w="1980" w:type="dxa"/>
            <w:vAlign w:val="bottom"/>
          </w:tcPr>
          <w:p>
            <w:pPr>
              <w:jc w:val="center"/>
              <w:spacing w:after="0" w:line="216" w:lineRule="exact"/>
              <w:rPr>
                <w:sz w:val="20"/>
                <w:szCs w:val="20"/>
                <w:color w:val="auto"/>
              </w:rPr>
            </w:pPr>
            <w:r>
              <w:rPr>
                <w:rFonts w:ascii="Arial" w:cs="Arial" w:eastAsia="Arial" w:hAnsi="Arial"/>
                <w:sz w:val="20"/>
                <w:szCs w:val="20"/>
                <w:color w:val="auto"/>
                <w:w w:val="98"/>
              </w:rPr>
              <w:t>Member</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005CA9"/>
            </w:tcBorders>
            <w:shd w:val="clear" w:color="auto" w:fill="CFF0FC"/>
          </w:tcPr>
          <w:p>
            <w:pPr>
              <w:ind w:left="40"/>
              <w:spacing w:after="0" w:line="216" w:lineRule="exact"/>
              <w:rPr>
                <w:sz w:val="20"/>
                <w:szCs w:val="20"/>
                <w:color w:val="auto"/>
              </w:rPr>
            </w:pPr>
            <w:r>
              <w:rPr>
                <w:rFonts w:ascii="Arial" w:cs="Arial" w:eastAsia="Arial" w:hAnsi="Arial"/>
                <w:sz w:val="20"/>
                <w:szCs w:val="20"/>
                <w:color w:val="auto"/>
              </w:rPr>
              <w:t>Gary Yu</w:t>
            </w:r>
          </w:p>
        </w:tc>
        <w:tc>
          <w:tcPr>
            <w:tcW w:w="2520" w:type="dxa"/>
            <w:vAlign w:val="bottom"/>
            <w:tcBorders>
              <w:bottom w:val="single" w:sz="8" w:color="005CA9"/>
            </w:tcBorders>
            <w:shd w:val="clear" w:color="auto" w:fill="CFF0FC"/>
          </w:tcPr>
          <w:p>
            <w:pPr>
              <w:spacing w:after="0"/>
              <w:rPr>
                <w:sz w:val="18"/>
                <w:szCs w:val="18"/>
                <w:color w:val="auto"/>
              </w:rPr>
            </w:pPr>
          </w:p>
        </w:tc>
        <w:tc>
          <w:tcPr>
            <w:tcW w:w="1860" w:type="dxa"/>
            <w:vAlign w:val="bottom"/>
            <w:tcBorders>
              <w:bottom w:val="single" w:sz="8" w:color="005CA9"/>
            </w:tcBorders>
            <w:shd w:val="clear" w:color="auto" w:fill="CFF0FC"/>
          </w:tcPr>
          <w:p>
            <w:pPr>
              <w:spacing w:after="0"/>
              <w:rPr>
                <w:sz w:val="18"/>
                <w:szCs w:val="18"/>
                <w:color w:val="auto"/>
              </w:rPr>
            </w:pPr>
          </w:p>
        </w:tc>
        <w:tc>
          <w:tcPr>
            <w:tcW w:w="2060" w:type="dxa"/>
            <w:vAlign w:val="bottom"/>
            <w:tcBorders>
              <w:bottom w:val="single" w:sz="8" w:color="005CA9"/>
            </w:tcBorders>
            <w:shd w:val="clear" w:color="auto" w:fill="CFF0FC"/>
          </w:tcPr>
          <w:p>
            <w:pPr>
              <w:spacing w:after="0"/>
              <w:rPr>
                <w:sz w:val="18"/>
                <w:szCs w:val="18"/>
                <w:color w:val="auto"/>
              </w:rPr>
            </w:pPr>
          </w:p>
        </w:tc>
        <w:tc>
          <w:tcPr>
            <w:tcW w:w="1980" w:type="dxa"/>
            <w:vAlign w:val="bottom"/>
            <w:tcBorders>
              <w:bottom w:val="single" w:sz="8" w:color="005CA9"/>
            </w:tcBorders>
            <w:shd w:val="clear" w:color="auto" w:fill="CFF0FC"/>
          </w:tcPr>
          <w:p>
            <w:pPr>
              <w:jc w:val="center"/>
              <w:spacing w:after="0" w:line="216" w:lineRule="exact"/>
              <w:rPr>
                <w:sz w:val="20"/>
                <w:szCs w:val="20"/>
                <w:color w:val="auto"/>
              </w:rPr>
            </w:pPr>
            <w:r>
              <w:rPr>
                <w:rFonts w:ascii="Arial" w:cs="Arial" w:eastAsia="Arial" w:hAnsi="Arial"/>
                <w:sz w:val="20"/>
                <w:szCs w:val="20"/>
                <w:color w:val="auto"/>
                <w:w w:val="98"/>
              </w:rPr>
              <w:t>Member</w:t>
            </w:r>
          </w:p>
        </w:tc>
        <w:tc>
          <w:tcPr>
            <w:tcW w:w="0" w:type="dxa"/>
            <w:vAlign w:val="bottom"/>
          </w:tcPr>
          <w:p>
            <w:pPr>
              <w:spacing w:after="0"/>
              <w:rPr>
                <w:sz w:val="1"/>
                <w:szCs w:val="1"/>
                <w:color w:val="auto"/>
              </w:rPr>
            </w:pPr>
          </w:p>
        </w:tc>
      </w:tr>
    </w:tbl>
    <w:p>
      <w:pPr>
        <w:ind w:left="300" w:right="40" w:hanging="292"/>
        <w:spacing w:after="0" w:line="237" w:lineRule="auto"/>
        <w:tabs>
          <w:tab w:leader="none" w:pos="300" w:val="left"/>
        </w:tabs>
        <w:numPr>
          <w:ilvl w:val="0"/>
          <w:numId w:val="11"/>
        </w:numPr>
        <w:rPr>
          <w:rFonts w:ascii="Calibri" w:cs="Calibri" w:eastAsia="Calibri" w:hAnsi="Calibri"/>
          <w:sz w:val="14"/>
          <w:szCs w:val="14"/>
          <w:color w:val="auto"/>
        </w:rPr>
      </w:pPr>
      <w:r>
        <w:rPr>
          <w:rFonts w:ascii="Arial" w:cs="Arial" w:eastAsia="Arial" w:hAnsi="Arial"/>
          <w:sz w:val="14"/>
          <w:szCs w:val="14"/>
          <w:color w:val="auto"/>
        </w:rPr>
        <w:t>Independent director (as determined by the Board under the rules of The NASDAQ Stock Market LLC (“Nasdaq”) and, in the case of members of the Audit Committee, the rules of the SEC).</w:t>
      </w:r>
    </w:p>
    <w:p>
      <w:pPr>
        <w:spacing w:after="0" w:line="1" w:lineRule="exact"/>
        <w:rPr>
          <w:rFonts w:ascii="Calibri" w:cs="Calibri" w:eastAsia="Calibri" w:hAnsi="Calibri"/>
          <w:sz w:val="14"/>
          <w:szCs w:val="14"/>
          <w:color w:val="auto"/>
        </w:rPr>
      </w:pPr>
    </w:p>
    <w:p>
      <w:pPr>
        <w:ind w:left="300" w:hanging="292"/>
        <w:spacing w:after="0"/>
        <w:tabs>
          <w:tab w:leader="none" w:pos="300" w:val="left"/>
        </w:tabs>
        <w:numPr>
          <w:ilvl w:val="0"/>
          <w:numId w:val="11"/>
        </w:numPr>
        <w:rPr>
          <w:rFonts w:ascii="Calibri" w:cs="Calibri" w:eastAsia="Calibri" w:hAnsi="Calibri"/>
          <w:sz w:val="14"/>
          <w:szCs w:val="14"/>
          <w:color w:val="auto"/>
        </w:rPr>
      </w:pPr>
      <w:r>
        <w:rPr>
          <w:rFonts w:ascii="Arial" w:cs="Arial" w:eastAsia="Arial" w:hAnsi="Arial"/>
          <w:sz w:val="14"/>
          <w:szCs w:val="14"/>
          <w:color w:val="auto"/>
        </w:rPr>
        <w:t>Qualifies as an “audit committee financial expert” as that term is defined in Item 407(d)(5) of Regulation S-K promulgated under the Exchange Act.</w:t>
      </w:r>
    </w:p>
    <w:p>
      <w:pPr>
        <w:spacing w:after="0" w:line="58" w:lineRule="exact"/>
        <w:rPr>
          <w:rFonts w:ascii="Calibri" w:cs="Calibri" w:eastAsia="Calibri" w:hAnsi="Calibri"/>
          <w:sz w:val="14"/>
          <w:szCs w:val="14"/>
          <w:color w:val="auto"/>
        </w:rPr>
      </w:pPr>
    </w:p>
    <w:p>
      <w:pPr>
        <w:ind w:left="300" w:hanging="292"/>
        <w:spacing w:after="0"/>
        <w:tabs>
          <w:tab w:leader="none" w:pos="300" w:val="left"/>
        </w:tabs>
        <w:numPr>
          <w:ilvl w:val="0"/>
          <w:numId w:val="11"/>
        </w:numPr>
        <w:rPr>
          <w:rFonts w:ascii="Calibri" w:cs="Calibri" w:eastAsia="Calibri" w:hAnsi="Calibri"/>
          <w:sz w:val="14"/>
          <w:szCs w:val="14"/>
          <w:color w:val="auto"/>
        </w:rPr>
      </w:pPr>
      <w:r>
        <w:rPr>
          <w:rFonts w:ascii="Arial" w:cs="Arial" w:eastAsia="Arial" w:hAnsi="Arial"/>
          <w:sz w:val="14"/>
          <w:szCs w:val="14"/>
          <w:color w:val="auto"/>
        </w:rPr>
        <w:t>Mr. Feiger is not standing for re-election and will retire from the Board in order to resume law practice on a full-time basis.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005CA9"/>
        </w:rPr>
        <w:t>Director Independence</w:t>
      </w:r>
    </w:p>
    <w:p>
      <w:pPr>
        <w:spacing w:after="0" w:line="10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Board has determined that all directors and all nominees for director, other than Dr. Lu, our Chairman and former Chief Executive Officer, and Mr. Yu, our President and Chief Executive Officer, are “independent directors” under applicable Nasdaq rules. The Board also has determined that each member of its Audit Committee, Compensation Committee, and Governance and Stockholder Relations Committee meets the applicable independence requirements prescribed by Nasdaq and the SEC.</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making its independence determinations with regard to Dr. Lu and Messrs. Feiger and Yu, the Board considered the relationships described under “Certain Relationships and Related Person Transactions – Relationships and Transactions.”</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Audit Committee</w:t>
      </w:r>
    </w:p>
    <w:p>
      <w:pPr>
        <w:spacing w:after="0" w:line="10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Audit Committee has direct responsibility regarding the engagement of the Company’s independent registered public accounting firm, reviews the plan, scope, and results of the audit, reviews the Company’s policies and procedures with the Company’s management concerning internal accounting and financial controls, and reviews changes in accounting policy and the scope of non -audit services which may be performed by the Company’s independent registered public accounting firm. The Audit Committee also monitors policies to prohibit unethical, questionable, or illegal activities by the Company’s employees. The “Audit Committee Report” section of this Proxy Statement describes in more detail the Audit Committee’s responsibilities, particularly with regard to the Company’s financial statements and its interactions with the Company’s independent registered public accounting firm.</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Board has determined that each member of the Audit Committee is “independent” as that term is defined under the rules of Nasdaq and the SEC and is able to read and understand fundamental financial statements. The Board also has determined that Ms. Bull qualifies as an “audit committee financial expert” as defined under the rules of the SEC.</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005CA9"/>
        </w:rPr>
        <w:t>Compensation Committee</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Compensation Committee determines compensation, benefits, and incentive arrangements for the Chief Executive Officer and other officers and key employees of the Company. The Compensation Committee administers the 2022 Equity Incentive Plan ("2022 Plan"), the Company’s 401(k) profit sharing plan (the “401(k) Plan”), and the Company’s nonqualified deferred compensation plan. The Board has determined that each member of the Compensation Committee is “independent” as that term is defined under the rules of Nasdaq.</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Governance and Stockholder Relations Committee</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principal purposes of the Governance and Stockholder Relations Committee (the “Governance Committee”) are to help ensure that the Board (i) identifies individuals qualified to become members of the Board, consistent with criteria approved by the Board, and (ii) recommends to the Board the nominees for election at the next annual meeting of stockholders. The Board has determined that each member of the Governance Committee is “independent” as that term is defined under the rules of Nasdaq.</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Risk Oversight Committee</w:t>
      </w:r>
    </w:p>
    <w:p>
      <w:pPr>
        <w:spacing w:after="0" w:line="10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Risk Oversight Committee assists the Board in overseeing the Company’s risk management process by (i) overseeing the Company’s efforts to align its management of enterprise risks with its strategic objectives, (ii) overseeing the establishment and implementation of a risk oversight framework, and (iii) reviewing the effectiveness of the risk oversight framework in the identification, assessment, monitoring, management, and disclosure of significant risks. The Risk Oversight Committee’s oversight provides reasonable assurance that processes are in place to identify, assess, monitor, manage, and disclose risks that may have a material adverse effect on the achievement of the Company’s strategic objectives.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Charters of the Committees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four Committees operate pursuant to written charters, current copies of which are available on the Company’s website, at www.diodes.com, in the “Investors – Corporate Governance”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MEETINGS OF THE BOARD AND COMMITTEES</w:t>
      </w:r>
    </w:p>
    <w:p>
      <w:pPr>
        <w:spacing w:after="0" w:line="6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following table presents the number of meetings and actions taken by written consent of the Board and the Committees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5500" w:type="dxa"/>
            <w:vAlign w:val="bottom"/>
            <w:tcBorders>
              <w:top w:val="single" w:sz="8" w:color="005CA9"/>
            </w:tcBorders>
          </w:tcPr>
          <w:p>
            <w:pPr>
              <w:spacing w:after="0"/>
              <w:rPr>
                <w:sz w:val="16"/>
                <w:szCs w:val="16"/>
                <w:color w:val="auto"/>
              </w:rPr>
            </w:pPr>
          </w:p>
        </w:tc>
        <w:tc>
          <w:tcPr>
            <w:tcW w:w="2960" w:type="dxa"/>
            <w:vAlign w:val="bottom"/>
            <w:tcBorders>
              <w:top w:val="single" w:sz="8" w:color="005CA9"/>
            </w:tcBorders>
            <w:vMerge w:val="restart"/>
          </w:tcPr>
          <w:p>
            <w:pPr>
              <w:jc w:val="center"/>
              <w:ind w:left="241"/>
              <w:spacing w:after="0"/>
              <w:rPr>
                <w:sz w:val="20"/>
                <w:szCs w:val="20"/>
                <w:color w:val="auto"/>
              </w:rPr>
            </w:pPr>
            <w:r>
              <w:rPr>
                <w:rFonts w:ascii="Arial" w:cs="Arial" w:eastAsia="Arial" w:hAnsi="Arial"/>
                <w:sz w:val="20"/>
                <w:szCs w:val="20"/>
                <w:b w:val="1"/>
                <w:bCs w:val="1"/>
                <w:color w:val="auto"/>
                <w:w w:val="98"/>
              </w:rPr>
              <w:t>Meetings Held</w:t>
            </w:r>
          </w:p>
        </w:tc>
        <w:tc>
          <w:tcPr>
            <w:tcW w:w="2780" w:type="dxa"/>
            <w:vAlign w:val="bottom"/>
            <w:tcBorders>
              <w:top w:val="single" w:sz="8" w:color="005CA9"/>
            </w:tcBorders>
          </w:tcPr>
          <w:p>
            <w:pPr>
              <w:jc w:val="center"/>
              <w:spacing w:after="0" w:line="185" w:lineRule="exact"/>
              <w:rPr>
                <w:sz w:val="20"/>
                <w:szCs w:val="20"/>
                <w:color w:val="auto"/>
              </w:rPr>
            </w:pPr>
            <w:r>
              <w:rPr>
                <w:rFonts w:ascii="Arial" w:cs="Arial" w:eastAsia="Arial" w:hAnsi="Arial"/>
                <w:sz w:val="20"/>
                <w:szCs w:val="20"/>
                <w:b w:val="1"/>
                <w:bCs w:val="1"/>
                <w:color w:val="auto"/>
                <w:w w:val="98"/>
              </w:rPr>
              <w:t>Action by</w:t>
            </w:r>
          </w:p>
        </w:tc>
        <w:tc>
          <w:tcPr>
            <w:tcW w:w="0" w:type="dxa"/>
            <w:vAlign w:val="bottom"/>
          </w:tcPr>
          <w:p>
            <w:pPr>
              <w:spacing w:after="0"/>
              <w:rPr>
                <w:sz w:val="1"/>
                <w:szCs w:val="1"/>
                <w:color w:val="auto"/>
              </w:rPr>
            </w:pPr>
          </w:p>
        </w:tc>
      </w:tr>
      <w:tr>
        <w:trPr>
          <w:trHeight w:val="240"/>
        </w:trPr>
        <w:tc>
          <w:tcPr>
            <w:tcW w:w="5500" w:type="dxa"/>
            <w:vAlign w:val="bottom"/>
          </w:tcPr>
          <w:p>
            <w:pPr>
              <w:spacing w:after="0"/>
              <w:rPr>
                <w:sz w:val="20"/>
                <w:szCs w:val="20"/>
                <w:color w:val="auto"/>
              </w:rPr>
            </w:pPr>
          </w:p>
        </w:tc>
        <w:tc>
          <w:tcPr>
            <w:tcW w:w="2960" w:type="dxa"/>
            <w:vAlign w:val="bottom"/>
            <w:vMerge w:val="continue"/>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98"/>
              </w:rPr>
              <w:t>Written Consent</w:t>
            </w:r>
          </w:p>
        </w:tc>
        <w:tc>
          <w:tcPr>
            <w:tcW w:w="0" w:type="dxa"/>
            <w:vAlign w:val="bottom"/>
          </w:tcPr>
          <w:p>
            <w:pPr>
              <w:spacing w:after="0"/>
              <w:rPr>
                <w:sz w:val="1"/>
                <w:szCs w:val="1"/>
                <w:color w:val="auto"/>
              </w:rPr>
            </w:pPr>
          </w:p>
        </w:tc>
      </w:tr>
      <w:tr>
        <w:trPr>
          <w:trHeight w:val="68"/>
        </w:trPr>
        <w:tc>
          <w:tcPr>
            <w:tcW w:w="5500" w:type="dxa"/>
            <w:vAlign w:val="bottom"/>
            <w:shd w:val="clear" w:color="auto" w:fill="005CA9"/>
          </w:tcPr>
          <w:p>
            <w:pPr>
              <w:spacing w:after="0"/>
              <w:rPr>
                <w:sz w:val="5"/>
                <w:szCs w:val="5"/>
                <w:color w:val="auto"/>
              </w:rPr>
            </w:pPr>
          </w:p>
        </w:tc>
        <w:tc>
          <w:tcPr>
            <w:tcW w:w="2960" w:type="dxa"/>
            <w:vAlign w:val="bottom"/>
            <w:shd w:val="clear" w:color="auto" w:fill="005CA9"/>
          </w:tcPr>
          <w:p>
            <w:pPr>
              <w:spacing w:after="0"/>
              <w:rPr>
                <w:sz w:val="5"/>
                <w:szCs w:val="5"/>
                <w:color w:val="auto"/>
              </w:rPr>
            </w:pPr>
          </w:p>
        </w:tc>
        <w:tc>
          <w:tcPr>
            <w:tcW w:w="2780" w:type="dxa"/>
            <w:vAlign w:val="bottom"/>
            <w:shd w:val="clear" w:color="auto" w:fill="005CA9"/>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60"/>
              <w:spacing w:after="0" w:line="216" w:lineRule="exact"/>
              <w:rPr>
                <w:sz w:val="20"/>
                <w:szCs w:val="20"/>
                <w:color w:val="auto"/>
              </w:rPr>
            </w:pPr>
            <w:r>
              <w:rPr>
                <w:rFonts w:ascii="Arial" w:cs="Arial" w:eastAsia="Arial" w:hAnsi="Arial"/>
                <w:sz w:val="20"/>
                <w:szCs w:val="20"/>
                <w:color w:val="auto"/>
              </w:rPr>
              <w:t>Board</w:t>
            </w:r>
          </w:p>
        </w:tc>
        <w:tc>
          <w:tcPr>
            <w:tcW w:w="2960" w:type="dxa"/>
            <w:vAlign w:val="bottom"/>
          </w:tcPr>
          <w:p>
            <w:pPr>
              <w:jc w:val="center"/>
              <w:ind w:left="221"/>
              <w:spacing w:after="0" w:line="216" w:lineRule="exact"/>
              <w:rPr>
                <w:sz w:val="20"/>
                <w:szCs w:val="20"/>
                <w:color w:val="auto"/>
              </w:rPr>
            </w:pPr>
            <w:r>
              <w:rPr>
                <w:rFonts w:ascii="Arial" w:cs="Arial" w:eastAsia="Arial" w:hAnsi="Arial"/>
                <w:sz w:val="20"/>
                <w:szCs w:val="20"/>
                <w:color w:val="auto"/>
              </w:rPr>
              <w:t>6</w:t>
            </w:r>
          </w:p>
        </w:tc>
        <w:tc>
          <w:tcPr>
            <w:tcW w:w="2780" w:type="dxa"/>
            <w:vAlign w:val="bottom"/>
          </w:tcPr>
          <w:p>
            <w:pPr>
              <w:jc w:val="center"/>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60"/>
              <w:spacing w:after="0"/>
              <w:rPr>
                <w:sz w:val="20"/>
                <w:szCs w:val="20"/>
                <w:color w:val="auto"/>
              </w:rPr>
            </w:pPr>
            <w:r>
              <w:rPr>
                <w:rFonts w:ascii="Arial" w:cs="Arial" w:eastAsia="Arial" w:hAnsi="Arial"/>
                <w:sz w:val="20"/>
                <w:szCs w:val="20"/>
                <w:color w:val="auto"/>
              </w:rPr>
              <w:t>Audit Committee</w:t>
            </w:r>
          </w:p>
        </w:tc>
        <w:tc>
          <w:tcPr>
            <w:tcW w:w="2960" w:type="dxa"/>
            <w:vAlign w:val="bottom"/>
            <w:shd w:val="clear" w:color="auto" w:fill="CFF0FC"/>
          </w:tcPr>
          <w:p>
            <w:pPr>
              <w:jc w:val="center"/>
              <w:ind w:left="221"/>
              <w:spacing w:after="0"/>
              <w:rPr>
                <w:sz w:val="20"/>
                <w:szCs w:val="20"/>
                <w:color w:val="auto"/>
              </w:rPr>
            </w:pPr>
            <w:r>
              <w:rPr>
                <w:rFonts w:ascii="Arial" w:cs="Arial" w:eastAsia="Arial" w:hAnsi="Arial"/>
                <w:sz w:val="20"/>
                <w:szCs w:val="20"/>
                <w:color w:val="auto"/>
              </w:rPr>
              <w:t>6</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16"/>
        </w:trPr>
        <w:tc>
          <w:tcPr>
            <w:tcW w:w="5500" w:type="dxa"/>
            <w:vAlign w:val="bottom"/>
          </w:tcPr>
          <w:p>
            <w:pPr>
              <w:ind w:left="60"/>
              <w:spacing w:after="0" w:line="216" w:lineRule="exact"/>
              <w:rPr>
                <w:sz w:val="20"/>
                <w:szCs w:val="20"/>
                <w:color w:val="auto"/>
              </w:rPr>
            </w:pPr>
            <w:r>
              <w:rPr>
                <w:rFonts w:ascii="Arial" w:cs="Arial" w:eastAsia="Arial" w:hAnsi="Arial"/>
                <w:sz w:val="20"/>
                <w:szCs w:val="20"/>
                <w:color w:val="auto"/>
              </w:rPr>
              <w:t>Compensation Committee</w:t>
            </w:r>
          </w:p>
        </w:tc>
        <w:tc>
          <w:tcPr>
            <w:tcW w:w="2960" w:type="dxa"/>
            <w:vAlign w:val="bottom"/>
          </w:tcPr>
          <w:p>
            <w:pPr>
              <w:jc w:val="center"/>
              <w:ind w:left="221"/>
              <w:spacing w:after="0" w:line="216" w:lineRule="exact"/>
              <w:rPr>
                <w:sz w:val="20"/>
                <w:szCs w:val="20"/>
                <w:color w:val="auto"/>
              </w:rPr>
            </w:pPr>
            <w:r>
              <w:rPr>
                <w:rFonts w:ascii="Arial" w:cs="Arial" w:eastAsia="Arial" w:hAnsi="Arial"/>
                <w:sz w:val="20"/>
                <w:szCs w:val="20"/>
                <w:color w:val="auto"/>
              </w:rPr>
              <w:t>2</w:t>
            </w:r>
          </w:p>
        </w:tc>
        <w:tc>
          <w:tcPr>
            <w:tcW w:w="2780" w:type="dxa"/>
            <w:vAlign w:val="bottom"/>
          </w:tcPr>
          <w:p>
            <w:pPr>
              <w:jc w:val="center"/>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60"/>
              <w:spacing w:after="0"/>
              <w:rPr>
                <w:sz w:val="20"/>
                <w:szCs w:val="20"/>
                <w:color w:val="auto"/>
              </w:rPr>
            </w:pPr>
            <w:r>
              <w:rPr>
                <w:rFonts w:ascii="Arial" w:cs="Arial" w:eastAsia="Arial" w:hAnsi="Arial"/>
                <w:sz w:val="20"/>
                <w:szCs w:val="20"/>
                <w:color w:val="auto"/>
              </w:rPr>
              <w:t>Governance and Stockholder Relations Committee</w:t>
            </w:r>
          </w:p>
        </w:tc>
        <w:tc>
          <w:tcPr>
            <w:tcW w:w="2960" w:type="dxa"/>
            <w:vAlign w:val="bottom"/>
            <w:shd w:val="clear" w:color="auto" w:fill="CFF0FC"/>
          </w:tcPr>
          <w:p>
            <w:pPr>
              <w:jc w:val="center"/>
              <w:ind w:left="221"/>
              <w:spacing w:after="0"/>
              <w:rPr>
                <w:sz w:val="20"/>
                <w:szCs w:val="20"/>
                <w:color w:val="auto"/>
              </w:rPr>
            </w:pPr>
            <w:r>
              <w:rPr>
                <w:rFonts w:ascii="Arial" w:cs="Arial" w:eastAsia="Arial" w:hAnsi="Arial"/>
                <w:sz w:val="20"/>
                <w:szCs w:val="20"/>
                <w:color w:val="auto"/>
              </w:rPr>
              <w:t>2</w:t>
            </w:r>
          </w:p>
        </w:tc>
        <w:tc>
          <w:tcPr>
            <w:tcW w:w="2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005CA9"/>
            </w:tcBorders>
          </w:tcPr>
          <w:p>
            <w:pPr>
              <w:ind w:left="60"/>
              <w:spacing w:after="0"/>
              <w:rPr>
                <w:sz w:val="20"/>
                <w:szCs w:val="20"/>
                <w:color w:val="auto"/>
              </w:rPr>
            </w:pPr>
            <w:r>
              <w:rPr>
                <w:rFonts w:ascii="Arial" w:cs="Arial" w:eastAsia="Arial" w:hAnsi="Arial"/>
                <w:sz w:val="20"/>
                <w:szCs w:val="20"/>
                <w:color w:val="auto"/>
              </w:rPr>
              <w:t>Risk Oversight Committee</w:t>
            </w:r>
          </w:p>
        </w:tc>
        <w:tc>
          <w:tcPr>
            <w:tcW w:w="2960" w:type="dxa"/>
            <w:vAlign w:val="bottom"/>
            <w:tcBorders>
              <w:bottom w:val="single" w:sz="8" w:color="005CA9"/>
            </w:tcBorders>
          </w:tcPr>
          <w:p>
            <w:pPr>
              <w:jc w:val="center"/>
              <w:ind w:left="221"/>
              <w:spacing w:after="0"/>
              <w:rPr>
                <w:sz w:val="20"/>
                <w:szCs w:val="20"/>
                <w:color w:val="auto"/>
              </w:rPr>
            </w:pPr>
            <w:r>
              <w:rPr>
                <w:rFonts w:ascii="Arial" w:cs="Arial" w:eastAsia="Arial" w:hAnsi="Arial"/>
                <w:sz w:val="20"/>
                <w:szCs w:val="20"/>
                <w:color w:val="auto"/>
              </w:rPr>
              <w:t>3</w:t>
            </w:r>
          </w:p>
        </w:tc>
        <w:tc>
          <w:tcPr>
            <w:tcW w:w="2780" w:type="dxa"/>
            <w:vAlign w:val="bottom"/>
            <w:tcBorders>
              <w:bottom w:val="single" w:sz="8" w:color="005CA9"/>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With the exception of Dr. Lu, all current directors attended at least 75% of the total number of meetings of the Board and Committees on which each served held during the period he or she served in 2025.</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It is the policy of the Company to require Board members to attend the annual meetings of stockholders, if practicable. Each director at the time attended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Chairman of the Board, Dr. Keh-Shew Lu, conducts each Board meeting and sets the agenda of each Board meeting after consulting Ms. Angie Chen Button, our independent lead director ("Lead Director"), and members of the Board. The Chairman of the Board also has the responsibility to establish effective communications with the Company’s stakeholders, including stockholders, customers, employees, communities, suppliers, creditors, governments, and corporate partners. Our Board of Directors has determined that maintaining separate Chairman and Lead Director positions is appropriate and effective for the Company at this time. This structure effectively utilizes Dr. Lu’s knowledge of the Company and the</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6" w:name="page17"/>
    <w:bookmarkEnd w:id="16"/>
    <w:p>
      <w:pPr>
        <w:jc w:val="both"/>
        <w:spacing w:after="0" w:line="241" w:lineRule="auto"/>
        <w:rPr>
          <w:sz w:val="20"/>
          <w:szCs w:val="20"/>
          <w:color w:val="auto"/>
        </w:rPr>
      </w:pPr>
      <w:r>
        <w:rPr>
          <w:rFonts w:ascii="Arial" w:cs="Arial" w:eastAsia="Arial" w:hAnsi="Arial"/>
          <w:sz w:val="20"/>
          <w:szCs w:val="20"/>
          <w:color w:val="auto"/>
        </w:rPr>
        <w:t>industry in which we operate, while fostering greater communication and producing a greater degree of transparency between management and our directors. Dr. Lu has served as a director since 2001, previously served as President and Chief Executive Officer, and continues to serve as a special advisor to our CEO.</w:t>
      </w:r>
    </w:p>
    <w:p>
      <w:pPr>
        <w:spacing w:after="0" w:line="6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duties of the Lead Director are to preside at executive sessions of the independent directors, serve as principal liaison between the independent directors and the Chairman, work with the Chairman to set and approve the schedule and agenda for meetings of the Board and its committees, direct the retention of advisors and consultants who report directly to the Board, serve as liaison for consultation and communication with stockholders, oversee the annual evaluation of our Board and its committees, and evaluate, in cooperation with the Compensation Committee and all members of the Board, the Chief Executive Officer's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NOMINATING PROCEDURES AND CRITERIA AND 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Among its functions, the Governance Committee identifies individuals qualified to become Board members, consistent with criteria approved by the Board, and recommends to the Board the director nominees to be selected by the Board for election at the next annual meeting of stockholders. In addition to the candidates proposed by the Board or identified by the Governance Committee, the Governance Committee considers candidates for director suggested by stockholders provided such recommendations are made in accordance with the procedures set forth under “Proposals of Stockholders and Stockholder Nominations for 2027 Annual Meeting.” Stockholder nominations that comply with these procedures and meet the criteria outlined below will receive the same consideration that the Governance Committee’s nominees receive.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Essential criteria for all candidates considered by the Governance Committee include the following:</w:t>
      </w:r>
    </w:p>
    <w:p>
      <w:pPr>
        <w:spacing w:after="0" w:line="9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integrity and a commitment to ethical behavior;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personal maturity and leadership skills in industry, education, the professions, or government;</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independence of thought and willingness to deal directly with difficult issues;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fulfillment of the broadest definition of diversity, seeking diversity of thought; and</w:t>
      </w:r>
    </w:p>
    <w:p>
      <w:pPr>
        <w:spacing w:after="0" w:line="106"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broad business or professional experience, with an understanding of business and financial affairs, and the complexities of business organizations.</w:t>
      </w:r>
    </w:p>
    <w:p>
      <w:pPr>
        <w:spacing w:after="0" w:line="48"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 evaluating candidates for certain Board positions, the Governance Committee evaluates additional criteria, including the following:</w:t>
      </w:r>
    </w:p>
    <w:p>
      <w:pPr>
        <w:spacing w:after="0" w:line="4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technical expertise in engineering, chemistry, solid state physics, or electronics;</w:t>
      </w:r>
    </w:p>
    <w:p>
      <w:pPr>
        <w:spacing w:after="0" w:line="106"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senior management experience and expertise, especially from leadership roles in semiconductor, information technology, or electronics corporations;</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or accounting expertise, generally and as necessary to fulfill the financial requirements of the SEC and Nasdaq regulations;</w:t>
      </w:r>
    </w:p>
    <w:p>
      <w:pPr>
        <w:spacing w:after="0" w:line="48" w:lineRule="exact"/>
        <w:rPr>
          <w:rFonts w:ascii="Times New Roman" w:cs="Times New Roman" w:eastAsia="Times New Roman" w:hAnsi="Times New Roman"/>
          <w:sz w:val="20"/>
          <w:szCs w:val="20"/>
          <w:color w:val="auto"/>
        </w:rPr>
      </w:pPr>
    </w:p>
    <w:p>
      <w:pPr>
        <w:ind w:left="1020" w:right="20" w:hanging="503"/>
        <w:spacing w:after="0" w:line="256" w:lineRule="auto"/>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leadership experience in other industries to help the Company better understand the care-abouts in key, targeted industries; and</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20"/>
          <w:szCs w:val="20"/>
          <w:color w:val="auto"/>
        </w:rPr>
      </w:pPr>
      <w:r>
        <w:rPr>
          <w:rFonts w:ascii="Arial" w:cs="Arial" w:eastAsia="Arial" w:hAnsi="Arial"/>
          <w:sz w:val="20"/>
          <w:szCs w:val="20"/>
          <w:color w:val="auto"/>
        </w:rPr>
        <w:t>experience in investment banking, commercial lending, or other financing activities.</w:t>
      </w:r>
    </w:p>
    <w:p>
      <w:pPr>
        <w:spacing w:after="0" w:line="10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selecting nominees for the Board, the Governance Committee evaluates the general and relevant specialized criteria set forth above prior to commencement of the recruitment process, determines whether a nominee fulfills the independence requirements of the SEC and Nasdaq, evaluates recommendations received from other existing members of the Board, reviews the education of the nominee, evaluates the quality of experience and achievement of the nominee, reviews the nominee’s current or past membership on other companies’ boards, determines that the nominee has the ability and the willingness to spend the necessary time required to function effectively as a director (except in extraordinary circumstances, no director shall serve on the board of more than four other public companies), and determines that the nominee has a genuine interest in representing the stockholders and the interests of the Company overall.</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7" w:name="page18"/>
    <w:bookmarkEnd w:id="17"/>
    <w:p>
      <w:pPr>
        <w:jc w:val="both"/>
        <w:spacing w:after="0" w:line="233" w:lineRule="auto"/>
        <w:rPr>
          <w:sz w:val="20"/>
          <w:szCs w:val="20"/>
          <w:color w:val="auto"/>
        </w:rPr>
      </w:pPr>
      <w:r>
        <w:rPr>
          <w:rFonts w:ascii="Arial" w:cs="Arial" w:eastAsia="Arial" w:hAnsi="Arial"/>
          <w:sz w:val="20"/>
          <w:szCs w:val="20"/>
          <w:color w:val="auto"/>
        </w:rPr>
        <w:t>If the Governance Committee is evaluating a nominee for re-election, the Governance Committee will review the nominee’s performance, including the following: availability for and attendance at meetings, contribution to Board processes such as information gathering and decision making, accessibility for communication with other directors and management, participation in Committee activities, depth of knowledge of the Company and its industry, the Company’s performance during the nominee’s previous term, in light of the role played by the Board and the nominee in guiding management, and any specialized expertise or experience that has contributed or may contribute to the functioning of the Board or the success of the Company.</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Governance Committee believes that the Board should include individuals with a broad range of relevant professional expertise, experience and education and reflect the diversity and cultural and geographical perspectives of the Company’s employees, customers, and suppliers.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The Governance Committee, as well as the full Board, has recommended the Board’s nominees for election at the Meeting.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Stockholders have not proposed any candidates for election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DIRECTOR RESIGNATION POLICY</w:t>
      </w:r>
    </w:p>
    <w:p>
      <w:pPr>
        <w:spacing w:after="0" w:line="6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Under the Company’s director resignation policy, promptly following the receipt of the final report from the Inspector of Elections relating to an election of directors of the Company (other than elections in which the number of nominees exceeds the number of directors to be elected), any nominee who receives a greater number of votes “WITHHELD” from his or her election than votes “FOR” his or her election, will tender his or her resignation for consideration by the Board. Subject to certain conditions, the Governance Committee will meet to consider the tendered resignation and make a recommendation to the Board concerning the action, if any, to be taken with respect to the director’s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Board will consider and act upon the Governance Committee’s recommendation within 90 days of certification of the vote at the Meeting. In considering the director’s resignation, the Governance Committee and the Board will consider all factors they deem relevant, including, without limitation, the underlying reason for the vote result, if known, the director’s contributions to the Company during his or her tenure, and the director’s qualifications. The Board may accept the resignation, refuse the resignation, or refuse the resignation subject to such conditions designed to cure the underlying cause as the Board may impose. Within four business days of the decision regarding the tendered resignation, the Company will file with the SEC a report on Form 8-K disclosing the decision with respect to the resignation, describing the deliberative process and, if applicable, the specific reasons for rejecting the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may communicate with the chair of our Audit Committee, our Compensation Committee, our Governance Committee, or our Risk Oversight Committee or with our independent directors individually or as a group, by writing to any such person or group c/o Corporate Secretary, Diodes Incorporated, 4949 Hedgcoxe Road, Suite 200, Plano, Texas 75024.</w:t>
      </w:r>
    </w:p>
    <w:p>
      <w:pPr>
        <w:spacing w:after="0" w:line="6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Communications are distributed to the Board, or to any individual director, depending on the facts and circumstances set forth in the communication. In that regard, the Board has requested that certain items that are unrelated to the duties and responsibilities of the Board be excluded, including, but not limited to, the following: junk mail and mass mailings, product complaints, product inquiries, new product suggestions, resumes, and other forms of job inquiries, surveys, and business solicitations or advertisements. In addition, material that is unduly hostile, threatening, illegal, or similarly unsuitable will not be distributed, provided that any communication that is not distributed will be made available to any independent director upon request.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Communications that include information that would be better addressed by the Company’s ethics and compliance hotline, which reports to the Audit Committee at (855) 316-2192, will be delivered to the Audit Committee.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t>COMPENSATION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compensation of each director, who is not a NEO, for service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Borders>
              <w:top w:val="single" w:sz="8" w:color="005CA9"/>
            </w:tcBorders>
          </w:tcPr>
          <w:p>
            <w:pPr>
              <w:spacing w:after="0"/>
              <w:rPr>
                <w:sz w:val="16"/>
                <w:szCs w:val="16"/>
                <w:color w:val="auto"/>
              </w:rPr>
            </w:pPr>
          </w:p>
        </w:tc>
        <w:tc>
          <w:tcPr>
            <w:tcW w:w="3140" w:type="dxa"/>
            <w:vAlign w:val="bottom"/>
            <w:tcBorders>
              <w:top w:val="single" w:sz="8" w:color="005CA9"/>
            </w:tcBorders>
          </w:tcPr>
          <w:p>
            <w:pPr>
              <w:jc w:val="center"/>
              <w:ind w:left="579"/>
              <w:spacing w:after="0"/>
              <w:rPr>
                <w:sz w:val="20"/>
                <w:szCs w:val="20"/>
                <w:color w:val="auto"/>
              </w:rPr>
            </w:pPr>
            <w:r>
              <w:rPr>
                <w:rFonts w:ascii="Arial" w:cs="Arial" w:eastAsia="Arial" w:hAnsi="Arial"/>
                <w:sz w:val="16"/>
                <w:szCs w:val="16"/>
                <w:b w:val="1"/>
                <w:bCs w:val="1"/>
                <w:color w:val="auto"/>
                <w:w w:val="98"/>
              </w:rPr>
              <w:t>Fees</w:t>
            </w:r>
          </w:p>
        </w:tc>
        <w:tc>
          <w:tcPr>
            <w:tcW w:w="2360" w:type="dxa"/>
            <w:vAlign w:val="bottom"/>
            <w:tcBorders>
              <w:top w:val="single" w:sz="8" w:color="005CA9"/>
            </w:tcBorders>
          </w:tcPr>
          <w:p>
            <w:pPr>
              <w:spacing w:after="0"/>
              <w:rPr>
                <w:sz w:val="16"/>
                <w:szCs w:val="16"/>
                <w:color w:val="auto"/>
              </w:rPr>
            </w:pPr>
          </w:p>
        </w:tc>
        <w:tc>
          <w:tcPr>
            <w:tcW w:w="2300" w:type="dxa"/>
            <w:vAlign w:val="bottom"/>
            <w:tcBorders>
              <w:top w:val="single" w:sz="8" w:color="005CA9"/>
            </w:tcBorders>
          </w:tcPr>
          <w:p>
            <w:pPr>
              <w:spacing w:after="0"/>
              <w:rPr>
                <w:sz w:val="16"/>
                <w:szCs w:val="16"/>
                <w:color w:val="auto"/>
              </w:rPr>
            </w:pPr>
          </w:p>
        </w:tc>
      </w:tr>
      <w:tr>
        <w:trPr>
          <w:trHeight w:val="189"/>
        </w:trPr>
        <w:tc>
          <w:tcPr>
            <w:tcW w:w="3440" w:type="dxa"/>
            <w:vAlign w:val="bottom"/>
          </w:tcPr>
          <w:p>
            <w:pPr>
              <w:spacing w:after="0"/>
              <w:rPr>
                <w:sz w:val="16"/>
                <w:szCs w:val="16"/>
                <w:color w:val="auto"/>
              </w:rPr>
            </w:pPr>
          </w:p>
        </w:tc>
        <w:tc>
          <w:tcPr>
            <w:tcW w:w="3140" w:type="dxa"/>
            <w:vAlign w:val="bottom"/>
          </w:tcPr>
          <w:p>
            <w:pPr>
              <w:jc w:val="center"/>
              <w:ind w:left="579"/>
              <w:spacing w:after="0"/>
              <w:rPr>
                <w:sz w:val="20"/>
                <w:szCs w:val="20"/>
                <w:color w:val="auto"/>
              </w:rPr>
            </w:pPr>
            <w:r>
              <w:rPr>
                <w:rFonts w:ascii="Arial" w:cs="Arial" w:eastAsia="Arial" w:hAnsi="Arial"/>
                <w:sz w:val="16"/>
                <w:szCs w:val="16"/>
                <w:b w:val="1"/>
                <w:bCs w:val="1"/>
                <w:color w:val="auto"/>
              </w:rPr>
              <w:t>Earned or</w:t>
            </w:r>
          </w:p>
        </w:tc>
        <w:tc>
          <w:tcPr>
            <w:tcW w:w="23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89"/>
        </w:trPr>
        <w:tc>
          <w:tcPr>
            <w:tcW w:w="3440" w:type="dxa"/>
            <w:vAlign w:val="bottom"/>
          </w:tcPr>
          <w:p>
            <w:pPr>
              <w:spacing w:after="0"/>
              <w:rPr>
                <w:sz w:val="16"/>
                <w:szCs w:val="16"/>
                <w:color w:val="auto"/>
              </w:rPr>
            </w:pPr>
          </w:p>
        </w:tc>
        <w:tc>
          <w:tcPr>
            <w:tcW w:w="314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Paid in</w:t>
            </w:r>
          </w:p>
        </w:tc>
        <w:tc>
          <w:tcPr>
            <w:tcW w:w="23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63"/>
        </w:trPr>
        <w:tc>
          <w:tcPr>
            <w:tcW w:w="3440" w:type="dxa"/>
            <w:vAlign w:val="bottom"/>
          </w:tcPr>
          <w:p>
            <w:pPr>
              <w:spacing w:after="0"/>
              <w:rPr>
                <w:sz w:val="14"/>
                <w:szCs w:val="14"/>
                <w:color w:val="auto"/>
              </w:rPr>
            </w:pPr>
          </w:p>
        </w:tc>
        <w:tc>
          <w:tcPr>
            <w:tcW w:w="3140" w:type="dxa"/>
            <w:vAlign w:val="bottom"/>
          </w:tcPr>
          <w:p>
            <w:pPr>
              <w:jc w:val="center"/>
              <w:ind w:left="579"/>
              <w:spacing w:after="0" w:line="163" w:lineRule="exact"/>
              <w:rPr>
                <w:sz w:val="20"/>
                <w:szCs w:val="20"/>
                <w:color w:val="auto"/>
              </w:rPr>
            </w:pPr>
            <w:r>
              <w:rPr>
                <w:rFonts w:ascii="Arial" w:cs="Arial" w:eastAsia="Arial" w:hAnsi="Arial"/>
                <w:sz w:val="16"/>
                <w:szCs w:val="16"/>
                <w:b w:val="1"/>
                <w:bCs w:val="1"/>
                <w:color w:val="auto"/>
              </w:rPr>
              <w:t>Cash</w:t>
            </w:r>
          </w:p>
        </w:tc>
        <w:tc>
          <w:tcPr>
            <w:tcW w:w="23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RSUs</w:t>
            </w:r>
          </w:p>
        </w:tc>
        <w:tc>
          <w:tcPr>
            <w:tcW w:w="2300" w:type="dxa"/>
            <w:vAlign w:val="bottom"/>
          </w:tcPr>
          <w:p>
            <w:pPr>
              <w:jc w:val="center"/>
              <w:ind w:left="19"/>
              <w:spacing w:after="0" w:line="163" w:lineRule="exact"/>
              <w:rPr>
                <w:sz w:val="20"/>
                <w:szCs w:val="20"/>
                <w:color w:val="auto"/>
              </w:rPr>
            </w:pPr>
            <w:r>
              <w:rPr>
                <w:rFonts w:ascii="Arial" w:cs="Arial" w:eastAsia="Arial" w:hAnsi="Arial"/>
                <w:sz w:val="16"/>
                <w:szCs w:val="16"/>
                <w:b w:val="1"/>
                <w:bCs w:val="1"/>
                <w:color w:val="auto"/>
              </w:rPr>
              <w:t>Total</w:t>
            </w:r>
          </w:p>
        </w:tc>
      </w:tr>
      <w:tr>
        <w:trPr>
          <w:trHeight w:val="215"/>
        </w:trPr>
        <w:tc>
          <w:tcPr>
            <w:tcW w:w="344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3140" w:type="dxa"/>
            <w:vAlign w:val="bottom"/>
          </w:tcPr>
          <w:p>
            <w:pPr>
              <w:jc w:val="center"/>
              <w:ind w:left="579"/>
              <w:spacing w:after="0" w:line="216"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2360" w:type="dxa"/>
            <w:vAlign w:val="bottom"/>
          </w:tcPr>
          <w:p>
            <w:pPr>
              <w:jc w:val="center"/>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 xml:space="preserve"> (2) (3)</w:t>
            </w:r>
          </w:p>
        </w:tc>
        <w:tc>
          <w:tcPr>
            <w:tcW w:w="2300" w:type="dxa"/>
            <w:vAlign w:val="bottom"/>
          </w:tcPr>
          <w:p>
            <w:pPr>
              <w:jc w:val="center"/>
              <w:ind w:left="19"/>
              <w:spacing w:after="0"/>
              <w:rPr>
                <w:sz w:val="20"/>
                <w:szCs w:val="20"/>
                <w:color w:val="auto"/>
              </w:rPr>
            </w:pPr>
            <w:r>
              <w:rPr>
                <w:rFonts w:ascii="Arial" w:cs="Arial" w:eastAsia="Arial" w:hAnsi="Arial"/>
                <w:sz w:val="16"/>
                <w:szCs w:val="16"/>
                <w:b w:val="1"/>
                <w:bCs w:val="1"/>
                <w:color w:val="auto"/>
              </w:rPr>
              <w:t>($)</w:t>
            </w:r>
          </w:p>
        </w:tc>
      </w:tr>
      <w:tr>
        <w:trPr>
          <w:trHeight w:val="203"/>
        </w:trPr>
        <w:tc>
          <w:tcPr>
            <w:tcW w:w="3440" w:type="dxa"/>
            <w:vAlign w:val="bottom"/>
          </w:tcPr>
          <w:p>
            <w:pPr>
              <w:spacing w:after="0"/>
              <w:rPr>
                <w:sz w:val="20"/>
                <w:szCs w:val="20"/>
                <w:color w:val="auto"/>
              </w:rPr>
            </w:pPr>
            <w:r>
              <w:rPr>
                <w:rFonts w:ascii="Arial" w:cs="Arial" w:eastAsia="Arial" w:hAnsi="Arial"/>
                <w:sz w:val="16"/>
                <w:szCs w:val="16"/>
                <w:b w:val="1"/>
                <w:bCs w:val="1"/>
                <w:color w:val="auto"/>
              </w:rPr>
              <w:t>(a)</w:t>
            </w:r>
          </w:p>
        </w:tc>
        <w:tc>
          <w:tcPr>
            <w:tcW w:w="3140" w:type="dxa"/>
            <w:vAlign w:val="bottom"/>
          </w:tcPr>
          <w:p>
            <w:pPr>
              <w:jc w:val="center"/>
              <w:ind w:left="579"/>
              <w:spacing w:after="0"/>
              <w:rPr>
                <w:sz w:val="20"/>
                <w:szCs w:val="20"/>
                <w:color w:val="auto"/>
              </w:rPr>
            </w:pPr>
            <w:r>
              <w:rPr>
                <w:rFonts w:ascii="Arial" w:cs="Arial" w:eastAsia="Arial" w:hAnsi="Arial"/>
                <w:sz w:val="16"/>
                <w:szCs w:val="16"/>
                <w:b w:val="1"/>
                <w:bCs w:val="1"/>
                <w:color w:val="auto"/>
                <w:w w:val="97"/>
              </w:rPr>
              <w:t>(b)</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rPr>
              <w:t>(c)</w:t>
            </w:r>
          </w:p>
        </w:tc>
        <w:tc>
          <w:tcPr>
            <w:tcW w:w="2300" w:type="dxa"/>
            <w:vAlign w:val="bottom"/>
          </w:tcPr>
          <w:p>
            <w:pPr>
              <w:jc w:val="center"/>
              <w:ind w:left="19"/>
              <w:spacing w:after="0"/>
              <w:rPr>
                <w:sz w:val="20"/>
                <w:szCs w:val="20"/>
                <w:color w:val="auto"/>
              </w:rPr>
            </w:pPr>
            <w:r>
              <w:rPr>
                <w:rFonts w:ascii="Arial" w:cs="Arial" w:eastAsia="Arial" w:hAnsi="Arial"/>
                <w:sz w:val="16"/>
                <w:szCs w:val="16"/>
                <w:b w:val="1"/>
                <w:bCs w:val="1"/>
                <w:color w:val="auto"/>
                <w:w w:val="97"/>
              </w:rPr>
              <w:t>(h)</w:t>
            </w:r>
          </w:p>
        </w:tc>
      </w:tr>
      <w:tr>
        <w:trPr>
          <w:trHeight w:val="68"/>
        </w:trPr>
        <w:tc>
          <w:tcPr>
            <w:tcW w:w="3440" w:type="dxa"/>
            <w:vAlign w:val="bottom"/>
            <w:shd w:val="clear" w:color="auto" w:fill="005CA9"/>
          </w:tcPr>
          <w:p>
            <w:pPr>
              <w:spacing w:after="0"/>
              <w:rPr>
                <w:sz w:val="5"/>
                <w:szCs w:val="5"/>
                <w:color w:val="auto"/>
              </w:rPr>
            </w:pPr>
          </w:p>
        </w:tc>
        <w:tc>
          <w:tcPr>
            <w:tcW w:w="3140" w:type="dxa"/>
            <w:vAlign w:val="bottom"/>
            <w:shd w:val="clear" w:color="auto" w:fill="005CA9"/>
          </w:tcPr>
          <w:p>
            <w:pPr>
              <w:spacing w:after="0"/>
              <w:rPr>
                <w:sz w:val="5"/>
                <w:szCs w:val="5"/>
                <w:color w:val="auto"/>
              </w:rPr>
            </w:pPr>
          </w:p>
        </w:tc>
        <w:tc>
          <w:tcPr>
            <w:tcW w:w="2360" w:type="dxa"/>
            <w:vAlign w:val="bottom"/>
            <w:shd w:val="clear" w:color="auto" w:fill="005CA9"/>
          </w:tcPr>
          <w:p>
            <w:pPr>
              <w:spacing w:after="0"/>
              <w:rPr>
                <w:sz w:val="5"/>
                <w:szCs w:val="5"/>
                <w:color w:val="auto"/>
              </w:rPr>
            </w:pPr>
          </w:p>
        </w:tc>
        <w:tc>
          <w:tcPr>
            <w:tcW w:w="2300" w:type="dxa"/>
            <w:vAlign w:val="bottom"/>
            <w:shd w:val="clear" w:color="auto" w:fill="005CA9"/>
          </w:tcPr>
          <w:p>
            <w:pPr>
              <w:spacing w:after="0"/>
              <w:rPr>
                <w:sz w:val="5"/>
                <w:szCs w:val="5"/>
                <w:color w:val="auto"/>
              </w:rPr>
            </w:pP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Angie Chen Button</w:t>
            </w:r>
          </w:p>
        </w:tc>
        <w:tc>
          <w:tcPr>
            <w:tcW w:w="3140" w:type="dxa"/>
            <w:vAlign w:val="bottom"/>
            <w:shd w:val="clear" w:color="auto" w:fill="CFF0FC"/>
          </w:tcPr>
          <w:p>
            <w:pPr>
              <w:jc w:val="center"/>
              <w:ind w:left="579"/>
              <w:spacing w:after="0"/>
              <w:rPr>
                <w:sz w:val="20"/>
                <w:szCs w:val="20"/>
                <w:color w:val="auto"/>
              </w:rPr>
            </w:pPr>
            <w:r>
              <w:rPr>
                <w:rFonts w:ascii="Arial" w:cs="Arial" w:eastAsia="Arial" w:hAnsi="Arial"/>
                <w:sz w:val="16"/>
                <w:szCs w:val="16"/>
                <w:color w:val="auto"/>
              </w:rPr>
              <w:t>130,000</w:t>
            </w:r>
          </w:p>
        </w:tc>
        <w:tc>
          <w:tcPr>
            <w:tcW w:w="2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145,650</w:t>
            </w:r>
          </w:p>
        </w:tc>
        <w:tc>
          <w:tcPr>
            <w:tcW w:w="23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275,650</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Elizabeth Bull</w:t>
            </w:r>
          </w:p>
        </w:tc>
        <w:tc>
          <w:tcPr>
            <w:tcW w:w="3140" w:type="dxa"/>
            <w:vAlign w:val="bottom"/>
          </w:tcPr>
          <w:p>
            <w:pPr>
              <w:jc w:val="center"/>
              <w:ind w:left="579"/>
              <w:spacing w:after="0"/>
              <w:rPr>
                <w:sz w:val="20"/>
                <w:szCs w:val="20"/>
                <w:color w:val="auto"/>
              </w:rPr>
            </w:pPr>
            <w:r>
              <w:rPr>
                <w:rFonts w:ascii="Arial" w:cs="Arial" w:eastAsia="Arial" w:hAnsi="Arial"/>
                <w:sz w:val="16"/>
                <w:szCs w:val="16"/>
                <w:color w:val="auto"/>
              </w:rPr>
              <w:t>130,000</w:t>
            </w:r>
          </w:p>
        </w:tc>
        <w:tc>
          <w:tcPr>
            <w:tcW w:w="2360" w:type="dxa"/>
            <w:vAlign w:val="bottom"/>
          </w:tcPr>
          <w:p>
            <w:pPr>
              <w:jc w:val="center"/>
              <w:spacing w:after="0"/>
              <w:rPr>
                <w:sz w:val="20"/>
                <w:szCs w:val="20"/>
                <w:color w:val="auto"/>
              </w:rPr>
            </w:pPr>
            <w:r>
              <w:rPr>
                <w:rFonts w:ascii="Arial" w:cs="Arial" w:eastAsia="Arial" w:hAnsi="Arial"/>
                <w:sz w:val="16"/>
                <w:szCs w:val="16"/>
                <w:color w:val="auto"/>
              </w:rPr>
              <w:t>145,650</w:t>
            </w:r>
          </w:p>
        </w:tc>
        <w:tc>
          <w:tcPr>
            <w:tcW w:w="2300" w:type="dxa"/>
            <w:vAlign w:val="bottom"/>
          </w:tcPr>
          <w:p>
            <w:pPr>
              <w:jc w:val="center"/>
              <w:ind w:left="19"/>
              <w:spacing w:after="0"/>
              <w:rPr>
                <w:sz w:val="20"/>
                <w:szCs w:val="20"/>
                <w:color w:val="auto"/>
              </w:rPr>
            </w:pPr>
            <w:r>
              <w:rPr>
                <w:rFonts w:ascii="Arial" w:cs="Arial" w:eastAsia="Arial" w:hAnsi="Arial"/>
                <w:sz w:val="16"/>
                <w:szCs w:val="16"/>
                <w:color w:val="auto"/>
              </w:rPr>
              <w:t>275,650</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Warren Chen</w:t>
            </w:r>
          </w:p>
        </w:tc>
        <w:tc>
          <w:tcPr>
            <w:tcW w:w="3140" w:type="dxa"/>
            <w:vAlign w:val="bottom"/>
            <w:shd w:val="clear" w:color="auto" w:fill="CFF0FC"/>
          </w:tcPr>
          <w:p>
            <w:pPr>
              <w:jc w:val="center"/>
              <w:ind w:left="579"/>
              <w:spacing w:after="0"/>
              <w:rPr>
                <w:sz w:val="20"/>
                <w:szCs w:val="20"/>
                <w:color w:val="auto"/>
              </w:rPr>
            </w:pPr>
            <w:r>
              <w:rPr>
                <w:rFonts w:ascii="Arial" w:cs="Arial" w:eastAsia="Arial" w:hAnsi="Arial"/>
                <w:sz w:val="16"/>
                <w:szCs w:val="16"/>
                <w:color w:val="auto"/>
              </w:rPr>
              <w:t>110,000</w:t>
            </w:r>
          </w:p>
        </w:tc>
        <w:tc>
          <w:tcPr>
            <w:tcW w:w="2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145,650</w:t>
            </w:r>
          </w:p>
        </w:tc>
        <w:tc>
          <w:tcPr>
            <w:tcW w:w="23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255,650</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Robert E. Feiger</w:t>
            </w:r>
          </w:p>
        </w:tc>
        <w:tc>
          <w:tcPr>
            <w:tcW w:w="3140" w:type="dxa"/>
            <w:vAlign w:val="bottom"/>
          </w:tcPr>
          <w:p>
            <w:pPr>
              <w:jc w:val="center"/>
              <w:ind w:left="579"/>
              <w:spacing w:after="0"/>
              <w:rPr>
                <w:sz w:val="20"/>
                <w:szCs w:val="20"/>
                <w:color w:val="auto"/>
              </w:rPr>
            </w:pPr>
            <w:r>
              <w:rPr>
                <w:rFonts w:ascii="Arial" w:cs="Arial" w:eastAsia="Arial" w:hAnsi="Arial"/>
                <w:sz w:val="16"/>
                <w:szCs w:val="16"/>
                <w:color w:val="auto"/>
              </w:rPr>
              <w:t>100,000</w:t>
            </w:r>
          </w:p>
        </w:tc>
        <w:tc>
          <w:tcPr>
            <w:tcW w:w="2360" w:type="dxa"/>
            <w:vAlign w:val="bottom"/>
          </w:tcPr>
          <w:p>
            <w:pPr>
              <w:jc w:val="center"/>
              <w:spacing w:after="0"/>
              <w:rPr>
                <w:sz w:val="20"/>
                <w:szCs w:val="20"/>
                <w:color w:val="auto"/>
              </w:rPr>
            </w:pPr>
            <w:r>
              <w:rPr>
                <w:rFonts w:ascii="Arial" w:cs="Arial" w:eastAsia="Arial" w:hAnsi="Arial"/>
                <w:sz w:val="16"/>
                <w:szCs w:val="16"/>
                <w:color w:val="auto"/>
              </w:rPr>
              <w:t>145,650</w:t>
            </w:r>
          </w:p>
        </w:tc>
        <w:tc>
          <w:tcPr>
            <w:tcW w:w="2300" w:type="dxa"/>
            <w:vAlign w:val="bottom"/>
          </w:tcPr>
          <w:p>
            <w:pPr>
              <w:jc w:val="center"/>
              <w:ind w:left="19"/>
              <w:spacing w:after="0"/>
              <w:rPr>
                <w:sz w:val="20"/>
                <w:szCs w:val="20"/>
                <w:color w:val="auto"/>
              </w:rPr>
            </w:pPr>
            <w:r>
              <w:rPr>
                <w:rFonts w:ascii="Arial" w:cs="Arial" w:eastAsia="Arial" w:hAnsi="Arial"/>
                <w:sz w:val="16"/>
                <w:szCs w:val="16"/>
                <w:color w:val="auto"/>
              </w:rPr>
              <w:t>245,650</w:t>
            </w:r>
          </w:p>
        </w:tc>
      </w:tr>
      <w:tr>
        <w:trPr>
          <w:trHeight w:val="189"/>
        </w:trPr>
        <w:tc>
          <w:tcPr>
            <w:tcW w:w="34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Huey-Jen (Jenny) Su </w:t>
            </w:r>
            <w:r>
              <w:rPr>
                <w:rFonts w:ascii="Arial" w:cs="Arial" w:eastAsia="Arial" w:hAnsi="Arial"/>
                <w:sz w:val="21"/>
                <w:szCs w:val="21"/>
                <w:color w:val="auto"/>
                <w:vertAlign w:val="superscript"/>
              </w:rPr>
              <w:t>(4)</w:t>
            </w:r>
          </w:p>
        </w:tc>
        <w:tc>
          <w:tcPr>
            <w:tcW w:w="3140" w:type="dxa"/>
            <w:vAlign w:val="bottom"/>
            <w:shd w:val="clear" w:color="auto" w:fill="CFF0FC"/>
          </w:tcPr>
          <w:p>
            <w:pPr>
              <w:jc w:val="center"/>
              <w:ind w:left="579"/>
              <w:spacing w:after="0"/>
              <w:rPr>
                <w:sz w:val="20"/>
                <w:szCs w:val="20"/>
                <w:color w:val="auto"/>
              </w:rPr>
            </w:pPr>
            <w:r>
              <w:rPr>
                <w:rFonts w:ascii="Arial" w:cs="Arial" w:eastAsia="Arial" w:hAnsi="Arial"/>
                <w:sz w:val="16"/>
                <w:szCs w:val="16"/>
                <w:color w:val="auto"/>
                <w:w w:val="98"/>
              </w:rPr>
              <w:t>70,425</w:t>
            </w:r>
          </w:p>
        </w:tc>
        <w:tc>
          <w:tcPr>
            <w:tcW w:w="2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145,650</w:t>
            </w:r>
          </w:p>
        </w:tc>
        <w:tc>
          <w:tcPr>
            <w:tcW w:w="230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216,075</w:t>
            </w:r>
          </w:p>
        </w:tc>
      </w:tr>
      <w:tr>
        <w:trPr>
          <w:trHeight w:val="207"/>
        </w:trPr>
        <w:tc>
          <w:tcPr>
            <w:tcW w:w="3440" w:type="dxa"/>
            <w:vAlign w:val="bottom"/>
          </w:tcPr>
          <w:p>
            <w:pPr>
              <w:spacing w:after="0" w:line="207" w:lineRule="exact"/>
              <w:rPr>
                <w:sz w:val="20"/>
                <w:szCs w:val="20"/>
                <w:color w:val="auto"/>
              </w:rPr>
            </w:pPr>
            <w:r>
              <w:rPr>
                <w:rFonts w:ascii="Arial" w:cs="Arial" w:eastAsia="Arial" w:hAnsi="Arial"/>
                <w:sz w:val="16"/>
                <w:szCs w:val="16"/>
                <w:color w:val="auto"/>
              </w:rPr>
              <w:t xml:space="preserve">Christina Wen-Chi Sung </w:t>
            </w:r>
            <w:r>
              <w:rPr>
                <w:rFonts w:ascii="Arial" w:cs="Arial" w:eastAsia="Arial" w:hAnsi="Arial"/>
                <w:sz w:val="21"/>
                <w:szCs w:val="21"/>
                <w:color w:val="auto"/>
                <w:vertAlign w:val="superscript"/>
              </w:rPr>
              <w:t>(5)</w:t>
            </w:r>
          </w:p>
        </w:tc>
        <w:tc>
          <w:tcPr>
            <w:tcW w:w="3140" w:type="dxa"/>
            <w:vAlign w:val="bottom"/>
          </w:tcPr>
          <w:p>
            <w:pPr>
              <w:jc w:val="center"/>
              <w:ind w:left="579"/>
              <w:spacing w:after="0"/>
              <w:rPr>
                <w:sz w:val="20"/>
                <w:szCs w:val="20"/>
                <w:color w:val="auto"/>
              </w:rPr>
            </w:pPr>
            <w:r>
              <w:rPr>
                <w:rFonts w:ascii="Arial" w:cs="Arial" w:eastAsia="Arial" w:hAnsi="Arial"/>
                <w:sz w:val="16"/>
                <w:szCs w:val="16"/>
                <w:color w:val="auto"/>
                <w:w w:val="98"/>
              </w:rPr>
              <w:t>36,781</w:t>
            </w:r>
          </w:p>
        </w:tc>
        <w:tc>
          <w:tcPr>
            <w:tcW w:w="2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left="19"/>
              <w:spacing w:after="0"/>
              <w:rPr>
                <w:sz w:val="20"/>
                <w:szCs w:val="20"/>
                <w:color w:val="auto"/>
              </w:rPr>
            </w:pPr>
            <w:r>
              <w:rPr>
                <w:rFonts w:ascii="Arial" w:cs="Arial" w:eastAsia="Arial" w:hAnsi="Arial"/>
                <w:sz w:val="16"/>
                <w:szCs w:val="16"/>
                <w:color w:val="auto"/>
                <w:w w:val="98"/>
              </w:rPr>
              <w:t>36,781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00" w:hanging="292"/>
        <w:spacing w:after="0"/>
        <w:tabs>
          <w:tab w:leader="none" w:pos="300" w:val="left"/>
        </w:tabs>
        <w:numPr>
          <w:ilvl w:val="0"/>
          <w:numId w:val="14"/>
        </w:numPr>
        <w:rPr>
          <w:rFonts w:ascii="Calibri" w:cs="Calibri" w:eastAsia="Calibri" w:hAnsi="Calibri"/>
          <w:sz w:val="14"/>
          <w:szCs w:val="14"/>
          <w:color w:val="auto"/>
        </w:rPr>
      </w:pPr>
      <w:r>
        <w:rPr>
          <w:rFonts w:ascii="Arial" w:cs="Arial" w:eastAsia="Arial" w:hAnsi="Arial"/>
          <w:sz w:val="14"/>
          <w:szCs w:val="14"/>
          <w:color w:val="auto"/>
        </w:rPr>
        <w:t>See below for the details of cash retainers paid to non-employee directors.</w:t>
      </w:r>
    </w:p>
    <w:p>
      <w:pPr>
        <w:spacing w:after="0" w:line="5" w:lineRule="exact"/>
        <w:rPr>
          <w:rFonts w:ascii="Calibri" w:cs="Calibri" w:eastAsia="Calibri" w:hAnsi="Calibri"/>
          <w:sz w:val="14"/>
          <w:szCs w:val="14"/>
          <w:color w:val="auto"/>
        </w:rPr>
      </w:pPr>
    </w:p>
    <w:p>
      <w:pPr>
        <w:ind w:left="300" w:hanging="292"/>
        <w:spacing w:after="0" w:line="242" w:lineRule="auto"/>
        <w:tabs>
          <w:tab w:leader="none" w:pos="300" w:val="left"/>
        </w:tabs>
        <w:numPr>
          <w:ilvl w:val="0"/>
          <w:numId w:val="14"/>
        </w:numPr>
        <w:rPr>
          <w:rFonts w:ascii="Calibri" w:cs="Calibri" w:eastAsia="Calibri" w:hAnsi="Calibri"/>
          <w:sz w:val="14"/>
          <w:szCs w:val="14"/>
          <w:color w:val="auto"/>
        </w:rPr>
      </w:pPr>
      <w:r>
        <w:rPr>
          <w:rFonts w:ascii="Arial" w:cs="Arial" w:eastAsia="Arial" w:hAnsi="Arial"/>
          <w:sz w:val="14"/>
          <w:szCs w:val="14"/>
          <w:color w:val="auto"/>
        </w:rPr>
        <w:t>These amounts reflect the value determined by the Company for financial accounting purposes for these awards and do not reflect whether each director has actually realized a financial benefit from the awards. The value of the equity awards in column (c) is based on the grant date fair value calculated in accordance with the amount recognized for financial statement reporting purposes. Pursuant to SEC rules, the amounts shown exclude the impact of estimated forfeitures related to service-based vesting conditions. Amounts reported for RSUs are calculated by multiplying the number of shares subject to the award by the closing price of the Company’s Common Stock on the grant date. See Note 14, Share-Based Compensation, to the Company’s audited financial statements for the fiscal year ended December 31, 2025, included in the Company’s Annual Report on Form 10-K filed with the SEC on February 10, 2026, for a further discussion of the relevant valuation assumptions used in calculating grant date fair value. All equity awards vest in four equal annual installments.</w:t>
      </w:r>
    </w:p>
    <w:p>
      <w:pPr>
        <w:ind w:left="300" w:right="480" w:hanging="292"/>
        <w:spacing w:after="0" w:line="234" w:lineRule="auto"/>
        <w:tabs>
          <w:tab w:leader="none" w:pos="300" w:val="left"/>
        </w:tabs>
        <w:numPr>
          <w:ilvl w:val="0"/>
          <w:numId w:val="14"/>
        </w:numPr>
        <w:rPr>
          <w:rFonts w:ascii="Calibri" w:cs="Calibri" w:eastAsia="Calibri" w:hAnsi="Calibri"/>
          <w:sz w:val="14"/>
          <w:szCs w:val="14"/>
          <w:color w:val="auto"/>
        </w:rPr>
      </w:pPr>
      <w:r>
        <w:rPr>
          <w:rFonts w:ascii="Arial" w:cs="Arial" w:eastAsia="Arial" w:hAnsi="Arial"/>
          <w:sz w:val="14"/>
          <w:szCs w:val="14"/>
          <w:color w:val="auto"/>
        </w:rPr>
        <w:t>Under the Company’s 2025 director compensation arrangements, on May 13, 2025, each non-employee director listed in the table above, other than Ms. Sung, was granted an award under the 2022 Equity Incentive Plan of 3,000 RSUs. The per-share closing price of our Common Stock on May 13, 2025 was $48.55.</w:t>
      </w:r>
    </w:p>
    <w:p>
      <w:pPr>
        <w:ind w:left="300" w:hanging="292"/>
        <w:spacing w:after="0"/>
        <w:tabs>
          <w:tab w:leader="none" w:pos="300" w:val="left"/>
        </w:tabs>
        <w:numPr>
          <w:ilvl w:val="0"/>
          <w:numId w:val="14"/>
        </w:numPr>
        <w:rPr>
          <w:rFonts w:ascii="Calibri" w:cs="Calibri" w:eastAsia="Calibri" w:hAnsi="Calibri"/>
          <w:sz w:val="14"/>
          <w:szCs w:val="14"/>
          <w:color w:val="auto"/>
        </w:rPr>
      </w:pPr>
      <w:r>
        <w:rPr>
          <w:rFonts w:ascii="Arial" w:cs="Arial" w:eastAsia="Arial" w:hAnsi="Arial"/>
          <w:sz w:val="14"/>
          <w:szCs w:val="14"/>
          <w:color w:val="auto"/>
        </w:rPr>
        <w:t>Ms. Su's service as a director did not commence until February 3, 2025.</w:t>
      </w:r>
    </w:p>
    <w:p>
      <w:pPr>
        <w:spacing w:after="0" w:line="5" w:lineRule="exact"/>
        <w:rPr>
          <w:rFonts w:ascii="Calibri" w:cs="Calibri" w:eastAsia="Calibri" w:hAnsi="Calibri"/>
          <w:sz w:val="14"/>
          <w:szCs w:val="14"/>
          <w:color w:val="auto"/>
        </w:rPr>
      </w:pPr>
    </w:p>
    <w:p>
      <w:pPr>
        <w:ind w:left="300" w:hanging="292"/>
        <w:spacing w:after="0"/>
        <w:tabs>
          <w:tab w:leader="none" w:pos="300" w:val="left"/>
        </w:tabs>
        <w:numPr>
          <w:ilvl w:val="0"/>
          <w:numId w:val="14"/>
        </w:numPr>
        <w:rPr>
          <w:rFonts w:ascii="Calibri" w:cs="Calibri" w:eastAsia="Calibri" w:hAnsi="Calibri"/>
          <w:sz w:val="14"/>
          <w:szCs w:val="14"/>
          <w:color w:val="auto"/>
        </w:rPr>
      </w:pPr>
      <w:r>
        <w:rPr>
          <w:rFonts w:ascii="Arial" w:cs="Arial" w:eastAsia="Arial" w:hAnsi="Arial"/>
          <w:sz w:val="14"/>
          <w:szCs w:val="14"/>
          <w:color w:val="auto"/>
        </w:rPr>
        <w:t>Ms. Sung's service as a director ceased on May 13, 2025.</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aggregate number of shares underlying outstanding RSUs held by non-employee directors as of</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Name</w:t>
            </w:r>
          </w:p>
        </w:tc>
        <w:tc>
          <w:tcPr>
            <w:tcW w:w="5300" w:type="dxa"/>
            <w:vAlign w:val="bottom"/>
            <w:tcBorders>
              <w:top w:val="single" w:sz="8" w:color="005CA9"/>
            </w:tcBorders>
          </w:tcPr>
          <w:p>
            <w:pPr>
              <w:jc w:val="right"/>
              <w:ind w:right="36"/>
              <w:spacing w:after="0"/>
              <w:rPr>
                <w:sz w:val="20"/>
                <w:szCs w:val="20"/>
                <w:color w:val="auto"/>
              </w:rPr>
            </w:pPr>
            <w:r>
              <w:rPr>
                <w:rFonts w:ascii="Arial" w:cs="Arial" w:eastAsia="Arial" w:hAnsi="Arial"/>
                <w:sz w:val="20"/>
                <w:szCs w:val="20"/>
                <w:b w:val="1"/>
                <w:bCs w:val="1"/>
                <w:color w:val="auto"/>
              </w:rPr>
              <w:t>RSUs (#)</w:t>
            </w:r>
          </w:p>
        </w:tc>
      </w:tr>
      <w:tr>
        <w:trPr>
          <w:trHeight w:val="68"/>
        </w:trPr>
        <w:tc>
          <w:tcPr>
            <w:tcW w:w="5940" w:type="dxa"/>
            <w:vAlign w:val="bottom"/>
            <w:shd w:val="clear" w:color="auto" w:fill="005CA9"/>
          </w:tcPr>
          <w:p>
            <w:pPr>
              <w:spacing w:after="0"/>
              <w:rPr>
                <w:sz w:val="5"/>
                <w:szCs w:val="5"/>
                <w:color w:val="auto"/>
              </w:rPr>
            </w:pPr>
          </w:p>
        </w:tc>
        <w:tc>
          <w:tcPr>
            <w:tcW w:w="5300" w:type="dxa"/>
            <w:vAlign w:val="bottom"/>
            <w:shd w:val="clear" w:color="auto" w:fill="005CA9"/>
          </w:tcPr>
          <w:p>
            <w:pPr>
              <w:spacing w:after="0"/>
              <w:rPr>
                <w:sz w:val="5"/>
                <w:szCs w:val="5"/>
                <w:color w:val="auto"/>
              </w:rPr>
            </w:pPr>
          </w:p>
        </w:tc>
      </w:tr>
      <w:tr>
        <w:trPr>
          <w:trHeight w:val="189"/>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Angie Chen Button</w:t>
            </w:r>
          </w:p>
        </w:tc>
        <w:tc>
          <w:tcPr>
            <w:tcW w:w="530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7,380</w:t>
            </w:r>
          </w:p>
        </w:tc>
      </w:tr>
      <w:tr>
        <w:trPr>
          <w:trHeight w:val="189"/>
        </w:trPr>
        <w:tc>
          <w:tcPr>
            <w:tcW w:w="5940" w:type="dxa"/>
            <w:vAlign w:val="bottom"/>
          </w:tcPr>
          <w:p>
            <w:pPr>
              <w:ind w:left="60"/>
              <w:spacing w:after="0"/>
              <w:rPr>
                <w:sz w:val="20"/>
                <w:szCs w:val="20"/>
                <w:color w:val="auto"/>
              </w:rPr>
            </w:pPr>
            <w:r>
              <w:rPr>
                <w:rFonts w:ascii="Arial" w:cs="Arial" w:eastAsia="Arial" w:hAnsi="Arial"/>
                <w:sz w:val="16"/>
                <w:szCs w:val="16"/>
                <w:color w:val="auto"/>
              </w:rPr>
              <w:t>Elizabeth Bull</w:t>
            </w:r>
          </w:p>
        </w:tc>
        <w:tc>
          <w:tcPr>
            <w:tcW w:w="5300" w:type="dxa"/>
            <w:vAlign w:val="bottom"/>
          </w:tcPr>
          <w:p>
            <w:pPr>
              <w:jc w:val="right"/>
              <w:ind w:right="36"/>
              <w:spacing w:after="0"/>
              <w:rPr>
                <w:sz w:val="20"/>
                <w:szCs w:val="20"/>
                <w:color w:val="auto"/>
              </w:rPr>
            </w:pPr>
            <w:r>
              <w:rPr>
                <w:rFonts w:ascii="Arial" w:cs="Arial" w:eastAsia="Arial" w:hAnsi="Arial"/>
                <w:sz w:val="16"/>
                <w:szCs w:val="16"/>
                <w:color w:val="auto"/>
              </w:rPr>
              <w:t>6,750</w:t>
            </w:r>
          </w:p>
        </w:tc>
      </w:tr>
      <w:tr>
        <w:trPr>
          <w:trHeight w:val="189"/>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Warren Chen</w:t>
            </w:r>
          </w:p>
        </w:tc>
        <w:tc>
          <w:tcPr>
            <w:tcW w:w="530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7,380</w:t>
            </w:r>
          </w:p>
        </w:tc>
      </w:tr>
      <w:tr>
        <w:trPr>
          <w:trHeight w:val="189"/>
        </w:trPr>
        <w:tc>
          <w:tcPr>
            <w:tcW w:w="5940" w:type="dxa"/>
            <w:vAlign w:val="bottom"/>
          </w:tcPr>
          <w:p>
            <w:pPr>
              <w:ind w:left="60"/>
              <w:spacing w:after="0"/>
              <w:rPr>
                <w:sz w:val="20"/>
                <w:szCs w:val="20"/>
                <w:color w:val="auto"/>
              </w:rPr>
            </w:pPr>
            <w:r>
              <w:rPr>
                <w:rFonts w:ascii="Arial" w:cs="Arial" w:eastAsia="Arial" w:hAnsi="Arial"/>
                <w:sz w:val="16"/>
                <w:szCs w:val="16"/>
                <w:color w:val="auto"/>
              </w:rPr>
              <w:t>Robert E. Feiger</w:t>
            </w:r>
          </w:p>
        </w:tc>
        <w:tc>
          <w:tcPr>
            <w:tcW w:w="5300" w:type="dxa"/>
            <w:vAlign w:val="bottom"/>
          </w:tcPr>
          <w:p>
            <w:pPr>
              <w:jc w:val="right"/>
              <w:ind w:right="36"/>
              <w:spacing w:after="0"/>
              <w:rPr>
                <w:sz w:val="20"/>
                <w:szCs w:val="20"/>
                <w:color w:val="auto"/>
              </w:rPr>
            </w:pPr>
            <w:r>
              <w:rPr>
                <w:rFonts w:ascii="Arial" w:cs="Arial" w:eastAsia="Arial" w:hAnsi="Arial"/>
                <w:sz w:val="16"/>
                <w:szCs w:val="16"/>
                <w:color w:val="auto"/>
              </w:rPr>
              <w:t>5,250</w:t>
            </w:r>
          </w:p>
        </w:tc>
      </w:tr>
      <w:tr>
        <w:trPr>
          <w:trHeight w:val="189"/>
        </w:trPr>
        <w:tc>
          <w:tcPr>
            <w:tcW w:w="5940" w:type="dxa"/>
            <w:vAlign w:val="bottom"/>
            <w:shd w:val="clear" w:color="auto" w:fill="CFF0FC"/>
          </w:tcPr>
          <w:p>
            <w:pPr>
              <w:ind w:left="60"/>
              <w:spacing w:after="0"/>
              <w:rPr>
                <w:sz w:val="20"/>
                <w:szCs w:val="20"/>
                <w:color w:val="auto"/>
              </w:rPr>
            </w:pPr>
            <w:r>
              <w:rPr>
                <w:rFonts w:ascii="Arial" w:cs="Arial" w:eastAsia="Arial" w:hAnsi="Arial"/>
                <w:sz w:val="16"/>
                <w:szCs w:val="16"/>
                <w:color w:val="auto"/>
              </w:rPr>
              <w:t>Huey-Jen (Jenny) Su</w:t>
            </w:r>
          </w:p>
        </w:tc>
        <w:tc>
          <w:tcPr>
            <w:tcW w:w="5300" w:type="dxa"/>
            <w:vAlign w:val="bottom"/>
            <w:shd w:val="clear" w:color="auto" w:fill="CFF0FC"/>
          </w:tcPr>
          <w:p>
            <w:pPr>
              <w:jc w:val="right"/>
              <w:ind w:right="36"/>
              <w:spacing w:after="0"/>
              <w:rPr>
                <w:sz w:val="20"/>
                <w:szCs w:val="20"/>
                <w:color w:val="auto"/>
              </w:rPr>
            </w:pPr>
            <w:r>
              <w:rPr>
                <w:rFonts w:ascii="Arial" w:cs="Arial" w:eastAsia="Arial" w:hAnsi="Arial"/>
                <w:sz w:val="16"/>
                <w:szCs w:val="16"/>
                <w:color w:val="auto"/>
              </w:rPr>
              <w:t>3,000</w:t>
            </w:r>
          </w:p>
        </w:tc>
      </w:tr>
    </w:tbl>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Board may in its discretion modify such director compensation arrangements in the future. For additional information see, “Certain Relationships and Related Person Transactions – Relationships and Transactions.”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 the cash retainer amounts for non-employee directors for service rendered: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Borders>
              <w:top w:val="single" w:sz="8" w:color="005CA9"/>
              <w:bottom w:val="single" w:sz="8" w:color="005CA9"/>
            </w:tcBorders>
          </w:tcPr>
          <w:p>
            <w:pPr>
              <w:spacing w:after="0"/>
              <w:rPr>
                <w:sz w:val="21"/>
                <w:szCs w:val="21"/>
                <w:color w:val="auto"/>
              </w:rPr>
            </w:pPr>
          </w:p>
        </w:tc>
        <w:tc>
          <w:tcPr>
            <w:tcW w:w="1080" w:type="dxa"/>
            <w:vAlign w:val="bottom"/>
            <w:tcBorders>
              <w:top w:val="single" w:sz="8" w:color="005CA9"/>
              <w:bottom w:val="single" w:sz="8" w:color="005CA9"/>
            </w:tcBorders>
          </w:tcPr>
          <w:p>
            <w:pPr>
              <w:spacing w:after="0"/>
              <w:rPr>
                <w:sz w:val="21"/>
                <w:szCs w:val="21"/>
                <w:color w:val="auto"/>
              </w:rPr>
            </w:pPr>
          </w:p>
        </w:tc>
        <w:tc>
          <w:tcPr>
            <w:tcW w:w="1060" w:type="dxa"/>
            <w:vAlign w:val="bottom"/>
            <w:tcBorders>
              <w:top w:val="single" w:sz="8" w:color="005CA9"/>
              <w:bottom w:val="single" w:sz="8" w:color="005CA9"/>
            </w:tcBorders>
          </w:tcPr>
          <w:p>
            <w:pPr>
              <w:jc w:val="right"/>
              <w:ind w:right="401"/>
              <w:spacing w:after="0"/>
              <w:rPr>
                <w:sz w:val="20"/>
                <w:szCs w:val="20"/>
                <w:color w:val="auto"/>
              </w:rPr>
            </w:pPr>
            <w:r>
              <w:rPr>
                <w:rFonts w:ascii="Arial" w:cs="Arial" w:eastAsia="Arial" w:hAnsi="Arial"/>
                <w:sz w:val="20"/>
                <w:szCs w:val="20"/>
                <w:b w:val="1"/>
                <w:bCs w:val="1"/>
                <w:color w:val="auto"/>
              </w:rPr>
              <w:t>2025</w:t>
            </w:r>
          </w:p>
        </w:tc>
        <w:tc>
          <w:tcPr>
            <w:tcW w:w="400" w:type="dxa"/>
            <w:vAlign w:val="bottom"/>
            <w:tcBorders>
              <w:top w:val="single" w:sz="8" w:color="005CA9"/>
              <w:bottom w:val="single" w:sz="8" w:color="005CA9"/>
            </w:tcBorders>
          </w:tcPr>
          <w:p>
            <w:pPr>
              <w:spacing w:after="0"/>
              <w:rPr>
                <w:sz w:val="21"/>
                <w:szCs w:val="21"/>
                <w:color w:val="auto"/>
              </w:rPr>
            </w:pPr>
          </w:p>
        </w:tc>
        <w:tc>
          <w:tcPr>
            <w:tcW w:w="1040" w:type="dxa"/>
            <w:vAlign w:val="bottom"/>
            <w:tcBorders>
              <w:top w:val="single" w:sz="8" w:color="005CA9"/>
              <w:bottom w:val="single" w:sz="8" w:color="005CA9"/>
            </w:tcBorders>
          </w:tcPr>
          <w:p>
            <w:pPr>
              <w:jc w:val="right"/>
              <w:ind w:right="381"/>
              <w:spacing w:after="0"/>
              <w:rPr>
                <w:sz w:val="20"/>
                <w:szCs w:val="20"/>
                <w:color w:val="auto"/>
              </w:rPr>
            </w:pPr>
            <w:r>
              <w:rPr>
                <w:rFonts w:ascii="Arial" w:cs="Arial" w:eastAsia="Arial" w:hAnsi="Arial"/>
                <w:sz w:val="20"/>
                <w:szCs w:val="20"/>
                <w:b w:val="1"/>
                <w:bCs w:val="1"/>
                <w:color w:val="auto"/>
              </w:rPr>
              <w:t>2026</w:t>
            </w:r>
          </w:p>
        </w:tc>
      </w:tr>
      <w:tr>
        <w:trPr>
          <w:trHeight w:val="216"/>
        </w:trPr>
        <w:tc>
          <w:tcPr>
            <w:tcW w:w="766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Quarterly retainer:</w:t>
            </w:r>
          </w:p>
        </w:tc>
        <w:tc>
          <w:tcPr>
            <w:tcW w:w="108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22,500</w:t>
            </w:r>
          </w:p>
        </w:tc>
        <w:tc>
          <w:tcPr>
            <w:tcW w:w="40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22,500</w:t>
            </w:r>
          </w:p>
        </w:tc>
      </w:tr>
      <w:tr>
        <w:trPr>
          <w:trHeight w:val="216"/>
        </w:trPr>
        <w:tc>
          <w:tcPr>
            <w:tcW w:w="7660" w:type="dxa"/>
            <w:vAlign w:val="bottom"/>
          </w:tcPr>
          <w:p>
            <w:pPr>
              <w:ind w:left="80"/>
              <w:spacing w:after="0" w:line="216" w:lineRule="exact"/>
              <w:rPr>
                <w:sz w:val="20"/>
                <w:szCs w:val="20"/>
                <w:color w:val="auto"/>
              </w:rPr>
            </w:pPr>
            <w:r>
              <w:rPr>
                <w:rFonts w:ascii="Arial" w:cs="Arial" w:eastAsia="Arial" w:hAnsi="Arial"/>
                <w:sz w:val="20"/>
                <w:szCs w:val="20"/>
                <w:color w:val="auto"/>
              </w:rPr>
              <w:t>Additional quarterly retainer:</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Lead Director, Chairs of Audit, Governance, and Compensation Committees</w:t>
            </w:r>
          </w:p>
        </w:tc>
        <w:tc>
          <w:tcPr>
            <w:tcW w:w="10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10,000</w:t>
            </w: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10,000</w:t>
            </w:r>
          </w:p>
        </w:tc>
      </w:tr>
      <w:tr>
        <w:trPr>
          <w:trHeight w:val="216"/>
        </w:trPr>
        <w:tc>
          <w:tcPr>
            <w:tcW w:w="7660" w:type="dxa"/>
            <w:vAlign w:val="bottom"/>
          </w:tcPr>
          <w:p>
            <w:pPr>
              <w:ind w:left="140"/>
              <w:spacing w:after="0" w:line="216" w:lineRule="exact"/>
              <w:rPr>
                <w:sz w:val="20"/>
                <w:szCs w:val="20"/>
                <w:color w:val="auto"/>
              </w:rPr>
            </w:pPr>
            <w:r>
              <w:rPr>
                <w:rFonts w:ascii="Arial" w:cs="Arial" w:eastAsia="Arial" w:hAnsi="Arial"/>
                <w:sz w:val="20"/>
                <w:szCs w:val="20"/>
                <w:color w:val="auto"/>
              </w:rPr>
              <w:t>Chair of Risk Committee</w:t>
            </w:r>
          </w:p>
        </w:tc>
        <w:tc>
          <w:tcPr>
            <w:tcW w:w="1080" w:type="dxa"/>
            <w:vAlign w:val="bottom"/>
          </w:tcPr>
          <w:p>
            <w:pPr>
              <w:spacing w:after="0"/>
              <w:rPr>
                <w:sz w:val="18"/>
                <w:szCs w:val="18"/>
                <w:color w:val="auto"/>
              </w:rPr>
            </w:pPr>
          </w:p>
        </w:tc>
        <w:tc>
          <w:tcPr>
            <w:tcW w:w="1060" w:type="dxa"/>
            <w:vAlign w:val="bottom"/>
          </w:tcPr>
          <w:p>
            <w:pPr>
              <w:jc w:val="right"/>
              <w:ind w:right="41"/>
              <w:spacing w:after="0" w:line="216" w:lineRule="exact"/>
              <w:rPr>
                <w:sz w:val="20"/>
                <w:szCs w:val="20"/>
                <w:color w:val="auto"/>
              </w:rPr>
            </w:pPr>
            <w:r>
              <w:rPr>
                <w:rFonts w:ascii="Arial" w:cs="Arial" w:eastAsia="Arial" w:hAnsi="Arial"/>
                <w:sz w:val="20"/>
                <w:szCs w:val="20"/>
                <w:color w:val="auto"/>
              </w:rPr>
              <w:t>5,000</w:t>
            </w:r>
          </w:p>
        </w:tc>
        <w:tc>
          <w:tcPr>
            <w:tcW w:w="400" w:type="dxa"/>
            <w:vAlign w:val="bottom"/>
          </w:tcPr>
          <w:p>
            <w:pPr>
              <w:spacing w:after="0"/>
              <w:rPr>
                <w:sz w:val="18"/>
                <w:szCs w:val="18"/>
                <w:color w:val="auto"/>
              </w:rPr>
            </w:pPr>
          </w:p>
        </w:tc>
        <w:tc>
          <w:tcPr>
            <w:tcW w:w="10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5,000</w:t>
            </w:r>
          </w:p>
        </w:tc>
      </w:tr>
      <w:tr>
        <w:trPr>
          <w:trHeight w:val="216"/>
        </w:trPr>
        <w:tc>
          <w:tcPr>
            <w:tcW w:w="7660" w:type="dxa"/>
            <w:vAlign w:val="bottom"/>
            <w:tcBorders>
              <w:bottom w:val="single" w:sz="8" w:color="005CA9"/>
            </w:tcBorders>
            <w:shd w:val="clear" w:color="auto" w:fill="CFF0FC"/>
          </w:tcPr>
          <w:p>
            <w:pPr>
              <w:ind w:left="140"/>
              <w:spacing w:after="0" w:line="216" w:lineRule="exact"/>
              <w:rPr>
                <w:sz w:val="20"/>
                <w:szCs w:val="20"/>
                <w:color w:val="auto"/>
              </w:rPr>
            </w:pPr>
            <w:r>
              <w:rPr>
                <w:rFonts w:ascii="Arial" w:cs="Arial" w:eastAsia="Arial" w:hAnsi="Arial"/>
                <w:sz w:val="20"/>
                <w:szCs w:val="20"/>
                <w:color w:val="auto"/>
              </w:rPr>
              <w:t>Member of the Audit Committee (chair not included)</w:t>
            </w:r>
          </w:p>
        </w:tc>
        <w:tc>
          <w:tcPr>
            <w:tcW w:w="1080" w:type="dxa"/>
            <w:vAlign w:val="bottom"/>
            <w:tcBorders>
              <w:bottom w:val="single" w:sz="8" w:color="005CA9"/>
            </w:tcBorders>
            <w:shd w:val="clear" w:color="auto" w:fill="CFF0FC"/>
          </w:tcPr>
          <w:p>
            <w:pPr>
              <w:spacing w:after="0"/>
              <w:rPr>
                <w:sz w:val="18"/>
                <w:szCs w:val="18"/>
                <w:color w:val="auto"/>
              </w:rPr>
            </w:pPr>
          </w:p>
        </w:tc>
        <w:tc>
          <w:tcPr>
            <w:tcW w:w="1060" w:type="dxa"/>
            <w:vAlign w:val="bottom"/>
            <w:tcBorders>
              <w:bottom w:val="single" w:sz="8" w:color="005CA9"/>
            </w:tcBorders>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2,500</w:t>
            </w:r>
          </w:p>
        </w:tc>
        <w:tc>
          <w:tcPr>
            <w:tcW w:w="400" w:type="dxa"/>
            <w:vAlign w:val="bottom"/>
            <w:tcBorders>
              <w:bottom w:val="single" w:sz="8" w:color="005CA9"/>
            </w:tcBorders>
            <w:shd w:val="clear" w:color="auto" w:fill="CFF0FC"/>
          </w:tcPr>
          <w:p>
            <w:pPr>
              <w:spacing w:after="0"/>
              <w:rPr>
                <w:sz w:val="18"/>
                <w:szCs w:val="18"/>
                <w:color w:val="auto"/>
              </w:rPr>
            </w:pPr>
          </w:p>
        </w:tc>
        <w:tc>
          <w:tcPr>
            <w:tcW w:w="1040" w:type="dxa"/>
            <w:vAlign w:val="bottom"/>
            <w:tcBorders>
              <w:bottom w:val="single" w:sz="8" w:color="005CA9"/>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During 2025, the following directors served on the Compensation Committee: Angie Chen Button (Chair), Warren Chen, Christina Wen-Chi Sung, and Robert E. Feiger. During 2025, no executive officer of the Company served on the compensation committee (or equivalent) of the board of directors of another entity whose executive officer(s) served on the Company’s Compensation Committee or Board.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t>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Anti-Hedging Policy</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Company’s Insider Trading Policy prohibits all executive officers and directors of the Company from engaging in any hedging or monetization transactions involving the Company’s securities, including zero cost collars, forward sale contracts, and trading in options, puts, calls, or other derivative instruments related to the Company’s Common Stock. To the best of the Company’s knowledge, no executive officers or directors of the Company currently are parties to a hedge with respect to any shares of Common Stock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Anti-Pledging Policy</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Insider Trading Policy prohibits executive officers and directors from pledging the Company’s securities. Acquiring Company shares on margin also is prohibited. To the best of the Company’s knowledge, no executive officers or directors of the Company currently are parties to a pledge of any shares of the Common Stock of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Insider Trading Policy</w:t>
      </w:r>
    </w:p>
    <w:p>
      <w:pPr>
        <w:spacing w:after="0" w:line="10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 is committed to promoting high standards of ethical business conduct and compliance with applicable laws, rules, and regulations. As part of this commitment, we have adopted an Insider Trading Policy governing the purchase, sale, and other dispositions of our securities by our directors, officers, and employees, as well as by the Company itself. We believe the Insider Trading Policy is reasonably designed to promote compliance with insider trading laws, rules and regulations, and applicable NASDAQ listing standards. A copy of the Company's Insider Trading Policy was filed as Exhibit 19 in the Company's annual report on Form 10-K for the year ended December 31, 2024 filed with the SEC on February 14, 2025.</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Short-Selling Policy</w:t>
      </w:r>
    </w:p>
    <w:p>
      <w:pPr>
        <w:spacing w:after="0" w:line="10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Directors and executive officers are prohibited from selling the Company’s equity securities “short” (i.e., the sale of a security that is not owned and must be borrowed to complete the sale) or “selling short against the box” (i.e., the sale of a security that is currently owned but is not delivered against such sale within twenty days thereafter, or is not within five days after such sale deposited in the mails or other usual channels of transportation and the sale is completed with borrowed shares). To the best of the Company’s knowledge, no executive officers or directors of the Company currently are parties to any short-selling transactions with respect to any shares of Common Stock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Stock Ownership Policy</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Stock Ownership Policy for Directors</w:t>
      </w:r>
      <w:r>
        <w:rPr>
          <w:rFonts w:ascii="Arial" w:cs="Arial" w:eastAsia="Arial" w:hAnsi="Arial"/>
          <w:sz w:val="20"/>
          <w:szCs w:val="20"/>
          <w:color w:val="auto"/>
        </w:rPr>
        <w:t>. The Company’s stock ownership policy provides that all non-employee directors are required to acquire (and thereafter throughout the term of appointment maintain ownership of) a minimum number of shares of Common Stock with a value equal to three times the annual retainer received by them as directors within five years of the later of (1) the adoption of this stock ownership policy, or (2) their respective appointment or initial election. All of the directors are currently or are expected to be in compliance with our stock ownership policy in accordance with the time frame requirements.</w:t>
      </w:r>
    </w:p>
    <w:p>
      <w:pPr>
        <w:spacing w:after="0" w:line="6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u w:val="single" w:color="auto"/>
          <w:color w:val="auto"/>
        </w:rPr>
        <w:t>Stock Ownership Policy for Executive Officers</w:t>
      </w:r>
      <w:r>
        <w:rPr>
          <w:rFonts w:ascii="Arial" w:cs="Arial" w:eastAsia="Arial" w:hAnsi="Arial"/>
          <w:sz w:val="20"/>
          <w:szCs w:val="20"/>
          <w:color w:val="auto"/>
        </w:rPr>
        <w:t>. The Company’s stock ownership policy provides that all individuals holding the positions with the Company listed below are required to acquire (and thereafter throughout the term of employment maintain ownership of) a minimum number of shares of Common Stock with a value equal to the multiple of such executive officer’s annual base salary (excluding bonus) within five years of the later of (1) the adoption of this stock ownership policy, or (2) their respective appointment (other than a newly-appointed Chief Executive Officer, who has seven years to comply),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Position</w:t>
            </w:r>
          </w:p>
        </w:tc>
        <w:tc>
          <w:tcPr>
            <w:tcW w:w="7000" w:type="dxa"/>
            <w:vAlign w:val="bottom"/>
            <w:tcBorders>
              <w:top w:val="single" w:sz="8" w:color="005CA9"/>
            </w:tcBorders>
          </w:tcPr>
          <w:p>
            <w:pPr>
              <w:ind w:left="720"/>
              <w:spacing w:after="0"/>
              <w:rPr>
                <w:sz w:val="20"/>
                <w:szCs w:val="20"/>
                <w:color w:val="auto"/>
              </w:rPr>
            </w:pPr>
            <w:r>
              <w:rPr>
                <w:rFonts w:ascii="Arial" w:cs="Arial" w:eastAsia="Arial" w:hAnsi="Arial"/>
                <w:sz w:val="20"/>
                <w:szCs w:val="20"/>
                <w:b w:val="1"/>
                <w:bCs w:val="1"/>
                <w:color w:val="auto"/>
              </w:rPr>
              <w:t>Multiple of Salary</w:t>
            </w:r>
          </w:p>
        </w:tc>
      </w:tr>
      <w:tr>
        <w:trPr>
          <w:trHeight w:val="68"/>
        </w:trPr>
        <w:tc>
          <w:tcPr>
            <w:tcW w:w="4240" w:type="dxa"/>
            <w:vAlign w:val="bottom"/>
            <w:shd w:val="clear" w:color="auto" w:fill="005CA9"/>
          </w:tcPr>
          <w:p>
            <w:pPr>
              <w:spacing w:after="0"/>
              <w:rPr>
                <w:sz w:val="5"/>
                <w:szCs w:val="5"/>
                <w:color w:val="auto"/>
              </w:rPr>
            </w:pPr>
          </w:p>
        </w:tc>
        <w:tc>
          <w:tcPr>
            <w:tcW w:w="7000" w:type="dxa"/>
            <w:vAlign w:val="bottom"/>
            <w:shd w:val="clear" w:color="auto" w:fill="005CA9"/>
          </w:tcPr>
          <w:p>
            <w:pPr>
              <w:spacing w:after="0"/>
              <w:rPr>
                <w:sz w:val="5"/>
                <w:szCs w:val="5"/>
                <w:color w:val="auto"/>
              </w:rPr>
            </w:pPr>
          </w:p>
        </w:tc>
      </w:tr>
      <w:tr>
        <w:trPr>
          <w:trHeight w:val="216"/>
        </w:trPr>
        <w:tc>
          <w:tcPr>
            <w:tcW w:w="424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Chief Executive Officer of the Company</w:t>
            </w:r>
          </w:p>
        </w:tc>
        <w:tc>
          <w:tcPr>
            <w:tcW w:w="7000" w:type="dxa"/>
            <w:vAlign w:val="bottom"/>
            <w:shd w:val="clear" w:color="auto" w:fill="CFF0FC"/>
          </w:tcPr>
          <w:p>
            <w:pPr>
              <w:ind w:left="780"/>
              <w:spacing w:after="0" w:line="216" w:lineRule="exact"/>
              <w:rPr>
                <w:sz w:val="20"/>
                <w:szCs w:val="20"/>
                <w:color w:val="auto"/>
              </w:rPr>
            </w:pPr>
            <w:r>
              <w:rPr>
                <w:rFonts w:ascii="Arial" w:cs="Arial" w:eastAsia="Arial" w:hAnsi="Arial"/>
                <w:sz w:val="20"/>
                <w:szCs w:val="20"/>
                <w:color w:val="auto"/>
              </w:rPr>
              <w:t>Six times annual base salary (excluding bonus)</w:t>
            </w:r>
          </w:p>
        </w:tc>
      </w:tr>
      <w:tr>
        <w:trPr>
          <w:trHeight w:val="216"/>
        </w:trPr>
        <w:tc>
          <w:tcPr>
            <w:tcW w:w="4240" w:type="dxa"/>
            <w:vAlign w:val="bottom"/>
            <w:tcBorders>
              <w:bottom w:val="single" w:sz="8" w:color="4F81BD"/>
            </w:tcBorders>
          </w:tcPr>
          <w:p>
            <w:pPr>
              <w:ind w:left="60"/>
              <w:spacing w:after="0" w:line="216" w:lineRule="exact"/>
              <w:rPr>
                <w:sz w:val="20"/>
                <w:szCs w:val="20"/>
                <w:color w:val="auto"/>
              </w:rPr>
            </w:pPr>
            <w:r>
              <w:rPr>
                <w:rFonts w:ascii="Arial" w:cs="Arial" w:eastAsia="Arial" w:hAnsi="Arial"/>
                <w:sz w:val="20"/>
                <w:szCs w:val="20"/>
                <w:color w:val="auto"/>
              </w:rPr>
              <w:t>Board appointed executive officer</w:t>
            </w:r>
          </w:p>
        </w:tc>
        <w:tc>
          <w:tcPr>
            <w:tcW w:w="7000" w:type="dxa"/>
            <w:vAlign w:val="bottom"/>
            <w:tcBorders>
              <w:bottom w:val="single" w:sz="8" w:color="4F81BD"/>
            </w:tcBorders>
          </w:tcPr>
          <w:p>
            <w:pPr>
              <w:ind w:left="780"/>
              <w:spacing w:after="0" w:line="216" w:lineRule="exact"/>
              <w:rPr>
                <w:sz w:val="20"/>
                <w:szCs w:val="20"/>
                <w:color w:val="auto"/>
              </w:rPr>
            </w:pPr>
            <w:r>
              <w:rPr>
                <w:rFonts w:ascii="Arial" w:cs="Arial" w:eastAsia="Arial" w:hAnsi="Arial"/>
                <w:sz w:val="20"/>
                <w:szCs w:val="20"/>
                <w:color w:val="auto"/>
              </w:rPr>
              <w:t>Two times annual base salary (excluding bonus)</w:t>
            </w:r>
          </w:p>
        </w:tc>
      </w:tr>
    </w:tbl>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of the executive officers are currently or are expected to be in compliance with our stock ownership policy in accordance with the time frame requirements.</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0" w:name="page21"/>
    <w:bookmarkEnd w:id="20"/>
    <w:p>
      <w:pPr>
        <w:jc w:val="both"/>
        <w:spacing w:after="0" w:line="243" w:lineRule="auto"/>
        <w:rPr>
          <w:sz w:val="20"/>
          <w:szCs w:val="20"/>
          <w:color w:val="auto"/>
        </w:rPr>
      </w:pPr>
      <w:r>
        <w:rPr>
          <w:rFonts w:ascii="Arial" w:cs="Arial" w:eastAsia="Arial" w:hAnsi="Arial"/>
          <w:sz w:val="19"/>
          <w:szCs w:val="19"/>
          <w:color w:val="auto"/>
        </w:rPr>
        <w:t>For purposes of this stock ownership policy, stock ownership includes any shares owned by an executive officer or director or his or her immediate family members or held by him or her as part of a tax or estate plan in which the executive officer or director retains beneficial ownership. The value of shares held is calculated once per year, on the last business day of the fiscal year. For purposes of determining compliance with this stock ownership policy, “value” means an assumed per share value based on the closing price of Common Stock on the last business day of the fiscal year. An executive officer or director subject to this stock ownership policy is not required to acquire shares of Common Stock in accordance with this policy if acquisition at such time would result in a violation of the Company’s insider trading policy, in which event the executive officer or director is required to comply with this stock ownership policy as soon as reasonably feasible thereafter. A hardship exception is available at the discretion of the Compensation Committee, but no exceptions have been solicited or granted to date.</w:t>
      </w:r>
    </w:p>
    <w:p>
      <w:pPr>
        <w:spacing w:after="0" w:line="6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If any executive officer or director is determined to own less than the minimum number of shares of Common Stock, such executive officer or director shall have the two open periods after the two subsequent “Blackout Periods” to obtain the minimum number of shares of Common Stock. Blackout Period is (i) a period starting on the fifteenth day of the third month in the first calendar quarter and the period starting on the first day of the third month in the second, third, and fourth calendar quarters (i.e. March 15, June 1, September 1, December 1) and ending two business days after earnings for that quarter have been publicly released (trading of the Company’s securities can begin on the third day after announcement); and (ii) any other period of significant corporate activity designated from time to time by the Company.</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Stock Retention Policy</w:t>
      </w:r>
    </w:p>
    <w:p>
      <w:pPr>
        <w:spacing w:after="0" w:line="10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addition to the stock ownership policy described above, under which each executive officer or director must maintain a certain multiple of his or her annual base salary or annual retainer throughout the term of employment or appointment, each executive officer or director who acquires shares of our Common Stock through the exercise of a stock option is required to retain 33% of the “net” shares acquired (</w:t>
      </w:r>
      <w:r>
        <w:rPr>
          <w:rFonts w:ascii="Arial" w:cs="Arial" w:eastAsia="Arial" w:hAnsi="Arial"/>
          <w:sz w:val="20"/>
          <w:szCs w:val="20"/>
          <w:i w:val="1"/>
          <w:iCs w:val="1"/>
          <w:color w:val="auto"/>
        </w:rPr>
        <w:t>i.e.</w:t>
      </w:r>
      <w:r>
        <w:rPr>
          <w:rFonts w:ascii="Arial" w:cs="Arial" w:eastAsia="Arial" w:hAnsi="Arial"/>
          <w:sz w:val="20"/>
          <w:szCs w:val="20"/>
          <w:color w:val="auto"/>
        </w:rPr>
        <w:t>, net of the tax impact of the stock option exercise) until the earlier to occur of the first anniversary of the date of exercise or the date the individual ceases to be an executive officer or director. This stock retention policy only applies to stock option grants awarded to executives.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Recoupment of Compensation</w:t>
      </w:r>
    </w:p>
    <w:p>
      <w:pPr>
        <w:spacing w:after="0" w:line="10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Pursuant to our Policy Regarding Recoupment of Executive Compensation (“Clawback Policy”), in the event the Company is required to prepare an accounting restatement due to the Company's material noncompliance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will recover reasonably promptly from each Covered Officer (as defined in the Clawback Policy) the Covered Compensation (as defined in the Clawback Policy) received by such Covered Officer. If a Clawback Exception (as defined in the Clawback Policy) applies, the Company may forgo such recovery under the Clawback Policy.</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 copy of our Clawback Policy and other corporate policies are available on the Company’s website, at www.diodes.com, in the “Investors – Corporate Governance” section.</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18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005CA9"/>
        </w:rPr>
        <w:t>Equity Award Grant Practices</w:t>
      </w:r>
    </w:p>
    <w:p>
      <w:pPr>
        <w:spacing w:after="0" w:line="10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Equity awards are discretionary and are generally granted to our named executive officers during the first week of February of the applicable fiscal year. In certain circumstances, including the hiring or promotion of an officer, the Compensation Committee may approve grants to be effective at other times. The Company does not currently grant stock options to its employees. The Compensation Committee did not take material nonpublic information into account when determining the timing and terms of equity awards in 2025, and the Company does not time the disclosure of material nonpublic information for the purpose of affecting the value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Commitment - Embracing Sustainability for the Future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The Company's commitment to sustainability is represented in our core values of integrity, commitment, and innovation.</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strives for environmental sustainability, social responsibility, responsible sourcing, and corporate citizenship to have a sustainable operation and a long-term, positive impact on our stakeholders: investors, customers, employees, suppliers, and our communities.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adopts a stakeholder-oriented approach to governance and is committed to conducting an ethical, lawful, profitable, and sustainable business that creates value over the long term.</w:t>
      </w:r>
    </w:p>
    <w:p>
      <w:pPr>
        <w:spacing w:after="0" w:line="4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Through our extensive sales and distribution network we provide customers around the globe with a broad portfolio of innovative semiconductor products that help our customers develop energy-efficient and eco-friendly end applications.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It is the Company's firm belief that our stakeholders’ well-being is supported by sustainability considerations and such considerations are integral to our ongoing organizational success and operational resilience.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The Company's sustainability report is available at: https://www.diodes.com/about/company/sustainability/.</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Environment - Environmental Stewardship and Resource Conservation Initiatives</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Environmental responsibility is integral to producing world-class products. We understand the impact our operations have on the environment, our communities, and the health and safety of our employees and suppliers. We are committed to ensuring environmentally sustainable business practices and to helping minimize the environmental impact of our supply chain.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Details on our energy, water, waste, and greenhouse gas emissions management can be found in our sustainability report.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Supply Chain - Responsible Supply Chain Management</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strive for environmental sustainability, social responsibility, corporate citizenship, and responsible sourcing to have a long-term, positive impact on our operations and stakeholders. These corporate responsibility expectations are incorporated into the business processes we use with our suppliers so as to maintain and improve supply chain accountability.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With our strong commitment to operating our business in a sustainable and socially responsible manner, we expect our suppliers to join us in this commitment, and to conduct their businesses based on this shared set of values and principles.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Read more about how we practice it through supplier diversity and inclusion, responsible use of materials, chemicals, and packaging, and conflict materials management.</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Sustainability in the supply chain is built on strong partnerships. We expect our suppliers to adhere to our Supplier Code of Conduct.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Social Responsibility - Stakeholder Engagement and Social Responsibility</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committed to operating with a strong sense of integrity and believe it to be critical to maintaining trust and credibility with our stakeholders: communities, employees, suppliers, customers, and investors. Beyond this, we recognize</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19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20"/>
          <w:szCs w:val="20"/>
          <w:color w:val="auto"/>
        </w:rPr>
        <w:t>the impact of managing our business in alignment with global society. Learn more about how we’re working to deliver on this through sustainable products, community engagement, and charitable giving.</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People - Human Capital Management</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As an international semiconductor company with a global footprint, we recognize the important role people play in a talent-based economy, and the impact they have on our long-term strategic success and sustainable growth. Our employees are our most critical asset—they contribute to our financial success for the benefit of all our stakeholders, they fuel the engine of product innovation, and they are collaborators and contributors to the success of the communities in which we live and work.</w:t>
      </w:r>
    </w:p>
    <w:p>
      <w:pPr>
        <w:spacing w:after="0" w:line="118" w:lineRule="exact"/>
        <w:rPr>
          <w:sz w:val="20"/>
          <w:szCs w:val="20"/>
          <w:color w:val="auto"/>
        </w:rPr>
      </w:pPr>
    </w:p>
    <w:p>
      <w:pPr>
        <w:jc w:val="both"/>
        <w:ind w:right="340"/>
        <w:spacing w:after="0" w:line="241" w:lineRule="auto"/>
        <w:rPr>
          <w:sz w:val="20"/>
          <w:szCs w:val="20"/>
          <w:color w:val="auto"/>
        </w:rPr>
      </w:pPr>
      <w:r>
        <w:rPr>
          <w:rFonts w:ascii="Arial" w:cs="Arial" w:eastAsia="Arial" w:hAnsi="Arial"/>
          <w:sz w:val="20"/>
          <w:szCs w:val="20"/>
          <w:color w:val="auto"/>
        </w:rPr>
        <w:t>We are focused on building and maintaining a sustainable workforce because a reliable workforce that can deliver consistent output helps drive greater business results. Our support to the workforce includes our employee health, safety, and wellness programs, diversity and inclusion initiatives, and employee development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Governance - Our Corporate Governance Approach</w:t>
      </w:r>
    </w:p>
    <w:p>
      <w:pPr>
        <w:spacing w:after="0" w:line="10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Our approach to sustainability and financial integrity is built on the foundation of an effective corporate governance structure. We integrate transparency and accountability in our corporate governance practices, and incorporate sustainability into our corporate governance objectives. A strong corporate governance framework and associated practices are critical to earnings, and to retaining the trust of our investors and other stakeholders. We have several resources to illustrate our corporate governance practices—please refer to the highlights and the fact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EXECUTIVE OFFICERS OF THE COMPANY</w:t>
      </w:r>
    </w:p>
    <w:p>
      <w:pPr>
        <w:spacing w:after="0" w:line="6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following table and discussion sets forth certain biographical information concerning the Company’s executive officers as of the Record Date. None of the executive officers were selected to serve as officers pursuant to any arrangement or understanding with any other person. Executive officers serve at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Name</w:t>
            </w:r>
          </w:p>
        </w:tc>
        <w:tc>
          <w:tcPr>
            <w:tcW w:w="760" w:type="dxa"/>
            <w:vAlign w:val="bottom"/>
            <w:tcBorders>
              <w:top w:val="single" w:sz="8" w:color="005CA9"/>
            </w:tcBorders>
          </w:tcPr>
          <w:p>
            <w:pPr>
              <w:jc w:val="center"/>
              <w:ind w:left="21"/>
              <w:spacing w:after="0"/>
              <w:rPr>
                <w:sz w:val="20"/>
                <w:szCs w:val="20"/>
                <w:color w:val="auto"/>
              </w:rPr>
            </w:pPr>
            <w:r>
              <w:rPr>
                <w:rFonts w:ascii="Arial" w:cs="Arial" w:eastAsia="Arial" w:hAnsi="Arial"/>
                <w:sz w:val="20"/>
                <w:szCs w:val="20"/>
                <w:b w:val="1"/>
                <w:bCs w:val="1"/>
                <w:color w:val="auto"/>
                <w:w w:val="95"/>
              </w:rPr>
              <w:t>Age</w:t>
            </w:r>
          </w:p>
        </w:tc>
        <w:tc>
          <w:tcPr>
            <w:tcW w:w="8180" w:type="dxa"/>
            <w:vAlign w:val="bottom"/>
            <w:tcBorders>
              <w:top w:val="single" w:sz="8" w:color="005CA9"/>
            </w:tcBorders>
          </w:tcPr>
          <w:p>
            <w:pPr>
              <w:ind w:left="140"/>
              <w:spacing w:after="0"/>
              <w:rPr>
                <w:sz w:val="20"/>
                <w:szCs w:val="20"/>
                <w:color w:val="auto"/>
              </w:rPr>
            </w:pPr>
            <w:r>
              <w:rPr>
                <w:rFonts w:ascii="Arial" w:cs="Arial" w:eastAsia="Arial" w:hAnsi="Arial"/>
                <w:sz w:val="20"/>
                <w:szCs w:val="20"/>
                <w:b w:val="1"/>
                <w:bCs w:val="1"/>
                <w:color w:val="auto"/>
              </w:rPr>
              <w:t>Position with the Company</w:t>
            </w:r>
          </w:p>
        </w:tc>
        <w:tc>
          <w:tcPr>
            <w:tcW w:w="0" w:type="dxa"/>
            <w:vAlign w:val="bottom"/>
          </w:tcPr>
          <w:p>
            <w:pPr>
              <w:spacing w:after="0"/>
              <w:rPr>
                <w:sz w:val="1"/>
                <w:szCs w:val="1"/>
                <w:color w:val="auto"/>
              </w:rPr>
            </w:pPr>
          </w:p>
        </w:tc>
      </w:tr>
      <w:tr>
        <w:trPr>
          <w:trHeight w:val="68"/>
        </w:trPr>
        <w:tc>
          <w:tcPr>
            <w:tcW w:w="2300" w:type="dxa"/>
            <w:vAlign w:val="bottom"/>
            <w:shd w:val="clear" w:color="auto" w:fill="005CA9"/>
          </w:tcPr>
          <w:p>
            <w:pPr>
              <w:spacing w:after="0"/>
              <w:rPr>
                <w:sz w:val="5"/>
                <w:szCs w:val="5"/>
                <w:color w:val="auto"/>
              </w:rPr>
            </w:pPr>
          </w:p>
        </w:tc>
        <w:tc>
          <w:tcPr>
            <w:tcW w:w="760" w:type="dxa"/>
            <w:vAlign w:val="bottom"/>
            <w:shd w:val="clear" w:color="auto" w:fill="005CA9"/>
          </w:tcPr>
          <w:p>
            <w:pPr>
              <w:spacing w:after="0"/>
              <w:rPr>
                <w:sz w:val="5"/>
                <w:szCs w:val="5"/>
                <w:color w:val="auto"/>
              </w:rPr>
            </w:pPr>
          </w:p>
        </w:tc>
        <w:tc>
          <w:tcPr>
            <w:tcW w:w="8180" w:type="dxa"/>
            <w:vAlign w:val="bottom"/>
            <w:shd w:val="clear" w:color="auto" w:fill="005CA9"/>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Dr. Keh-Shew Lu</w:t>
            </w:r>
            <w:r>
              <w:rPr>
                <w:rFonts w:ascii="Arial" w:cs="Arial" w:eastAsia="Arial" w:hAnsi="Arial"/>
                <w:sz w:val="25"/>
                <w:szCs w:val="25"/>
                <w:color w:val="auto"/>
                <w:vertAlign w:val="superscript"/>
              </w:rPr>
              <w:t>(1) (2)</w:t>
            </w:r>
          </w:p>
        </w:tc>
        <w:tc>
          <w:tcPr>
            <w:tcW w:w="760" w:type="dxa"/>
            <w:vAlign w:val="bottom"/>
            <w:shd w:val="clear" w:color="auto" w:fill="CFF0FC"/>
          </w:tcPr>
          <w:p>
            <w:pPr>
              <w:jc w:val="center"/>
              <w:ind w:left="41"/>
              <w:spacing w:after="0" w:line="216" w:lineRule="exact"/>
              <w:rPr>
                <w:sz w:val="20"/>
                <w:szCs w:val="20"/>
                <w:color w:val="auto"/>
              </w:rPr>
            </w:pPr>
            <w:r>
              <w:rPr>
                <w:rFonts w:ascii="Arial" w:cs="Arial" w:eastAsia="Arial" w:hAnsi="Arial"/>
                <w:sz w:val="20"/>
                <w:szCs w:val="20"/>
                <w:color w:val="auto"/>
                <w:w w:val="98"/>
              </w:rPr>
              <w:t>79</w:t>
            </w:r>
          </w:p>
        </w:tc>
        <w:tc>
          <w:tcPr>
            <w:tcW w:w="818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Chairman of the Board and former Chief Executive Officer</w:t>
            </w:r>
          </w:p>
        </w:tc>
        <w:tc>
          <w:tcPr>
            <w:tcW w:w="0" w:type="dxa"/>
            <w:vAlign w:val="bottom"/>
          </w:tcPr>
          <w:p>
            <w:pPr>
              <w:spacing w:after="0"/>
              <w:rPr>
                <w:sz w:val="1"/>
                <w:szCs w:val="1"/>
                <w:color w:val="auto"/>
              </w:rPr>
            </w:pPr>
          </w:p>
        </w:tc>
      </w:tr>
      <w:tr>
        <w:trPr>
          <w:trHeight w:val="216"/>
        </w:trPr>
        <w:tc>
          <w:tcPr>
            <w:tcW w:w="2300" w:type="dxa"/>
            <w:vAlign w:val="bottom"/>
          </w:tcPr>
          <w:p>
            <w:pPr>
              <w:spacing w:after="0" w:line="216" w:lineRule="exact"/>
              <w:rPr>
                <w:sz w:val="20"/>
                <w:szCs w:val="20"/>
                <w:color w:val="auto"/>
              </w:rPr>
            </w:pPr>
            <w:r>
              <w:rPr>
                <w:rFonts w:ascii="Arial" w:cs="Arial" w:eastAsia="Arial" w:hAnsi="Arial"/>
                <w:sz w:val="19"/>
                <w:szCs w:val="19"/>
                <w:color w:val="auto"/>
              </w:rPr>
              <w:t>Gary Yu</w:t>
            </w:r>
            <w:r>
              <w:rPr>
                <w:rFonts w:ascii="Arial" w:cs="Arial" w:eastAsia="Arial" w:hAnsi="Arial"/>
                <w:sz w:val="25"/>
                <w:szCs w:val="25"/>
                <w:color w:val="auto"/>
                <w:vertAlign w:val="superscript"/>
              </w:rPr>
              <w:t>(1) (2)</w:t>
            </w:r>
          </w:p>
        </w:tc>
        <w:tc>
          <w:tcPr>
            <w:tcW w:w="76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8"/>
              </w:rPr>
              <w:t>53</w:t>
            </w:r>
          </w:p>
        </w:tc>
        <w:tc>
          <w:tcPr>
            <w:tcW w:w="8180" w:type="dxa"/>
            <w:vAlign w:val="bottom"/>
          </w:tcPr>
          <w:p>
            <w:pPr>
              <w:ind w:left="140"/>
              <w:spacing w:after="0" w:line="216" w:lineRule="exact"/>
              <w:rPr>
                <w:sz w:val="20"/>
                <w:szCs w:val="20"/>
                <w:color w:val="auto"/>
              </w:rPr>
            </w:pPr>
            <w:r>
              <w:rPr>
                <w:rFonts w:ascii="Arial" w:cs="Arial" w:eastAsia="Arial" w:hAnsi="Arial"/>
                <w:sz w:val="20"/>
                <w:szCs w:val="20"/>
                <w:color w:val="auto"/>
              </w:rPr>
              <w:t>President and Chief Executive Officer</w:t>
            </w: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Brett R. Whitmire</w:t>
            </w:r>
          </w:p>
        </w:tc>
        <w:tc>
          <w:tcPr>
            <w:tcW w:w="760" w:type="dxa"/>
            <w:vAlign w:val="bottom"/>
            <w:shd w:val="clear" w:color="auto" w:fill="CFF0FC"/>
          </w:tcPr>
          <w:p>
            <w:pPr>
              <w:jc w:val="center"/>
              <w:ind w:left="41"/>
              <w:spacing w:after="0" w:line="216" w:lineRule="exact"/>
              <w:rPr>
                <w:sz w:val="20"/>
                <w:szCs w:val="20"/>
                <w:color w:val="auto"/>
              </w:rPr>
            </w:pPr>
            <w:r>
              <w:rPr>
                <w:rFonts w:ascii="Arial" w:cs="Arial" w:eastAsia="Arial" w:hAnsi="Arial"/>
                <w:sz w:val="20"/>
                <w:szCs w:val="20"/>
                <w:color w:val="auto"/>
                <w:w w:val="98"/>
              </w:rPr>
              <w:t>60</w:t>
            </w:r>
          </w:p>
        </w:tc>
        <w:tc>
          <w:tcPr>
            <w:tcW w:w="818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16"/>
        </w:trPr>
        <w:tc>
          <w:tcPr>
            <w:tcW w:w="2300" w:type="dxa"/>
            <w:vAlign w:val="bottom"/>
          </w:tcPr>
          <w:p>
            <w:pPr>
              <w:spacing w:after="0" w:line="216" w:lineRule="exact"/>
              <w:rPr>
                <w:sz w:val="20"/>
                <w:szCs w:val="20"/>
                <w:color w:val="auto"/>
              </w:rPr>
            </w:pPr>
            <w:r>
              <w:rPr>
                <w:rFonts w:ascii="Arial" w:cs="Arial" w:eastAsia="Arial" w:hAnsi="Arial"/>
                <w:sz w:val="20"/>
                <w:szCs w:val="20"/>
                <w:color w:val="auto"/>
              </w:rPr>
              <w:t>Francis Tang</w:t>
            </w:r>
          </w:p>
        </w:tc>
        <w:tc>
          <w:tcPr>
            <w:tcW w:w="76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8"/>
              </w:rPr>
              <w:t>71</w:t>
            </w:r>
          </w:p>
        </w:tc>
        <w:tc>
          <w:tcPr>
            <w:tcW w:w="8180" w:type="dxa"/>
            <w:vAlign w:val="bottom"/>
          </w:tcPr>
          <w:p>
            <w:pPr>
              <w:ind w:left="140"/>
              <w:spacing w:after="0" w:line="216" w:lineRule="exact"/>
              <w:rPr>
                <w:sz w:val="20"/>
                <w:szCs w:val="20"/>
                <w:color w:val="auto"/>
              </w:rPr>
            </w:pPr>
            <w:r>
              <w:rPr>
                <w:rFonts w:ascii="Arial" w:cs="Arial" w:eastAsia="Arial" w:hAnsi="Arial"/>
                <w:sz w:val="20"/>
                <w:szCs w:val="20"/>
                <w:color w:val="auto"/>
              </w:rPr>
              <w:t>Chief Technology Officer</w:t>
            </w: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Andy (Kuo-Ting) Tsong</w:t>
            </w:r>
          </w:p>
        </w:tc>
        <w:tc>
          <w:tcPr>
            <w:tcW w:w="760" w:type="dxa"/>
            <w:vAlign w:val="bottom"/>
            <w:shd w:val="clear" w:color="auto" w:fill="CFF0FC"/>
          </w:tcPr>
          <w:p>
            <w:pPr>
              <w:jc w:val="center"/>
              <w:ind w:left="41"/>
              <w:spacing w:after="0" w:line="216" w:lineRule="exact"/>
              <w:rPr>
                <w:sz w:val="20"/>
                <w:szCs w:val="20"/>
                <w:color w:val="auto"/>
              </w:rPr>
            </w:pPr>
            <w:r>
              <w:rPr>
                <w:rFonts w:ascii="Arial" w:cs="Arial" w:eastAsia="Arial" w:hAnsi="Arial"/>
                <w:sz w:val="20"/>
                <w:szCs w:val="20"/>
                <w:color w:val="auto"/>
                <w:w w:val="98"/>
              </w:rPr>
              <w:t>58</w:t>
            </w:r>
          </w:p>
        </w:tc>
        <w:tc>
          <w:tcPr>
            <w:tcW w:w="818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Senior Vice President, Worldwide Products Group</w:t>
            </w:r>
          </w:p>
        </w:tc>
        <w:tc>
          <w:tcPr>
            <w:tcW w:w="0" w:type="dxa"/>
            <w:vAlign w:val="bottom"/>
          </w:tcPr>
          <w:p>
            <w:pPr>
              <w:spacing w:after="0"/>
              <w:rPr>
                <w:sz w:val="1"/>
                <w:szCs w:val="1"/>
                <w:color w:val="auto"/>
              </w:rPr>
            </w:pPr>
          </w:p>
        </w:tc>
      </w:tr>
      <w:tr>
        <w:trPr>
          <w:trHeight w:val="216"/>
        </w:trPr>
        <w:tc>
          <w:tcPr>
            <w:tcW w:w="2300" w:type="dxa"/>
            <w:vAlign w:val="bottom"/>
          </w:tcPr>
          <w:p>
            <w:pPr>
              <w:spacing w:after="0" w:line="216" w:lineRule="exact"/>
              <w:rPr>
                <w:sz w:val="20"/>
                <w:szCs w:val="20"/>
                <w:color w:val="auto"/>
              </w:rPr>
            </w:pPr>
            <w:r>
              <w:rPr>
                <w:rFonts w:ascii="Arial" w:cs="Arial" w:eastAsia="Arial" w:hAnsi="Arial"/>
                <w:sz w:val="20"/>
                <w:szCs w:val="20"/>
                <w:color w:val="auto"/>
              </w:rPr>
              <w:t>Richard D. White</w:t>
            </w:r>
          </w:p>
        </w:tc>
        <w:tc>
          <w:tcPr>
            <w:tcW w:w="760" w:type="dxa"/>
            <w:vAlign w:val="bottom"/>
          </w:tcPr>
          <w:p>
            <w:pPr>
              <w:jc w:val="center"/>
              <w:ind w:left="41"/>
              <w:spacing w:after="0" w:line="216" w:lineRule="exact"/>
              <w:rPr>
                <w:sz w:val="20"/>
                <w:szCs w:val="20"/>
                <w:color w:val="auto"/>
              </w:rPr>
            </w:pPr>
            <w:r>
              <w:rPr>
                <w:rFonts w:ascii="Arial" w:cs="Arial" w:eastAsia="Arial" w:hAnsi="Arial"/>
                <w:sz w:val="20"/>
                <w:szCs w:val="20"/>
                <w:color w:val="auto"/>
                <w:w w:val="98"/>
              </w:rPr>
              <w:t>78</w:t>
            </w:r>
          </w:p>
        </w:tc>
        <w:tc>
          <w:tcPr>
            <w:tcW w:w="8180" w:type="dxa"/>
            <w:vAlign w:val="bottom"/>
          </w:tcPr>
          <w:p>
            <w:pPr>
              <w:ind w:left="140"/>
              <w:spacing w:after="0" w:line="216" w:lineRule="exact"/>
              <w:rPr>
                <w:sz w:val="20"/>
                <w:szCs w:val="20"/>
                <w:color w:val="auto"/>
              </w:rPr>
            </w:pPr>
            <w:r>
              <w:rPr>
                <w:rFonts w:ascii="Arial" w:cs="Arial" w:eastAsia="Arial" w:hAnsi="Arial"/>
                <w:sz w:val="20"/>
                <w:szCs w:val="20"/>
                <w:color w:val="auto"/>
              </w:rPr>
              <w:t>Corporate Secretary and Special Assistant to the Chief Executive Officer</w:t>
            </w: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Emily Yang</w:t>
            </w:r>
          </w:p>
        </w:tc>
        <w:tc>
          <w:tcPr>
            <w:tcW w:w="760" w:type="dxa"/>
            <w:vAlign w:val="bottom"/>
            <w:shd w:val="clear" w:color="auto" w:fill="CFF0FC"/>
          </w:tcPr>
          <w:p>
            <w:pPr>
              <w:jc w:val="center"/>
              <w:ind w:left="41"/>
              <w:spacing w:after="0" w:line="216" w:lineRule="exact"/>
              <w:rPr>
                <w:sz w:val="20"/>
                <w:szCs w:val="20"/>
                <w:color w:val="auto"/>
              </w:rPr>
            </w:pPr>
            <w:r>
              <w:rPr>
                <w:rFonts w:ascii="Arial" w:cs="Arial" w:eastAsia="Arial" w:hAnsi="Arial"/>
                <w:sz w:val="20"/>
                <w:szCs w:val="20"/>
                <w:color w:val="auto"/>
                <w:w w:val="98"/>
              </w:rPr>
              <w:t>57</w:t>
            </w:r>
          </w:p>
        </w:tc>
        <w:tc>
          <w:tcPr>
            <w:tcW w:w="8180" w:type="dxa"/>
            <w:vAlign w:val="bottom"/>
            <w:shd w:val="clear" w:color="auto" w:fill="CFF0FC"/>
          </w:tcPr>
          <w:p>
            <w:pPr>
              <w:ind w:left="140"/>
              <w:spacing w:after="0" w:line="216" w:lineRule="exact"/>
              <w:rPr>
                <w:sz w:val="20"/>
                <w:szCs w:val="20"/>
                <w:color w:val="auto"/>
              </w:rPr>
            </w:pPr>
            <w:r>
              <w:rPr>
                <w:rFonts w:ascii="Arial" w:cs="Arial" w:eastAsia="Arial" w:hAnsi="Arial"/>
                <w:sz w:val="20"/>
                <w:szCs w:val="20"/>
                <w:color w:val="auto"/>
              </w:rPr>
              <w:t>Senior Vice President, Worldwide Sales and Marketing</w:t>
            </w:r>
          </w:p>
        </w:tc>
        <w:tc>
          <w:tcPr>
            <w:tcW w:w="0" w:type="dxa"/>
            <w:vAlign w:val="bottom"/>
          </w:tcPr>
          <w:p>
            <w:pPr>
              <w:spacing w:after="0"/>
              <w:rPr>
                <w:sz w:val="1"/>
                <w:szCs w:val="1"/>
                <w:color w:val="auto"/>
              </w:rPr>
            </w:pPr>
          </w:p>
        </w:tc>
      </w:tr>
      <w:tr>
        <w:trPr>
          <w:trHeight w:val="194"/>
        </w:trPr>
        <w:tc>
          <w:tcPr>
            <w:tcW w:w="2300" w:type="dxa"/>
            <w:vAlign w:val="bottom"/>
            <w:vMerge w:val="restart"/>
          </w:tcPr>
          <w:p>
            <w:pPr>
              <w:spacing w:after="0"/>
              <w:rPr>
                <w:sz w:val="20"/>
                <w:szCs w:val="20"/>
                <w:color w:val="auto"/>
              </w:rPr>
            </w:pPr>
            <w:r>
              <w:rPr>
                <w:rFonts w:ascii="Arial" w:cs="Arial" w:eastAsia="Arial" w:hAnsi="Arial"/>
                <w:sz w:val="20"/>
                <w:szCs w:val="20"/>
                <w:color w:val="auto"/>
              </w:rPr>
              <w:t>Jin Zhao</w:t>
            </w:r>
          </w:p>
        </w:tc>
        <w:tc>
          <w:tcPr>
            <w:tcW w:w="760" w:type="dxa"/>
            <w:vAlign w:val="bottom"/>
            <w:vMerge w:val="restart"/>
          </w:tcPr>
          <w:p>
            <w:pPr>
              <w:jc w:val="center"/>
              <w:ind w:left="41"/>
              <w:spacing w:after="0"/>
              <w:rPr>
                <w:sz w:val="20"/>
                <w:szCs w:val="20"/>
                <w:color w:val="auto"/>
              </w:rPr>
            </w:pPr>
            <w:r>
              <w:rPr>
                <w:rFonts w:ascii="Arial" w:cs="Arial" w:eastAsia="Arial" w:hAnsi="Arial"/>
                <w:sz w:val="20"/>
                <w:szCs w:val="20"/>
                <w:color w:val="auto"/>
                <w:w w:val="98"/>
              </w:rPr>
              <w:t>57</w:t>
            </w:r>
          </w:p>
        </w:tc>
        <w:tc>
          <w:tcPr>
            <w:tcW w:w="8180" w:type="dxa"/>
            <w:vAlign w:val="bottom"/>
          </w:tcPr>
          <w:p>
            <w:pPr>
              <w:ind w:left="140"/>
              <w:spacing w:after="0" w:line="194" w:lineRule="exact"/>
              <w:rPr>
                <w:sz w:val="20"/>
                <w:szCs w:val="20"/>
                <w:color w:val="auto"/>
              </w:rPr>
            </w:pPr>
            <w:r>
              <w:rPr>
                <w:rFonts w:ascii="Arial" w:cs="Arial" w:eastAsia="Arial" w:hAnsi="Arial"/>
                <w:sz w:val="20"/>
                <w:szCs w:val="20"/>
                <w:color w:val="auto"/>
              </w:rPr>
              <w:t>Senior Vice President, Worldwide Manufacturing and Quality, President, Asia Pacific</w:t>
            </w:r>
          </w:p>
        </w:tc>
        <w:tc>
          <w:tcPr>
            <w:tcW w:w="0" w:type="dxa"/>
            <w:vAlign w:val="bottom"/>
          </w:tcPr>
          <w:p>
            <w:pPr>
              <w:spacing w:after="0"/>
              <w:rPr>
                <w:sz w:val="1"/>
                <w:szCs w:val="1"/>
                <w:color w:val="auto"/>
              </w:rPr>
            </w:pPr>
          </w:p>
        </w:tc>
      </w:tr>
      <w:tr>
        <w:trPr>
          <w:trHeight w:val="153"/>
        </w:trPr>
        <w:tc>
          <w:tcPr>
            <w:tcW w:w="23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180" w:type="dxa"/>
            <w:vAlign w:val="bottom"/>
            <w:vMerge w:val="restart"/>
          </w:tcPr>
          <w:p>
            <w:pPr>
              <w:ind w:left="140"/>
              <w:spacing w:after="0"/>
              <w:rPr>
                <w:sz w:val="20"/>
                <w:szCs w:val="20"/>
                <w:color w:val="auto"/>
              </w:rPr>
            </w:pPr>
            <w:r>
              <w:rPr>
                <w:rFonts w:ascii="Arial" w:cs="Arial" w:eastAsia="Arial" w:hAnsi="Arial"/>
                <w:sz w:val="20"/>
                <w:szCs w:val="20"/>
                <w:color w:val="auto"/>
              </w:rPr>
              <w:t>Region</w:t>
            </w: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00" w:hanging="292"/>
        <w:spacing w:after="0"/>
        <w:tabs>
          <w:tab w:leader="none" w:pos="300" w:val="left"/>
        </w:tabs>
        <w:numPr>
          <w:ilvl w:val="0"/>
          <w:numId w:val="15"/>
        </w:numPr>
        <w:rPr>
          <w:rFonts w:ascii="Calibri" w:cs="Calibri" w:eastAsia="Calibri" w:hAnsi="Calibri"/>
          <w:sz w:val="14"/>
          <w:szCs w:val="14"/>
          <w:color w:val="auto"/>
        </w:rPr>
      </w:pPr>
      <w:r>
        <w:rPr>
          <w:rFonts w:ascii="Arial" w:cs="Arial" w:eastAsia="Arial" w:hAnsi="Arial"/>
          <w:sz w:val="14"/>
          <w:szCs w:val="14"/>
          <w:color w:val="auto"/>
        </w:rPr>
        <w:t>See “Proposal One - Election of Directors” for biographical information regarding Dr. Keh-Shew Lu and Mr. Gary Yu.</w:t>
      </w:r>
    </w:p>
    <w:p>
      <w:pPr>
        <w:spacing w:after="0" w:line="5" w:lineRule="exact"/>
        <w:rPr>
          <w:rFonts w:ascii="Calibri" w:cs="Calibri" w:eastAsia="Calibri" w:hAnsi="Calibri"/>
          <w:sz w:val="14"/>
          <w:szCs w:val="14"/>
          <w:color w:val="auto"/>
        </w:rPr>
      </w:pPr>
    </w:p>
    <w:p>
      <w:pPr>
        <w:ind w:left="300" w:hanging="292"/>
        <w:spacing w:after="0"/>
        <w:tabs>
          <w:tab w:leader="none" w:pos="300" w:val="left"/>
        </w:tabs>
        <w:numPr>
          <w:ilvl w:val="0"/>
          <w:numId w:val="15"/>
        </w:numPr>
        <w:rPr>
          <w:rFonts w:ascii="Calibri" w:cs="Calibri" w:eastAsia="Calibri" w:hAnsi="Calibri"/>
          <w:sz w:val="14"/>
          <w:szCs w:val="14"/>
          <w:color w:val="auto"/>
        </w:rPr>
      </w:pPr>
      <w:r>
        <w:rPr>
          <w:rFonts w:ascii="Arial" w:cs="Arial" w:eastAsia="Arial" w:hAnsi="Arial"/>
          <w:sz w:val="14"/>
          <w:szCs w:val="14"/>
          <w:color w:val="auto"/>
        </w:rPr>
        <w:t>Mr. Gary Yu replaced Dr. Keh-Shew Lu as Chief Executive Officer of the Company on May 13, 2025.</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Brett R. Whitmire </w:t>
      </w:r>
      <w:r>
        <w:rPr>
          <w:rFonts w:ascii="Arial" w:cs="Arial" w:eastAsia="Arial" w:hAnsi="Arial"/>
          <w:sz w:val="20"/>
          <w:szCs w:val="20"/>
          <w:i w:val="1"/>
          <w:iCs w:val="1"/>
          <w:color w:val="auto"/>
        </w:rPr>
        <w:t>Chief Financial Officer</w:t>
      </w:r>
    </w:p>
    <w:p>
      <w:pPr>
        <w:spacing w:after="0" w:line="69"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Mr. Whitmire assumed his current position as the Company’s Chief Financial Officer in March 2019. He has 36 years of industry experience and has been with the Company for over 15 years. Prior to being named CFO, he served as the Corporate Controller and Principal Accounting Officer of the Company, and previously served as the Director of Global Supply Chain. Mr. Whitmire worked at Freescale Semiconductor as Chief Financial Officer for the Analog &amp; Sensors Division. He began his career at Texas Instruments in a variety of finance and operations leadership positions including seven years as Vice President while serving as the finance and operations executive for the High Volume Analog &amp; Logic Division and the corporate supply chain head. Mr. Whitmire holds both a bachelor's degree in Mechanical Engineering and an MBA from the University of Texas at Austin.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Francis Tang </w:t>
      </w:r>
      <w:r>
        <w:rPr>
          <w:rFonts w:ascii="Arial" w:cs="Arial" w:eastAsia="Arial" w:hAnsi="Arial"/>
          <w:sz w:val="20"/>
          <w:szCs w:val="20"/>
          <w:i w:val="1"/>
          <w:iCs w:val="1"/>
          <w:color w:val="auto"/>
        </w:rPr>
        <w:t>Chief Technology Officer</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Mr. Tang was appointed Chief Technology Officer in December 2025. He previously served as the Company’s Vice President and Senior Vice President over the Discrete Product group since 2006, and as Global Product Manager in 2005. From 2002 until joining the Company, Mr. Tang served as the general manager of T2 Microelectronics in Shanghai, China, where he managed complex mixed-signal SOC product development. From 1996 to 2001, Mr. Tang was the senior strategic marketing director for Acer Labs, Inc. USA, and prior to that, he was employed by National Semiconductor for 17 years, where he held various management positions in analog and mixed-signal circuit design, applications and strategic marketing. Mr. Tang holds a master’s degree in Electrical Engineering from the University of Missouri at Rolla.</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Andy (Kuo-Ting) Tsong </w:t>
      </w:r>
      <w:r>
        <w:rPr>
          <w:rFonts w:ascii="Arial" w:cs="Arial" w:eastAsia="Arial" w:hAnsi="Arial"/>
          <w:sz w:val="20"/>
          <w:szCs w:val="20"/>
          <w:i w:val="1"/>
          <w:iCs w:val="1"/>
          <w:color w:val="auto"/>
        </w:rPr>
        <w:t>Senior Vice President, Worldwide Products Group</w:t>
      </w:r>
    </w:p>
    <w:p>
      <w:pPr>
        <w:spacing w:after="0" w:line="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Mr. Tsong was appointed to his current position in December 2025. He joined Diodes in 2009 as the Worldwide Design Engineering Manager for the Analog Business Group. In November 2015, he was assigned to lead the newly acquired worldwide Pericom business and held the position of Division Manager for the Precision Timing and Connectivity organization within the Analog Business Group. In November 2020, he was appointed as regional President for the Asia Pacific region with responsibility over non-make functions. In March 2024, he was appointed Senior Vice President, Analog Business Group. Prior to joining Diodes, Mr. Tsong worked for Texas Instruments for over 15 years where he held several key management roles for new product development including System Engineering Manager for High-Speed Interface, Senior Design Manager for Mixed Signal IP Development for ASIC, and Design Manager for High-Speed SERDES Development. Mr. Tsong received a bachelor’s degree in Electrical Engineering from National Chiao Tung University in Taiwan, and a master’s degree in Electrical Engineering from the University of Michigan at Ann Arbor.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Richard D. White </w:t>
      </w:r>
      <w:r>
        <w:rPr>
          <w:rFonts w:ascii="Arial" w:cs="Arial" w:eastAsia="Arial" w:hAnsi="Arial"/>
          <w:sz w:val="20"/>
          <w:szCs w:val="20"/>
          <w:i w:val="1"/>
          <w:iCs w:val="1"/>
          <w:color w:val="auto"/>
        </w:rPr>
        <w:t>Corporate Secretary and Special Assistant to the Chief Executive Officer</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Mr. White was appointed as the Company’s Corporate Secretary and Special Assistant to the Chief Executive Officer in February 2019. Mr. White had previously served as the Company's Chief Financial Officer and Corporate Secretary since</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4" w:name="page25"/>
    <w:bookmarkEnd w:id="24"/>
    <w:p>
      <w:pPr>
        <w:jc w:val="both"/>
        <w:spacing w:after="0" w:line="233" w:lineRule="auto"/>
        <w:rPr>
          <w:sz w:val="20"/>
          <w:szCs w:val="20"/>
          <w:color w:val="auto"/>
        </w:rPr>
      </w:pPr>
      <w:r>
        <w:rPr>
          <w:rFonts w:ascii="Arial" w:cs="Arial" w:eastAsia="Arial" w:hAnsi="Arial"/>
          <w:sz w:val="20"/>
          <w:szCs w:val="20"/>
          <w:color w:val="auto"/>
        </w:rPr>
        <w:t>2009. From 2006 to 2009, he served as Senior Vice President, Finance. Mr. White has over 40 years of senior level finance experience, including 25 years at Texas Instruments, where he served as Vice President of Finance and Production Planning for MOS memory, Controller for TI’s Asia Pacific Division in Singapore, and various other financial positions in the United States, France and Germany. From 1999 to 2005, he served as the Chief Financial Officer for Optisoft, Inc., and from 2005 to 2006, he served as a Partner of Tatum, LLC. Mr. White, a licensed certified public accountant, holds a Bachelor’s degree in Electrical Engineering from Oklahoma State University and an MBA from the University of Michigan.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Emily Yang </w:t>
      </w:r>
      <w:r>
        <w:rPr>
          <w:rFonts w:ascii="Arial" w:cs="Arial" w:eastAsia="Arial" w:hAnsi="Arial"/>
          <w:sz w:val="20"/>
          <w:szCs w:val="20"/>
          <w:i w:val="1"/>
          <w:iCs w:val="1"/>
          <w:color w:val="auto"/>
        </w:rPr>
        <w:t>Senior Vice President, Worldwide Sales and Marketing</w:t>
      </w:r>
    </w:p>
    <w:p>
      <w:pPr>
        <w:spacing w:after="0" w:line="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Ms. Yang was appointed Vice President of Worldwide Sales and Marketing in 2017 and Senior Vice President in November 2020. She has been with the Company since the acquisition of Pericom Semiconductor Corporation in 2015, where she was Vice President of Global Sales. Prior to that, she held a number of sales management positions with Pericom since 1998, including: VP of Sales, NAEU, Contract Manufacturing Sales Director, Western Regional Sales Director, and Strategic Account Sales Director covering Asia, North America, and Europe. Ms. Yang holds a bachelor’s degree in Economics from the University of Toronto.</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Jin Zhao </w:t>
      </w:r>
      <w:r>
        <w:rPr>
          <w:rFonts w:ascii="Arial" w:cs="Arial" w:eastAsia="Arial" w:hAnsi="Arial"/>
          <w:sz w:val="20"/>
          <w:szCs w:val="20"/>
          <w:i w:val="1"/>
          <w:iCs w:val="1"/>
          <w:color w:val="auto"/>
        </w:rPr>
        <w:t>Senior Vice President, Worldwide Manufacturing and Quality, President, Asia Pacific Region</w:t>
      </w:r>
    </w:p>
    <w:p>
      <w:pPr>
        <w:spacing w:after="0" w:line="6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Dr. Zhao was appointed as the Senior Vice President over the Company’s manufacturing and quality functions in December 2025, in addition to serving as the President for the Asia Pacific Region since March 2024. He previously served in the Company’s Analog Business Group as Senior Vice President from November 2020 to March 2024, and before that as the Linear, Logic, and Power Product Division Manager. From 2014 until joining the Company in 2017, Dr. Zhao served as Vice President and in General Manager roles at NXP and Fairchild Semiconductor, managing various product lines including analog interface products and high-voltage discrete products. Dr. Zhao worked at Texas Instruments (TI) from 2001 to 2014, with roles including management of the integrated PMIC and overvoltage protection product lines. Prior to TI, Dr. Zhao worked at AMD Fab25 at Austin, Texas. Dr. Zhao holds a Ph.D. in Chemistry from the State University of New York at Buffalo and an MBA from the University of Texas at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The Report of the Audit Committee of the Board does not constitute soliciting material and shall not be deemed incorporated by reference by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101"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005CA9"/>
        </w:rPr>
        <w:t>AUDIT COMMITTEE REPORT</w:t>
      </w:r>
    </w:p>
    <w:p>
      <w:pPr>
        <w:spacing w:after="0" w:line="3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Board maintains an Audit Committee composed of three of the Company’s directors, who currently are Elizabeth Bull (Chair), Robert E. Feiger, and Huey-Jen (Jenny) Su. Each member of the Audit Committee meets the independence and experience requirements of Nasdaq and the independence requirements of the SEC. Ms. Bull qualifies as an “audit committee financial expert” as defined under the rules of the SEC. The Audit Committee assists the Board in monitoring the accounting, auditing and financial reporting practices of the Company. Mr. Feiger will cease to serve on the Audit Committee upon his retirement from the Board at the Meeting. The Board will name Mr. Feiger’s replacement to the Audit Committee promptly following the Meeting.</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Management is responsible for the preparation of the Company’s financial statements and financial reporting process, including evaluating the effectiveness of its system of internal controls. In fulfilling its oversight responsibilities, the Audit Committee:</w:t>
      </w:r>
    </w:p>
    <w:p>
      <w:pPr>
        <w:spacing w:after="0" w:line="23" w:lineRule="exact"/>
        <w:rPr>
          <w:sz w:val="20"/>
          <w:szCs w:val="20"/>
          <w:color w:val="auto"/>
        </w:rPr>
      </w:pPr>
    </w:p>
    <w:p>
      <w:pPr>
        <w:ind w:left="1020" w:hanging="503"/>
        <w:spacing w:after="0" w:line="256" w:lineRule="auto"/>
        <w:tabs>
          <w:tab w:leader="none" w:pos="102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reviewed and discussed with management the audited financial statements contained in the Company’s Annual Report on Form 10-K for fiscal 2025; and</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16"/>
        </w:numPr>
        <w:rPr>
          <w:rFonts w:ascii="Times New Roman" w:cs="Times New Roman" w:eastAsia="Times New Roman" w:hAnsi="Times New Roman"/>
          <w:sz w:val="20"/>
          <w:szCs w:val="20"/>
          <w:color w:val="auto"/>
        </w:rPr>
      </w:pPr>
      <w:r>
        <w:rPr>
          <w:rFonts w:ascii="Arial" w:cs="Arial" w:eastAsia="Arial" w:hAnsi="Arial"/>
          <w:sz w:val="20"/>
          <w:szCs w:val="20"/>
          <w:color w:val="auto"/>
        </w:rPr>
        <w:t>obtained from management their representation that the Company’s financial statements have been prepared in accordance with accounting principles generally accepted in the United States.</w:t>
      </w:r>
    </w:p>
    <w:p>
      <w:pPr>
        <w:spacing w:after="0" w:line="48"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The independent registered public accounting firm is responsible for performing an audit of the Company’s financial statements in accordance with the auditing standards of the Public Company Accounting Oversight Board and expressing</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25" w:name="page26"/>
    <w:bookmarkEnd w:id="25"/>
    <w:p>
      <w:pPr>
        <w:jc w:val="both"/>
        <w:spacing w:after="0" w:line="237" w:lineRule="auto"/>
        <w:rPr>
          <w:sz w:val="20"/>
          <w:szCs w:val="20"/>
          <w:color w:val="auto"/>
        </w:rPr>
      </w:pPr>
      <w:r>
        <w:rPr>
          <w:rFonts w:ascii="Arial" w:cs="Arial" w:eastAsia="Arial" w:hAnsi="Arial"/>
          <w:sz w:val="20"/>
          <w:szCs w:val="20"/>
          <w:color w:val="auto"/>
        </w:rPr>
        <w:t>an opinion on whether the Company’s financial statements present fairly, in all material respects, the Company’s financial position and results of operations for the periods presented and conform with accounting principles generally accepted in the United States and the effectiveness of the Company’s internal control over financial reporting. In fulfilling its oversight responsibilities, the Audit Committee:</w:t>
      </w:r>
    </w:p>
    <w:p>
      <w:pPr>
        <w:spacing w:after="0" w:line="64" w:lineRule="exact"/>
        <w:rPr>
          <w:sz w:val="20"/>
          <w:szCs w:val="20"/>
          <w:color w:val="auto"/>
        </w:rPr>
      </w:pPr>
    </w:p>
    <w:p>
      <w:pPr>
        <w:ind w:left="1020" w:hanging="503"/>
        <w:spacing w:after="0" w:line="256" w:lineRule="auto"/>
        <w:tabs>
          <w:tab w:leader="none" w:pos="102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discussed with the independent registered public accounting firm the matters required to be discussed by Auditing Standard No. 1301 (“Communications with Audit Committees”);</w:t>
      </w:r>
    </w:p>
    <w:p>
      <w:pPr>
        <w:spacing w:after="0" w:line="48"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the independent registered public accounting firm’s independence; and</w:t>
      </w:r>
    </w:p>
    <w:p>
      <w:pPr>
        <w:spacing w:after="0" w:line="66" w:lineRule="exact"/>
        <w:rPr>
          <w:rFonts w:ascii="Times New Roman" w:cs="Times New Roman" w:eastAsia="Times New Roman" w:hAnsi="Times New Roman"/>
          <w:sz w:val="20"/>
          <w:szCs w:val="20"/>
          <w:color w:val="auto"/>
        </w:rPr>
      </w:pPr>
    </w:p>
    <w:p>
      <w:pPr>
        <w:jc w:val="both"/>
        <w:ind w:left="1020" w:hanging="503"/>
        <w:spacing w:after="0" w:line="236" w:lineRule="auto"/>
        <w:tabs>
          <w:tab w:leader="none" w:pos="1020" w:val="left"/>
        </w:tabs>
        <w:numPr>
          <w:ilvl w:val="0"/>
          <w:numId w:val="17"/>
        </w:numPr>
        <w:rPr>
          <w:rFonts w:ascii="Times New Roman" w:cs="Times New Roman" w:eastAsia="Times New Roman" w:hAnsi="Times New Roman"/>
          <w:sz w:val="20"/>
          <w:szCs w:val="20"/>
          <w:color w:val="auto"/>
        </w:rPr>
      </w:pPr>
      <w:r>
        <w:rPr>
          <w:rFonts w:ascii="Arial" w:cs="Arial" w:eastAsia="Arial" w:hAnsi="Arial"/>
          <w:sz w:val="20"/>
          <w:szCs w:val="20"/>
          <w:color w:val="auto"/>
        </w:rPr>
        <w:t>reviewed and discussed with management, the internal auditor, and the independent registered public accounting firm management’s assessment of the effectiveness of the Company’s internal control over financial reporting and the independent registered public accounting firm’s opinion about the effectiveness of the Company’s internal control over financial reporting.</w:t>
      </w:r>
    </w:p>
    <w:p>
      <w:pPr>
        <w:spacing w:after="0" w:line="67"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Audit Committee operates under a written charter, which was adopted by the Board and is assessed annually for adequacy by the Audit Committee. The Audit Committee held Six (6) meetings during fiscal 2025.</w:t>
      </w:r>
    </w:p>
    <w:p>
      <w:pPr>
        <w:spacing w:after="0" w:line="4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performing its functions, the Audit Committee acts only in an oversight capacity. It is not the responsibility of the Audit Committee to determine that the Company’s financial statements are complete and accurate, are presented in accordance with accounting principles generally accepted in the United States, or present fairly the results of operations of the Company for the periods presented, or that the Company maintains appropriate internal controls. Nor is it the duty of the Audit Committee to determine that the audit of the Company’s financial statements has been carried out in accordance with the generally accepted auditing standards of the Public Company Accounting Oversight Board (United States) or that the Company’s auditors are independent. Based upon the reviews and discussions described above, and the report of the independent registered public accounting firm, the Audit Committee has recommended to the Board, and the Board has approved, that the audited financial statements be included in the Company’s Annual Report on Form 10-K for the fiscal year ended December 31, 2025 for filing with the SEC. The Audit Committee also has recommended, and the Board also has approved, the selection of PricewaterhouseCoopers LLP as the Company’s independent registered public accounting firm for the fiscal year ending December 31, 2026.</w:t>
      </w:r>
    </w:p>
    <w:p>
      <w:pPr>
        <w:spacing w:after="0" w:line="121" w:lineRule="exact"/>
        <w:rPr>
          <w:sz w:val="20"/>
          <w:szCs w:val="20"/>
          <w:color w:val="auto"/>
        </w:rPr>
      </w:pPr>
    </w:p>
    <w:p>
      <w:pPr>
        <w:ind w:left="3360"/>
        <w:spacing w:after="0"/>
        <w:rPr>
          <w:sz w:val="20"/>
          <w:szCs w:val="20"/>
          <w:color w:val="auto"/>
        </w:rPr>
      </w:pPr>
      <w:r>
        <w:rPr>
          <w:rFonts w:ascii="Arial" w:cs="Arial" w:eastAsia="Arial" w:hAnsi="Arial"/>
          <w:sz w:val="20"/>
          <w:szCs w:val="20"/>
          <w:color w:val="auto"/>
        </w:rPr>
        <w:t>THE AUDIT COMMITTEE</w:t>
      </w:r>
    </w:p>
    <w:p>
      <w:pPr>
        <w:ind w:left="3360"/>
        <w:spacing w:after="0" w:line="229" w:lineRule="auto"/>
        <w:rPr>
          <w:sz w:val="20"/>
          <w:szCs w:val="20"/>
          <w:color w:val="auto"/>
        </w:rPr>
      </w:pPr>
      <w:r>
        <w:rPr>
          <w:rFonts w:ascii="Arial" w:cs="Arial" w:eastAsia="Arial" w:hAnsi="Arial"/>
          <w:sz w:val="20"/>
          <w:szCs w:val="20"/>
          <w:color w:val="auto"/>
        </w:rPr>
        <w:t>Elizabeth Bull, Chair</w:t>
      </w:r>
    </w:p>
    <w:p>
      <w:pPr>
        <w:ind w:left="3360"/>
        <w:spacing w:after="0" w:line="226" w:lineRule="auto"/>
        <w:rPr>
          <w:sz w:val="20"/>
          <w:szCs w:val="20"/>
          <w:color w:val="auto"/>
        </w:rPr>
      </w:pPr>
      <w:r>
        <w:rPr>
          <w:rFonts w:ascii="Arial" w:cs="Arial" w:eastAsia="Arial" w:hAnsi="Arial"/>
          <w:sz w:val="20"/>
          <w:szCs w:val="20"/>
          <w:color w:val="auto"/>
        </w:rPr>
        <w:t>Robert E. Feiger</w:t>
      </w:r>
    </w:p>
    <w:p>
      <w:pPr>
        <w:ind w:left="3360"/>
        <w:spacing w:after="0"/>
        <w:rPr>
          <w:sz w:val="20"/>
          <w:szCs w:val="20"/>
          <w:color w:val="auto"/>
        </w:rPr>
      </w:pPr>
      <w:r>
        <w:rPr>
          <w:rFonts w:ascii="Arial" w:cs="Arial" w:eastAsia="Arial" w:hAnsi="Arial"/>
          <w:sz w:val="20"/>
          <w:szCs w:val="20"/>
          <w:color w:val="auto"/>
        </w:rPr>
        <w:t>Huey-Jen (Jenny) Su</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6" w:name="page27"/>
    <w:bookmarkEnd w:id="26"/>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Company has adopted a Code of Ethics applicable to the principal executive officer, principal financial officer, principal accounting officer, or persons performing similar functions, and all members of the finance department of the Company. The Code of Ethics is available on the Company’s website at www.diodes.com, in the “Investors – Corporate Governance” section. The Company intends to disclose future amendments to, or waivers from, certain provisions of the Code of Ethics on the Company’s website within four business days following the date of such amendment or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Policy Regarding Related Person Transactions</w:t>
      </w:r>
    </w:p>
    <w:p>
      <w:pPr>
        <w:spacing w:after="0" w:line="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Audit Committee has adopted a written policy to review any transaction in which the Company was, or is to be, a participant and in which any director, executive officer, or beneficial owner of more than five percent (5%) of the outstanding shares of Common Stock of the Company, or any immediate family member of any such person, has a direct or indirect material interest (a “related person transaction”). The policy requires the following:</w:t>
      </w:r>
    </w:p>
    <w:p>
      <w:pPr>
        <w:spacing w:after="0" w:line="64" w:lineRule="exact"/>
        <w:rPr>
          <w:sz w:val="20"/>
          <w:szCs w:val="20"/>
          <w:color w:val="auto"/>
        </w:rPr>
      </w:pPr>
    </w:p>
    <w:p>
      <w:pPr>
        <w:ind w:left="1020" w:hanging="503"/>
        <w:spacing w:after="0" w:line="256"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the Audit Committee shall review, as needed, any agreements or arrangements relating to a related person transaction or series of related person transactions;</w:t>
      </w:r>
    </w:p>
    <w:p>
      <w:pPr>
        <w:spacing w:after="0" w:line="48" w:lineRule="exact"/>
        <w:rPr>
          <w:rFonts w:ascii="Times New Roman" w:cs="Times New Roman" w:eastAsia="Times New Roman" w:hAnsi="Times New Roman"/>
          <w:sz w:val="20"/>
          <w:szCs w:val="20"/>
          <w:color w:val="auto"/>
        </w:rPr>
      </w:pPr>
    </w:p>
    <w:p>
      <w:pPr>
        <w:jc w:val="both"/>
        <w:ind w:left="1020" w:hanging="503"/>
        <w:spacing w:after="0" w:line="283" w:lineRule="auto"/>
        <w:tabs>
          <w:tab w:leader="none" w:pos="1020" w:val="left"/>
        </w:tabs>
        <w:numPr>
          <w:ilvl w:val="0"/>
          <w:numId w:val="18"/>
        </w:numPr>
        <w:rPr>
          <w:rFonts w:ascii="Times New Roman" w:cs="Times New Roman" w:eastAsia="Times New Roman" w:hAnsi="Times New Roman"/>
          <w:sz w:val="19"/>
          <w:szCs w:val="19"/>
          <w:color w:val="auto"/>
        </w:rPr>
      </w:pPr>
      <w:r>
        <w:rPr>
          <w:rFonts w:ascii="Arial" w:cs="Arial" w:eastAsia="Arial" w:hAnsi="Arial"/>
          <w:sz w:val="19"/>
          <w:szCs w:val="19"/>
          <w:color w:val="auto"/>
        </w:rPr>
        <w:t>the Audit Committee shall determine whether the transactions covered by such agreements or arrangements are on terms no less favorable to the Company than could be obtained from an unrelated third party (“fair to the Company”);</w:t>
      </w:r>
    </w:p>
    <w:p>
      <w:pPr>
        <w:spacing w:after="0" w:line="23" w:lineRule="exact"/>
        <w:rPr>
          <w:rFonts w:ascii="Times New Roman" w:cs="Times New Roman" w:eastAsia="Times New Roman" w:hAnsi="Times New Roman"/>
          <w:sz w:val="19"/>
          <w:szCs w:val="19"/>
          <w:color w:val="auto"/>
        </w:rPr>
      </w:pPr>
    </w:p>
    <w:p>
      <w:pPr>
        <w:jc w:val="both"/>
        <w:ind w:left="1020" w:hanging="503"/>
        <w:spacing w:after="0" w:line="241"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on an ongoing basis, the Company’s internal audit department shall report to the Audit Committee whether the transactions covered by such agreement or arrangement are fair to the Company under the standards established by the Audit Committee;</w:t>
      </w:r>
    </w:p>
    <w:p>
      <w:pPr>
        <w:spacing w:after="0" w:line="62"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the Audit Committee shall make all reasonable efforts (taking into account the cost thereof to the Company) to cancel or to renegotiate any such agreement or arrangement which is not so determined to be fair to the Company; and</w:t>
      </w:r>
    </w:p>
    <w:p>
      <w:pPr>
        <w:spacing w:after="0" w:line="62"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shall disclose any related person transactions required to be disclosed by the rules promulgated by the SEC, in the manner so required.</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Relationships and Transactions</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Audit Committee reviews all related person transactions for potential conflict of interest situations on an ongoing basis, in accordance with such procedures as the Audit Committee may adopt from time to time. We believe that all related person transactions are on terms no less favorable to us than could be obtained from unaffiliated third parties.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conduct business with the following related parties: Keylink International (B.V.I.) Inc. and its subsidiaries and affiliates (“Keylink”), Nuvoton Technology Corporation (“Nuvoton”), Jiyuan Crystal Photoelectric Frequency Technology Ltd. (“JCP”), Atlas Magnetics, Co (“Atlas”), and ATX Semiconductor SDN (“ATX”).</w:t>
      </w:r>
    </w:p>
    <w:p>
      <w:pPr>
        <w:spacing w:after="0" w:line="6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Keylink is our 5% joint venture partner in our Shanghai assembly and test facilities. We sell products to, and purchase inventory from, companies owned by Keylink. We sold products to companies owned by Keylink, totaling approximately $0.2 million and $3.5 million for the 12 month periods ended December 31, 2025 and 2024, respectively. In addition, our subsidiaries in China lease their manufacturing facilities in Shanghai from, and subcontract a portion of our manufacturing process (metal plating and environmental services) to Keylink. We also pay a consulting fee to Keylink. The aggregate amounts paid to Keylink for the 12 month periods ended December 31, 2025 and 2024 were approximately $13.9 million and $15.0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7" w:name="page28"/>
    <w:bookmarkEnd w:id="27"/>
    <w:p>
      <w:pPr>
        <w:jc w:val="both"/>
        <w:spacing w:after="0" w:line="233" w:lineRule="auto"/>
        <w:rPr>
          <w:sz w:val="20"/>
          <w:szCs w:val="20"/>
          <w:color w:val="auto"/>
        </w:rPr>
      </w:pPr>
      <w:r>
        <w:rPr>
          <w:rFonts w:ascii="Arial" w:cs="Arial" w:eastAsia="Arial" w:hAnsi="Arial"/>
          <w:sz w:val="20"/>
          <w:szCs w:val="20"/>
          <w:color w:val="auto"/>
        </w:rPr>
        <w:t>We purchase wafers from Nuvoton for use in our production process and consider our relationship with Nuvoton to be mutually beneficial. We plan to continue our strategic alliance with Nuvoton. We purchased silicon wafers from Nuvoton that we use in the production of finished goods, totaling $6.5 million and $7.1 million for the twelve month periods ended December 31, 2025 and 2024, respectively. We have an agreement to purchase approximately $3.1 million of wafers from Nuvoton through the second quarter of 2026. Warren Chen, a member of the Company's board of directors, serves as a member of the Nuvoton board of directors.</w:t>
      </w:r>
    </w:p>
    <w:p>
      <w:pPr>
        <w:spacing w:after="0" w:line="64"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also purchase materials from JCP, a frequency control product manufacturing company in which we have made an equity investment and account for using the equity method of accounting, and from Atlas an early stage privately held fabless wafer design company in which the Company holds a majority interest. The Company determined that Atlas is a variable interest entity and the Company does not have the power to direct the activities that most significantly impact Atlas. The Company has therefore determined that the Company is not the primary beneficiary. For additional information related to Atlas see Note 19 - Equity Investments - Variable Interest Entities, in the Company’s Annual Report on Form 10-K filed with the SEC on February 10, 2026 for additional information.</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May 2025, the Company entered into a Joint Venture Agreement with Global Advanced Packaging Test Limited to acquire a 43% interest in and joint control of ATX, a Malaysian private limited liability company, with the purpose of building synergies related to testing and packaging. ATX is a related party for the Company.</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See also “Risk Factors – One of our external suppliers is also a related party. The loss of this supplier could harm our business, operating results and financial condition.” in Part I, Item 1A, and Note 15 - “Related Party Transactions,” in each case, in the Company’s Annual Report on Form 10-K filed with the SEC on February 10, 2026 for additional information.</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Gary Yu, the Company's President, Chief Executive Officer, and Director, is married to the niece of Dr. Keh-Shew Lu, the Company's Chairman. Mr. Yu has been an employee since 2008. Details of Mr. Yu’s compensation are provided below in the Summary Compensation Table.</w:t>
      </w:r>
    </w:p>
    <w:p>
      <w:pPr>
        <w:spacing w:after="0" w:line="6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Mr. Robert E. Feiger, an independent director, and his law firm, Friedman &amp; Feiger, LLP, have provided legal representation to Dr. Keh-Shew Lu on matters unrelated to Dr. Lu’s services to the Company. In addition, Friedman &amp; Feiger, LLP previously provided legal representation to the Company from 2007 through March 2020. Mr. Feiger has agreed that while serving on the Board, neither Mr. Feiger nor Friedman &amp; Feiger, LLP, will provide legal services to the Company or its directors or employees, including Dr. Lu, without the prior written approval of the Board, which will allow the Board to consider in advance whether the provision of any requested services would compromise Mr. Feiger’s independence. Mr. Feiger is not standing for re-election at the Meeting and will retire from the Board in order to resume law practice on a full-time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STOCKHOLDERS SHARING THE SAME LAST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To reduce the expense of delivering duplicate proxy materials to stockholders who may have more than one account holding Diodes stock but who share the same address, we have adopted an SEC-approved procedure called “householding.” Under this procedure, certain stockholders of record who have the same address and last name, and who do not participate in electronic delivery of proxy materials, will receive a single copy of our Notice of Internet Availability of Proxy Materials and, as applicable, any additional proxy materials that are delivered until such time as one or more of these stockholders notify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 If you receive a single set of proxy materials as a result of householding and you would like to have separate copies of our Notice of Internet Availability of Proxy Materials, annual report, or proxy statement mailed to you, please submit a request to the Corporate Secretary of the Company at the Company’s office at 4949 Hedgcoxe Road, Suite 200, Plano, Texas 75024, and we will promptly send you the requested materials. However, please note that if you want to receive a paper proxy or voting instruction form or other proxy materials for this year’s annual meeting, you will need to follow the instructions included in the Notice of Internet Availability of Proxy Materials that was sent to you. If you are a beneficial stockholder and you share an address with other beneficial stockholders, your broker, bank, or other institution is permitted to deliver a single copy of the proxy materials and Notice of Internet Availability of Proxy Materials to your address, unless you otherwise request separate copies.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43"/>
          <w:szCs w:val="43"/>
          <w:color w:val="005CA9"/>
        </w:rPr>
        <w:t>PROPOSAL TWO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43"/>
          <w:szCs w:val="43"/>
          <w:color w:val="005CA9"/>
        </w:rPr>
        <w:t>APPROVAL OF EXECUTIVE COMPENSATION</w:t>
      </w:r>
    </w:p>
    <w:p>
      <w:pPr>
        <w:spacing w:after="0" w:line="13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At the Meeting, the stockholders are being asked to approve the compensation of the NEOs as disclosed below pursuant to Section 14A of the Exchange Act (which was added by the Dodd-Frank Wall Street Reform and Consumer Protection Act) and the other compensation disclosure rules of the SEC, including the information in “Compensation Discussion and Analysis” and in the Summary Compensation Table and other related tables and narrative disclosure below in “Executive Compensation.”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At the Company’s 2023 annual meeting of the stockholders, the Company’s stockholders voted in favor of providing stockholders an advisory vote on the approval of the compensation of the Company’s NEOs on an annual basis.</w:t>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 discussed below, our executive compensation programs are designed to attract, retain, and motivate executives who are critical to our long-term growth and profitability. Under these programs, our executives are incentivized to achieve Company performance goals and individual objectives established by the Compensation Committee, without encouraging undue or unreasonable risk-taking.</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Compensation Committee reviews our executive compensation programs annually to ensure they align executive compensation with the interests of our stockholders and current market practices. See “Compensation Discussion and Analysis” and “Executive Compensation” for information about our executive compensation programs, including information about the fiscal 2025 compensation of the NEOs.</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proposal, commonly known as a “say-on-pay” proposal, gives our stockholders the opportunity to express their views on the compensation of our NEOs. This vote is not intended to address any specific item of compensation, but rather the overall compensation of our NEOs and the executive compensation philosophy and decisions described in “Compensation Discussion and Analysis” and “Executive Compensation.”</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Approval of the compensation paid to the NEOs, as disclosed below pursuant to the compensation disclosure rules of the SEC, requires the affirmative vote of the holders of a majority of the outstanding shares of the Common Stock present, in person via the Internet or by proxy, and entitled to vote on the proposal at the Meeting.</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vote is advisory and is not binding on the Company, the Board or the Compensation Committee. However, the Board and the Compensation Committee value the opinions of our stockholders and will review the result of the vote and take it into consideration when making future decisions regarding executive compensation.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Accordingly, our stockholders are being asked to vote on the following resolution at the Meeting:</w:t>
      </w:r>
    </w:p>
    <w:p>
      <w:pPr>
        <w:spacing w:after="0" w:line="94" w:lineRule="exact"/>
        <w:rPr>
          <w:sz w:val="20"/>
          <w:szCs w:val="20"/>
          <w:color w:val="auto"/>
        </w:rPr>
      </w:pPr>
    </w:p>
    <w:p>
      <w:pPr>
        <w:jc w:val="both"/>
        <w:ind w:left="300" w:right="300"/>
        <w:spacing w:after="0" w:line="241" w:lineRule="auto"/>
        <w:rPr>
          <w:sz w:val="20"/>
          <w:szCs w:val="20"/>
          <w:color w:val="auto"/>
        </w:rPr>
      </w:pPr>
      <w:r>
        <w:rPr>
          <w:rFonts w:ascii="Arial" w:cs="Arial" w:eastAsia="Arial" w:hAnsi="Arial"/>
          <w:sz w:val="20"/>
          <w:szCs w:val="20"/>
          <w:color w:val="auto"/>
        </w:rPr>
        <w:t>“RESOLVED, that the compensation paid to the Company's NEOs, as disclosed in this Proxy Statement pursuant to the SEC’s executive compensation disclosure rules, including Compensation Discussion and Analysis, compensation tables and narrative discussion, is hereby APPROVED.”</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THE BOARD UNANIMOUSLY RECOMMENDS A VOTE “FOR” THE APPROVAL OF THE COMPENSATION OF OUR NEOS AS DISCLOSED IN “COMPENSATION DISCUSSION AND ANALYSIS” AND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ind w:left="840"/>
        <w:spacing w:after="0"/>
        <w:rPr>
          <w:sz w:val="20"/>
          <w:szCs w:val="20"/>
          <w:color w:val="auto"/>
        </w:rPr>
      </w:pPr>
      <w:r>
        <w:rPr>
          <w:rFonts w:ascii="Arial" w:cs="Arial" w:eastAsia="Arial" w:hAnsi="Arial"/>
          <w:sz w:val="43"/>
          <w:szCs w:val="43"/>
          <w:color w:val="005CA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INTRODUCTION</w:t>
      </w:r>
    </w:p>
    <w:p>
      <w:pPr>
        <w:spacing w:after="0" w:line="3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Compensation Discussion and Analysis (“CD&amp;A”) explains the design and operation of the Company’s compensation program for (i) anyone who served during the fiscal year as our Chief Executive Officer or our Chief Financial Officer and (ii) our four other most highly compensated executive officers in the fiscal year (collectively,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Our NEOs for fiscal 2025 were: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Name</w:t>
            </w:r>
          </w:p>
        </w:tc>
        <w:tc>
          <w:tcPr>
            <w:tcW w:w="8980" w:type="dxa"/>
            <w:vAlign w:val="bottom"/>
            <w:tcBorders>
              <w:top w:val="single" w:sz="8" w:color="005CA9"/>
            </w:tcBorders>
          </w:tcPr>
          <w:p>
            <w:pPr>
              <w:ind w:left="220"/>
              <w:spacing w:after="0"/>
              <w:rPr>
                <w:sz w:val="20"/>
                <w:szCs w:val="20"/>
                <w:color w:val="auto"/>
              </w:rPr>
            </w:pPr>
            <w:r>
              <w:rPr>
                <w:rFonts w:ascii="Arial" w:cs="Arial" w:eastAsia="Arial" w:hAnsi="Arial"/>
                <w:sz w:val="20"/>
                <w:szCs w:val="20"/>
                <w:b w:val="1"/>
                <w:bCs w:val="1"/>
                <w:color w:val="auto"/>
              </w:rPr>
              <w:t>Position with the Company</w:t>
            </w:r>
          </w:p>
        </w:tc>
      </w:tr>
      <w:tr>
        <w:trPr>
          <w:trHeight w:val="68"/>
        </w:trPr>
        <w:tc>
          <w:tcPr>
            <w:tcW w:w="2260" w:type="dxa"/>
            <w:vAlign w:val="bottom"/>
            <w:shd w:val="clear" w:color="auto" w:fill="005CA9"/>
          </w:tcPr>
          <w:p>
            <w:pPr>
              <w:spacing w:after="0"/>
              <w:rPr>
                <w:sz w:val="5"/>
                <w:szCs w:val="5"/>
                <w:color w:val="auto"/>
              </w:rPr>
            </w:pPr>
          </w:p>
        </w:tc>
        <w:tc>
          <w:tcPr>
            <w:tcW w:w="8980" w:type="dxa"/>
            <w:vAlign w:val="bottom"/>
            <w:shd w:val="clear" w:color="auto" w:fill="005CA9"/>
          </w:tcPr>
          <w:p>
            <w:pPr>
              <w:spacing w:after="0"/>
              <w:rPr>
                <w:sz w:val="5"/>
                <w:szCs w:val="5"/>
                <w:color w:val="auto"/>
              </w:rPr>
            </w:pPr>
          </w:p>
        </w:tc>
      </w:tr>
      <w:tr>
        <w:trPr>
          <w:trHeight w:val="216"/>
        </w:trPr>
        <w:tc>
          <w:tcPr>
            <w:tcW w:w="2260" w:type="dxa"/>
            <w:vAlign w:val="bottom"/>
            <w:shd w:val="clear" w:color="auto" w:fill="CFF0FC"/>
          </w:tcPr>
          <w:p>
            <w:pPr>
              <w:spacing w:after="0" w:line="216" w:lineRule="exact"/>
              <w:rPr>
                <w:sz w:val="20"/>
                <w:szCs w:val="20"/>
                <w:color w:val="auto"/>
              </w:rPr>
            </w:pPr>
            <w:r>
              <w:rPr>
                <w:rFonts w:ascii="Arial" w:cs="Arial" w:eastAsia="Arial" w:hAnsi="Arial"/>
                <w:sz w:val="19"/>
                <w:szCs w:val="19"/>
                <w:color w:val="auto"/>
              </w:rPr>
              <w:t xml:space="preserve">Dr. Keh-Shew Lu </w:t>
            </w:r>
            <w:r>
              <w:rPr>
                <w:rFonts w:ascii="Arial" w:cs="Arial" w:eastAsia="Arial" w:hAnsi="Arial"/>
                <w:sz w:val="25"/>
                <w:szCs w:val="25"/>
                <w:color w:val="auto"/>
                <w:vertAlign w:val="superscript"/>
              </w:rPr>
              <w:t>(1)</w:t>
            </w:r>
          </w:p>
        </w:tc>
        <w:tc>
          <w:tcPr>
            <w:tcW w:w="898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Chairman of the Board and former Chief Executive Officer</w:t>
            </w:r>
          </w:p>
        </w:tc>
      </w:tr>
      <w:tr>
        <w:trPr>
          <w:trHeight w:val="216"/>
        </w:trPr>
        <w:tc>
          <w:tcPr>
            <w:tcW w:w="2260" w:type="dxa"/>
            <w:vAlign w:val="bottom"/>
          </w:tcPr>
          <w:p>
            <w:pPr>
              <w:spacing w:after="0" w:line="216" w:lineRule="exact"/>
              <w:rPr>
                <w:sz w:val="20"/>
                <w:szCs w:val="20"/>
                <w:color w:val="auto"/>
              </w:rPr>
            </w:pPr>
            <w:r>
              <w:rPr>
                <w:rFonts w:ascii="Arial" w:cs="Arial" w:eastAsia="Arial" w:hAnsi="Arial"/>
                <w:sz w:val="19"/>
                <w:szCs w:val="19"/>
                <w:color w:val="auto"/>
              </w:rPr>
              <w:t xml:space="preserve">Gary Yu </w:t>
            </w:r>
            <w:r>
              <w:rPr>
                <w:rFonts w:ascii="Arial" w:cs="Arial" w:eastAsia="Arial" w:hAnsi="Arial"/>
                <w:sz w:val="25"/>
                <w:szCs w:val="25"/>
                <w:color w:val="auto"/>
                <w:vertAlign w:val="superscript"/>
              </w:rPr>
              <w:t>(1)</w:t>
            </w:r>
          </w:p>
        </w:tc>
        <w:tc>
          <w:tcPr>
            <w:tcW w:w="8980" w:type="dxa"/>
            <w:vAlign w:val="bottom"/>
          </w:tcPr>
          <w:p>
            <w:pPr>
              <w:ind w:left="220"/>
              <w:spacing w:after="0" w:line="216" w:lineRule="exact"/>
              <w:rPr>
                <w:sz w:val="20"/>
                <w:szCs w:val="20"/>
                <w:color w:val="auto"/>
              </w:rPr>
            </w:pPr>
            <w:r>
              <w:rPr>
                <w:rFonts w:ascii="Arial" w:cs="Arial" w:eastAsia="Arial" w:hAnsi="Arial"/>
                <w:sz w:val="20"/>
                <w:szCs w:val="20"/>
                <w:color w:val="auto"/>
              </w:rPr>
              <w:t>President and Chief Executive Officer</w:t>
            </w:r>
          </w:p>
        </w:tc>
      </w:tr>
      <w:tr>
        <w:trPr>
          <w:trHeight w:val="216"/>
        </w:trPr>
        <w:tc>
          <w:tcPr>
            <w:tcW w:w="22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Brett R. Whitmire</w:t>
            </w:r>
          </w:p>
        </w:tc>
        <w:tc>
          <w:tcPr>
            <w:tcW w:w="898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Chief Financial Officer</w:t>
            </w:r>
          </w:p>
        </w:tc>
      </w:tr>
      <w:tr>
        <w:trPr>
          <w:trHeight w:val="216"/>
        </w:trPr>
        <w:tc>
          <w:tcPr>
            <w:tcW w:w="2260" w:type="dxa"/>
            <w:vAlign w:val="bottom"/>
          </w:tcPr>
          <w:p>
            <w:pPr>
              <w:spacing w:after="0" w:line="216" w:lineRule="exact"/>
              <w:rPr>
                <w:sz w:val="20"/>
                <w:szCs w:val="20"/>
                <w:color w:val="auto"/>
              </w:rPr>
            </w:pPr>
            <w:r>
              <w:rPr>
                <w:rFonts w:ascii="Arial" w:cs="Arial" w:eastAsia="Arial" w:hAnsi="Arial"/>
                <w:sz w:val="20"/>
                <w:szCs w:val="20"/>
                <w:color w:val="auto"/>
              </w:rPr>
              <w:t>Francis Tang</w:t>
            </w:r>
          </w:p>
        </w:tc>
        <w:tc>
          <w:tcPr>
            <w:tcW w:w="8980" w:type="dxa"/>
            <w:vAlign w:val="bottom"/>
          </w:tcPr>
          <w:p>
            <w:pPr>
              <w:ind w:left="220"/>
              <w:spacing w:after="0" w:line="216" w:lineRule="exact"/>
              <w:rPr>
                <w:sz w:val="20"/>
                <w:szCs w:val="20"/>
                <w:color w:val="auto"/>
              </w:rPr>
            </w:pPr>
            <w:r>
              <w:rPr>
                <w:rFonts w:ascii="Arial" w:cs="Arial" w:eastAsia="Arial" w:hAnsi="Arial"/>
                <w:sz w:val="20"/>
                <w:szCs w:val="20"/>
                <w:color w:val="auto"/>
              </w:rPr>
              <w:t>Chief Technology Officer</w:t>
            </w:r>
          </w:p>
        </w:tc>
      </w:tr>
      <w:tr>
        <w:trPr>
          <w:trHeight w:val="216"/>
        </w:trPr>
        <w:tc>
          <w:tcPr>
            <w:tcW w:w="22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Andy (Kuo-Ting) Tsong</w:t>
            </w:r>
          </w:p>
        </w:tc>
        <w:tc>
          <w:tcPr>
            <w:tcW w:w="898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Senior Vice President, Worldwide Products Group</w:t>
            </w:r>
          </w:p>
        </w:tc>
      </w:tr>
      <w:tr>
        <w:trPr>
          <w:trHeight w:val="216"/>
        </w:trPr>
        <w:tc>
          <w:tcPr>
            <w:tcW w:w="2260" w:type="dxa"/>
            <w:vAlign w:val="bottom"/>
          </w:tcPr>
          <w:p>
            <w:pPr>
              <w:spacing w:after="0" w:line="216" w:lineRule="exact"/>
              <w:rPr>
                <w:sz w:val="20"/>
                <w:szCs w:val="20"/>
                <w:color w:val="auto"/>
              </w:rPr>
            </w:pPr>
            <w:r>
              <w:rPr>
                <w:rFonts w:ascii="Arial" w:cs="Arial" w:eastAsia="Arial" w:hAnsi="Arial"/>
                <w:sz w:val="20"/>
                <w:szCs w:val="20"/>
                <w:color w:val="auto"/>
              </w:rPr>
              <w:t>Emily Yang</w:t>
            </w:r>
          </w:p>
        </w:tc>
        <w:tc>
          <w:tcPr>
            <w:tcW w:w="8980" w:type="dxa"/>
            <w:vAlign w:val="bottom"/>
          </w:tcPr>
          <w:p>
            <w:pPr>
              <w:ind w:left="220"/>
              <w:spacing w:after="0" w:line="216" w:lineRule="exact"/>
              <w:rPr>
                <w:sz w:val="20"/>
                <w:szCs w:val="20"/>
                <w:color w:val="auto"/>
              </w:rPr>
            </w:pPr>
            <w:r>
              <w:rPr>
                <w:rFonts w:ascii="Arial" w:cs="Arial" w:eastAsia="Arial" w:hAnsi="Arial"/>
                <w:sz w:val="20"/>
                <w:szCs w:val="20"/>
                <w:color w:val="auto"/>
              </w:rPr>
              <w:t>Senior Vice President, Worldwide Sales and Marketing</w:t>
            </w:r>
          </w:p>
        </w:tc>
      </w:tr>
      <w:tr>
        <w:trPr>
          <w:trHeight w:val="216"/>
        </w:trPr>
        <w:tc>
          <w:tcPr>
            <w:tcW w:w="2260" w:type="dxa"/>
            <w:vAlign w:val="bottom"/>
            <w:tcBorders>
              <w:bottom w:val="single" w:sz="8" w:color="005CA9"/>
            </w:tcBorders>
            <w:shd w:val="clear" w:color="auto" w:fill="CFF0FC"/>
          </w:tcPr>
          <w:p>
            <w:pPr>
              <w:spacing w:after="0" w:line="216" w:lineRule="exact"/>
              <w:rPr>
                <w:sz w:val="20"/>
                <w:szCs w:val="20"/>
                <w:color w:val="auto"/>
              </w:rPr>
            </w:pPr>
            <w:r>
              <w:rPr>
                <w:rFonts w:ascii="Arial" w:cs="Arial" w:eastAsia="Arial" w:hAnsi="Arial"/>
                <w:sz w:val="20"/>
                <w:szCs w:val="20"/>
                <w:color w:val="auto"/>
              </w:rPr>
              <w:t>Jin Zhao</w:t>
            </w:r>
          </w:p>
        </w:tc>
        <w:tc>
          <w:tcPr>
            <w:tcW w:w="8980" w:type="dxa"/>
            <w:vAlign w:val="bottom"/>
            <w:tcBorders>
              <w:bottom w:val="single" w:sz="8" w:color="005CA9"/>
            </w:tcBorders>
            <w:shd w:val="clear" w:color="auto" w:fill="CFF0FC"/>
          </w:tcPr>
          <w:p>
            <w:pPr>
              <w:ind w:left="220"/>
              <w:spacing w:after="0" w:line="216" w:lineRule="exact"/>
              <w:rPr>
                <w:sz w:val="20"/>
                <w:szCs w:val="20"/>
                <w:color w:val="auto"/>
              </w:rPr>
            </w:pPr>
            <w:r>
              <w:rPr>
                <w:rFonts w:ascii="Arial" w:cs="Arial" w:eastAsia="Arial" w:hAnsi="Arial"/>
                <w:sz w:val="20"/>
                <w:szCs w:val="20"/>
                <w:color w:val="auto"/>
              </w:rPr>
              <w:t>Senior Vice President, Worldwide Manufacturing and Quality, President, Asia Pacific Region</w:t>
            </w:r>
          </w:p>
        </w:tc>
      </w:tr>
    </w:tbl>
    <w:p>
      <w:pPr>
        <w:ind w:left="300" w:hanging="292"/>
        <w:spacing w:after="0"/>
        <w:tabs>
          <w:tab w:leader="none" w:pos="300" w:val="left"/>
        </w:tabs>
        <w:numPr>
          <w:ilvl w:val="0"/>
          <w:numId w:val="19"/>
        </w:numPr>
        <w:rPr>
          <w:rFonts w:ascii="Calibri" w:cs="Calibri" w:eastAsia="Calibri" w:hAnsi="Calibri"/>
          <w:sz w:val="14"/>
          <w:szCs w:val="14"/>
          <w:color w:val="auto"/>
        </w:rPr>
      </w:pPr>
      <w:r>
        <w:rPr>
          <w:rFonts w:ascii="Arial" w:cs="Arial" w:eastAsia="Arial" w:hAnsi="Arial"/>
          <w:sz w:val="14"/>
          <w:szCs w:val="14"/>
          <w:color w:val="auto"/>
        </w:rPr>
        <w:t>Dr. Lu served as Chief Executive officer until Mr. Yu's appointment as Chief Executive Officer in May 2025.</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365F91"/>
        </w:rPr>
        <w:t>“Say-on-Pay” Vote Summary</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At our 2025 annual meeting of stockholders, our stockholders approved, by a vote of approximately 96% of the shares present in person or by proxy and entitled to vote on the proposal (not counting abstentions and broker non-votes), the compensation paid to our NEOs for services rendered in 2024 as presented in the proxy statement for the 2025 annual meeting of stockholders. In light of this favorable “say on pay” vote and our stockholder engagement, the Compensation Committee did not materially adjust the Company’s compensation program for 2025 or 2026.</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have engaged with our stockholders to understand their perspectives on our Company, including our strategies, performance, governance, and executive compensation. This ongoing dialogue has helped inform the Board's decision-making and ensure our interests remain well-aligned with those of our stockholders.</w:t>
      </w:r>
    </w:p>
    <w:p>
      <w:pPr>
        <w:spacing w:after="0" w:line="6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has a record of adopting provisions or modifying practices to reflect stockholder input. Examples include the Company's majority vote policy which was strengthened and documented at the request of our stockholders, as well as the 2017 redesign of our executive compensation program and external reviews of the Company's peer group and executive compensation program in 2020, 2022, and 2025.</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365F91"/>
        </w:rPr>
        <w:t>2025 Business Summary</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Below is a summary of our 2025 financial results:</w:t>
      </w:r>
    </w:p>
    <w:p>
      <w:pPr>
        <w:spacing w:after="0" w:line="94" w:lineRule="exact"/>
        <w:rPr>
          <w:sz w:val="20"/>
          <w:szCs w:val="20"/>
          <w:color w:val="auto"/>
        </w:rPr>
      </w:pPr>
    </w:p>
    <w:p>
      <w:pPr>
        <w:ind w:left="1220" w:hanging="455"/>
        <w:spacing w:after="0"/>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Net sales for fiscal 2025 were $1.5 billion, an increase of 13.0% from the $1.3 billion in fiscal 2024;</w:t>
      </w:r>
    </w:p>
    <w:p>
      <w:pPr>
        <w:spacing w:after="0" w:line="52" w:lineRule="exact"/>
        <w:rPr>
          <w:rFonts w:ascii="Times New Roman" w:cs="Times New Roman" w:eastAsia="Times New Roman" w:hAnsi="Times New Roman"/>
          <w:sz w:val="20"/>
          <w:szCs w:val="20"/>
          <w:color w:val="auto"/>
        </w:rPr>
      </w:pPr>
    </w:p>
    <w:p>
      <w:pPr>
        <w:ind w:left="1220" w:hanging="455"/>
        <w:spacing w:after="0"/>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for fiscal 2025 was $462.4 million, an increase of 6.1% from the $435.9 million in fiscal 2024;</w:t>
      </w:r>
    </w:p>
    <w:p>
      <w:pPr>
        <w:spacing w:after="0" w:line="52" w:lineRule="exact"/>
        <w:rPr>
          <w:rFonts w:ascii="Times New Roman" w:cs="Times New Roman" w:eastAsia="Times New Roman" w:hAnsi="Times New Roman"/>
          <w:sz w:val="20"/>
          <w:szCs w:val="20"/>
          <w:color w:val="auto"/>
        </w:rPr>
      </w:pPr>
    </w:p>
    <w:p>
      <w:pPr>
        <w:ind w:left="1220" w:hanging="455"/>
        <w:spacing w:after="0"/>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Gross profit margin for fiscal 2025 was 31.2% compared to 33.2% for fiscal 2024;</w:t>
      </w:r>
    </w:p>
    <w:p>
      <w:pPr>
        <w:spacing w:after="0" w:line="52" w:lineRule="exact"/>
        <w:rPr>
          <w:rFonts w:ascii="Times New Roman" w:cs="Times New Roman" w:eastAsia="Times New Roman" w:hAnsi="Times New Roman"/>
          <w:sz w:val="20"/>
          <w:szCs w:val="20"/>
          <w:color w:val="auto"/>
        </w:rPr>
      </w:pPr>
    </w:p>
    <w:p>
      <w:pPr>
        <w:ind w:left="1220" w:right="840" w:hanging="455"/>
        <w:spacing w:after="0" w:line="252" w:lineRule="auto"/>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income for fiscal 2025 decreased 29.7% to $35.5 million, or 2.4% of net sales, compared to $50.5 million, or 3.8% of net sales in fiscal 2024;</w:t>
      </w:r>
    </w:p>
    <w:p>
      <w:pPr>
        <w:spacing w:after="0" w:line="2" w:lineRule="exact"/>
        <w:rPr>
          <w:rFonts w:ascii="Times New Roman" w:cs="Times New Roman" w:eastAsia="Times New Roman" w:hAnsi="Times New Roman"/>
          <w:sz w:val="20"/>
          <w:szCs w:val="20"/>
          <w:color w:val="auto"/>
        </w:rPr>
      </w:pPr>
    </w:p>
    <w:p>
      <w:pPr>
        <w:ind w:left="1220" w:right="840" w:hanging="455"/>
        <w:spacing w:after="0" w:line="252" w:lineRule="auto"/>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for fiscal 2025 was $66.1 million, or $1.43 per diluted share, compared to $44.0 million, or $0.95 per diluted share, in fiscal 2024;</w:t>
      </w:r>
    </w:p>
    <w:p>
      <w:pPr>
        <w:spacing w:after="0" w:line="2" w:lineRule="exact"/>
        <w:rPr>
          <w:rFonts w:ascii="Times New Roman" w:cs="Times New Roman" w:eastAsia="Times New Roman" w:hAnsi="Times New Roman"/>
          <w:sz w:val="20"/>
          <w:szCs w:val="20"/>
          <w:color w:val="auto"/>
        </w:rPr>
      </w:pPr>
    </w:p>
    <w:p>
      <w:pPr>
        <w:jc w:val="both"/>
        <w:ind w:left="1220" w:right="840" w:hanging="455"/>
        <w:spacing w:after="0" w:line="241" w:lineRule="auto"/>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We achieved $215.5 million of cash flow from operations in fiscal 2025. We had cash capital expenditures of $78.4 million, or 5.3% of net sales. Net cash flow was $57.6 million, which includes the total net borrowing of $1.2 million of total debt; and</w:t>
      </w:r>
    </w:p>
    <w:p>
      <w:pPr>
        <w:spacing w:after="0" w:line="8" w:lineRule="exact"/>
        <w:rPr>
          <w:rFonts w:ascii="Times New Roman" w:cs="Times New Roman" w:eastAsia="Times New Roman" w:hAnsi="Times New Roman"/>
          <w:sz w:val="20"/>
          <w:szCs w:val="20"/>
          <w:color w:val="auto"/>
        </w:rPr>
      </w:pPr>
    </w:p>
    <w:p>
      <w:pPr>
        <w:jc w:val="both"/>
        <w:ind w:left="1220" w:right="840" w:hanging="455"/>
        <w:spacing w:after="0" w:line="241" w:lineRule="auto"/>
        <w:tabs>
          <w:tab w:leader="none" w:pos="1220" w:val="left"/>
        </w:tabs>
        <w:numPr>
          <w:ilvl w:val="0"/>
          <w:numId w:val="20"/>
        </w:numPr>
        <w:rPr>
          <w:rFonts w:ascii="Times New Roman" w:cs="Times New Roman" w:eastAsia="Times New Roman" w:hAnsi="Times New Roman"/>
          <w:sz w:val="20"/>
          <w:szCs w:val="20"/>
          <w:color w:val="auto"/>
        </w:rPr>
      </w:pPr>
      <w:r>
        <w:rPr>
          <w:rFonts w:ascii="Arial" w:cs="Arial" w:eastAsia="Arial" w:hAnsi="Arial"/>
          <w:sz w:val="20"/>
          <w:szCs w:val="20"/>
          <w:color w:val="auto"/>
        </w:rPr>
        <w:t>As of December 31, 2025, the Company had approximately $382.2 million in cash and cash equivalents, restricted cash, and short-term investments. Total debt (including long-term and short-term) amounted to approximately $55.9 million, and working capital was approximately $878.6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-2029460</wp:posOffset>
            </wp:positionV>
            <wp:extent cx="641223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-1703705</wp:posOffset>
            </wp:positionV>
            <wp:extent cx="641223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-1214755</wp:posOffset>
            </wp:positionV>
            <wp:extent cx="641223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2230" cy="30861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-460375</wp:posOffset>
            </wp:positionV>
            <wp:extent cx="6412230" cy="44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44577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The following table provides additional information concerning our performance in fiscal 2025 compared to fiscal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2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 xml:space="preserve">Description </w:t>
            </w:r>
            <w:r>
              <w:rPr>
                <w:rFonts w:ascii="Arial" w:cs="Arial" w:eastAsia="Arial" w:hAnsi="Arial"/>
                <w:sz w:val="16"/>
                <w:szCs w:val="16"/>
                <w:b w:val="1"/>
                <w:bCs w:val="1"/>
                <w:color w:val="auto"/>
              </w:rPr>
              <w:t>(in millions, except per share amounts)</w:t>
            </w:r>
          </w:p>
        </w:tc>
        <w:tc>
          <w:tcPr>
            <w:tcW w:w="640" w:type="dxa"/>
            <w:vAlign w:val="bottom"/>
            <w:tcBorders>
              <w:top w:val="single" w:sz="8" w:color="005CA9"/>
            </w:tcBorders>
          </w:tcPr>
          <w:p>
            <w:pPr>
              <w:spacing w:after="0"/>
              <w:rPr>
                <w:sz w:val="19"/>
                <w:szCs w:val="19"/>
                <w:color w:val="auto"/>
              </w:rPr>
            </w:pPr>
          </w:p>
        </w:tc>
        <w:tc>
          <w:tcPr>
            <w:tcW w:w="220" w:type="dxa"/>
            <w:vAlign w:val="bottom"/>
            <w:tcBorders>
              <w:top w:val="single" w:sz="8" w:color="005CA9"/>
            </w:tcBorders>
          </w:tcPr>
          <w:p>
            <w:pPr>
              <w:spacing w:after="0"/>
              <w:rPr>
                <w:sz w:val="19"/>
                <w:szCs w:val="19"/>
                <w:color w:val="auto"/>
              </w:rPr>
            </w:pPr>
          </w:p>
        </w:tc>
        <w:tc>
          <w:tcPr>
            <w:tcW w:w="1260" w:type="dxa"/>
            <w:vAlign w:val="bottom"/>
            <w:tcBorders>
              <w:top w:val="single" w:sz="8" w:color="005CA9"/>
            </w:tcBorders>
          </w:tcPr>
          <w:p>
            <w:pPr>
              <w:jc w:val="right"/>
              <w:ind w:right="241"/>
              <w:spacing w:after="0"/>
              <w:rPr>
                <w:sz w:val="20"/>
                <w:szCs w:val="20"/>
                <w:color w:val="auto"/>
              </w:rPr>
            </w:pPr>
            <w:r>
              <w:rPr>
                <w:rFonts w:ascii="Arial" w:cs="Arial" w:eastAsia="Arial" w:hAnsi="Arial"/>
                <w:sz w:val="20"/>
                <w:szCs w:val="20"/>
                <w:b w:val="1"/>
                <w:bCs w:val="1"/>
                <w:color w:val="auto"/>
              </w:rPr>
              <w:t>2025</w:t>
            </w:r>
          </w:p>
        </w:tc>
        <w:tc>
          <w:tcPr>
            <w:tcW w:w="220" w:type="dxa"/>
            <w:vAlign w:val="bottom"/>
            <w:tcBorders>
              <w:top w:val="single" w:sz="8" w:color="005CA9"/>
            </w:tcBorders>
          </w:tcPr>
          <w:p>
            <w:pPr>
              <w:spacing w:after="0"/>
              <w:rPr>
                <w:sz w:val="19"/>
                <w:szCs w:val="19"/>
                <w:color w:val="auto"/>
              </w:rPr>
            </w:pPr>
          </w:p>
        </w:tc>
        <w:tc>
          <w:tcPr>
            <w:tcW w:w="300" w:type="dxa"/>
            <w:vAlign w:val="bottom"/>
            <w:tcBorders>
              <w:top w:val="single" w:sz="8" w:color="005CA9"/>
            </w:tcBorders>
          </w:tcPr>
          <w:p>
            <w:pPr>
              <w:spacing w:after="0"/>
              <w:rPr>
                <w:sz w:val="19"/>
                <w:szCs w:val="19"/>
                <w:color w:val="auto"/>
              </w:rPr>
            </w:pPr>
          </w:p>
        </w:tc>
        <w:tc>
          <w:tcPr>
            <w:tcW w:w="1180" w:type="dxa"/>
            <w:vAlign w:val="bottom"/>
            <w:tcBorders>
              <w:top w:val="single" w:sz="8" w:color="005CA9"/>
            </w:tcBorders>
          </w:tcPr>
          <w:p>
            <w:pPr>
              <w:jc w:val="right"/>
              <w:ind w:right="81"/>
              <w:spacing w:after="0"/>
              <w:rPr>
                <w:sz w:val="20"/>
                <w:szCs w:val="20"/>
                <w:color w:val="auto"/>
              </w:rPr>
            </w:pPr>
            <w:r>
              <w:rPr>
                <w:rFonts w:ascii="Arial" w:cs="Arial" w:eastAsia="Arial" w:hAnsi="Arial"/>
                <w:sz w:val="20"/>
                <w:szCs w:val="20"/>
                <w:b w:val="1"/>
                <w:bCs w:val="1"/>
                <w:color w:val="auto"/>
              </w:rPr>
              <w:t>2024</w:t>
            </w:r>
          </w:p>
        </w:tc>
      </w:tr>
      <w:tr>
        <w:trPr>
          <w:trHeight w:val="68"/>
        </w:trPr>
        <w:tc>
          <w:tcPr>
            <w:tcW w:w="7420" w:type="dxa"/>
            <w:vAlign w:val="bottom"/>
            <w:shd w:val="clear" w:color="auto" w:fill="4F81BD"/>
          </w:tcPr>
          <w:p>
            <w:pPr>
              <w:spacing w:after="0"/>
              <w:rPr>
                <w:sz w:val="5"/>
                <w:szCs w:val="5"/>
                <w:color w:val="auto"/>
              </w:rPr>
            </w:pPr>
          </w:p>
        </w:tc>
        <w:tc>
          <w:tcPr>
            <w:tcW w:w="640" w:type="dxa"/>
            <w:vAlign w:val="bottom"/>
            <w:shd w:val="clear" w:color="auto" w:fill="4F81BD"/>
          </w:tcPr>
          <w:p>
            <w:pPr>
              <w:spacing w:after="0"/>
              <w:rPr>
                <w:sz w:val="5"/>
                <w:szCs w:val="5"/>
                <w:color w:val="auto"/>
              </w:rPr>
            </w:pPr>
          </w:p>
        </w:tc>
        <w:tc>
          <w:tcPr>
            <w:tcW w:w="220" w:type="dxa"/>
            <w:vAlign w:val="bottom"/>
            <w:shd w:val="clear" w:color="auto" w:fill="4F81BD"/>
          </w:tcPr>
          <w:p>
            <w:pPr>
              <w:spacing w:after="0"/>
              <w:rPr>
                <w:sz w:val="5"/>
                <w:szCs w:val="5"/>
                <w:color w:val="auto"/>
              </w:rPr>
            </w:pPr>
          </w:p>
        </w:tc>
        <w:tc>
          <w:tcPr>
            <w:tcW w:w="1260" w:type="dxa"/>
            <w:vAlign w:val="bottom"/>
            <w:shd w:val="clear" w:color="auto" w:fill="4F81BD"/>
          </w:tcPr>
          <w:p>
            <w:pPr>
              <w:spacing w:after="0"/>
              <w:rPr>
                <w:sz w:val="5"/>
                <w:szCs w:val="5"/>
                <w:color w:val="auto"/>
              </w:rPr>
            </w:pPr>
          </w:p>
        </w:tc>
        <w:tc>
          <w:tcPr>
            <w:tcW w:w="220" w:type="dxa"/>
            <w:vAlign w:val="bottom"/>
            <w:shd w:val="clear" w:color="auto" w:fill="4F81BD"/>
          </w:tcPr>
          <w:p>
            <w:pPr>
              <w:spacing w:after="0"/>
              <w:rPr>
                <w:sz w:val="5"/>
                <w:szCs w:val="5"/>
                <w:color w:val="auto"/>
              </w:rPr>
            </w:pPr>
          </w:p>
        </w:tc>
        <w:tc>
          <w:tcPr>
            <w:tcW w:w="300" w:type="dxa"/>
            <w:vAlign w:val="bottom"/>
            <w:shd w:val="clear" w:color="auto" w:fill="4F81BD"/>
          </w:tcPr>
          <w:p>
            <w:pPr>
              <w:spacing w:after="0"/>
              <w:rPr>
                <w:sz w:val="5"/>
                <w:szCs w:val="5"/>
                <w:color w:val="auto"/>
              </w:rPr>
            </w:pPr>
          </w:p>
        </w:tc>
        <w:tc>
          <w:tcPr>
            <w:tcW w:w="1180" w:type="dxa"/>
            <w:vAlign w:val="bottom"/>
            <w:shd w:val="clear" w:color="auto" w:fill="4F81BD"/>
          </w:tcPr>
          <w:p>
            <w:pPr>
              <w:spacing w:after="0"/>
              <w:rPr>
                <w:sz w:val="5"/>
                <w:szCs w:val="5"/>
                <w:color w:val="auto"/>
              </w:rPr>
            </w:pPr>
          </w:p>
        </w:tc>
      </w:tr>
      <w:tr>
        <w:trPr>
          <w:trHeight w:val="216"/>
        </w:trPr>
        <w:tc>
          <w:tcPr>
            <w:tcW w:w="7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Net sales</w:t>
            </w:r>
          </w:p>
        </w:tc>
        <w:tc>
          <w:tcPr>
            <w:tcW w:w="64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41"/>
              <w:spacing w:after="0" w:line="216" w:lineRule="exact"/>
              <w:rPr>
                <w:sz w:val="20"/>
                <w:szCs w:val="20"/>
                <w:color w:val="auto"/>
              </w:rPr>
            </w:pPr>
            <w:r>
              <w:rPr>
                <w:rFonts w:ascii="Arial" w:cs="Arial" w:eastAsia="Arial" w:hAnsi="Arial"/>
                <w:sz w:val="20"/>
                <w:szCs w:val="20"/>
                <w:color w:val="auto"/>
              </w:rPr>
              <w:t>1,482.1</w:t>
            </w:r>
          </w:p>
        </w:tc>
        <w:tc>
          <w:tcPr>
            <w:tcW w:w="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1,311.1</w:t>
            </w: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20"/>
                <w:szCs w:val="20"/>
                <w:color w:val="auto"/>
              </w:rPr>
              <w:t>Gross profit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462.4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435.9</w:t>
            </w:r>
          </w:p>
        </w:tc>
      </w:tr>
      <w:tr>
        <w:trPr>
          <w:trHeight w:val="216"/>
        </w:trPr>
        <w:tc>
          <w:tcPr>
            <w:tcW w:w="7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Gross profit margin</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31.2%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33.2%</w:t>
            </w: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20"/>
                <w:szCs w:val="20"/>
                <w:color w:val="auto"/>
              </w:rPr>
              <w:t>Income from operations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35.5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50.5</w:t>
            </w:r>
          </w:p>
        </w:tc>
      </w:tr>
      <w:tr>
        <w:trPr>
          <w:trHeight w:val="216"/>
        </w:trPr>
        <w:tc>
          <w:tcPr>
            <w:tcW w:w="7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Diluted net income per share</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41"/>
              <w:spacing w:after="0" w:line="216" w:lineRule="exact"/>
              <w:rPr>
                <w:sz w:val="20"/>
                <w:szCs w:val="20"/>
                <w:color w:val="auto"/>
              </w:rPr>
            </w:pPr>
            <w:r>
              <w:rPr>
                <w:rFonts w:ascii="Arial" w:cs="Arial" w:eastAsia="Arial" w:hAnsi="Arial"/>
                <w:sz w:val="20"/>
                <w:szCs w:val="20"/>
                <w:color w:val="auto"/>
              </w:rPr>
              <w:t>1.43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0.95</w:t>
            </w: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20"/>
                <w:szCs w:val="20"/>
                <w:color w:val="auto"/>
              </w:rPr>
              <w:t>Stock price at fiscal year end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41"/>
              <w:spacing w:after="0" w:line="216" w:lineRule="exact"/>
              <w:rPr>
                <w:sz w:val="20"/>
                <w:szCs w:val="20"/>
                <w:color w:val="auto"/>
              </w:rPr>
            </w:pPr>
            <w:r>
              <w:rPr>
                <w:rFonts w:ascii="Arial" w:cs="Arial" w:eastAsia="Arial" w:hAnsi="Arial"/>
                <w:sz w:val="20"/>
                <w:szCs w:val="20"/>
                <w:color w:val="auto"/>
              </w:rPr>
              <w:t>49.34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61.67</w:t>
            </w:r>
          </w:p>
        </w:tc>
      </w:tr>
      <w:tr>
        <w:trPr>
          <w:trHeight w:val="216"/>
        </w:trPr>
        <w:tc>
          <w:tcPr>
            <w:tcW w:w="7420" w:type="dxa"/>
            <w:vAlign w:val="bottom"/>
            <w:tcBorders>
              <w:bottom w:val="single" w:sz="8" w:color="005CA9"/>
            </w:tcBorders>
            <w:shd w:val="clear" w:color="auto" w:fill="CFF0FC"/>
          </w:tcPr>
          <w:p>
            <w:pPr>
              <w:ind w:left="80"/>
              <w:spacing w:after="0" w:line="216" w:lineRule="exact"/>
              <w:rPr>
                <w:sz w:val="20"/>
                <w:szCs w:val="20"/>
                <w:color w:val="auto"/>
              </w:rPr>
            </w:pPr>
            <w:r>
              <w:rPr>
                <w:rFonts w:ascii="Arial" w:cs="Arial" w:eastAsia="Arial" w:hAnsi="Arial"/>
                <w:sz w:val="20"/>
                <w:szCs w:val="20"/>
                <w:color w:val="auto"/>
              </w:rPr>
              <w:t>Adjusted earnings per share - common stockholders (Non-GAAP)</w:t>
            </w:r>
          </w:p>
        </w:tc>
        <w:tc>
          <w:tcPr>
            <w:tcW w:w="640" w:type="dxa"/>
            <w:vAlign w:val="bottom"/>
            <w:tcBorders>
              <w:bottom w:val="single" w:sz="8" w:color="005CA9"/>
            </w:tcBorders>
            <w:shd w:val="clear" w:color="auto" w:fill="CFF0FC"/>
          </w:tcPr>
          <w:p>
            <w:pPr>
              <w:spacing w:after="0"/>
              <w:rPr>
                <w:sz w:val="18"/>
                <w:szCs w:val="18"/>
                <w:color w:val="auto"/>
              </w:rPr>
            </w:pPr>
          </w:p>
        </w:tc>
        <w:tc>
          <w:tcPr>
            <w:tcW w:w="220" w:type="dxa"/>
            <w:vAlign w:val="bottom"/>
            <w:tcBorders>
              <w:bottom w:val="single" w:sz="8" w:color="005CA9"/>
            </w:tcBorders>
            <w:shd w:val="clear" w:color="auto" w:fill="CFF0FC"/>
          </w:tcPr>
          <w:p>
            <w:pPr>
              <w:spacing w:after="0"/>
              <w:rPr>
                <w:sz w:val="18"/>
                <w:szCs w:val="18"/>
                <w:color w:val="auto"/>
              </w:rPr>
            </w:pPr>
          </w:p>
        </w:tc>
        <w:tc>
          <w:tcPr>
            <w:tcW w:w="1260" w:type="dxa"/>
            <w:vAlign w:val="bottom"/>
            <w:tcBorders>
              <w:bottom w:val="single" w:sz="8" w:color="005CA9"/>
            </w:tcBorders>
            <w:shd w:val="clear" w:color="auto" w:fill="CFF0FC"/>
          </w:tcPr>
          <w:p>
            <w:pPr>
              <w:jc w:val="right"/>
              <w:ind w:right="241"/>
              <w:spacing w:after="0" w:line="216" w:lineRule="exact"/>
              <w:rPr>
                <w:sz w:val="20"/>
                <w:szCs w:val="20"/>
                <w:color w:val="auto"/>
              </w:rPr>
            </w:pPr>
            <w:r>
              <w:rPr>
                <w:rFonts w:ascii="Arial" w:cs="Arial" w:eastAsia="Arial" w:hAnsi="Arial"/>
                <w:sz w:val="20"/>
                <w:szCs w:val="20"/>
                <w:color w:val="auto"/>
              </w:rPr>
              <w:t>1.22</w:t>
            </w:r>
          </w:p>
        </w:tc>
        <w:tc>
          <w:tcPr>
            <w:tcW w:w="220" w:type="dxa"/>
            <w:vAlign w:val="bottom"/>
            <w:tcBorders>
              <w:bottom w:val="single" w:sz="8" w:color="005CA9"/>
            </w:tcBorders>
            <w:shd w:val="clear" w:color="auto" w:fill="CFF0FC"/>
          </w:tcPr>
          <w:p>
            <w:pPr>
              <w:spacing w:after="0"/>
              <w:rPr>
                <w:sz w:val="18"/>
                <w:szCs w:val="18"/>
                <w:color w:val="auto"/>
              </w:rPr>
            </w:pPr>
          </w:p>
        </w:tc>
        <w:tc>
          <w:tcPr>
            <w:tcW w:w="300" w:type="dxa"/>
            <w:vAlign w:val="bottom"/>
            <w:tcBorders>
              <w:bottom w:val="single" w:sz="8" w:color="005CA9"/>
            </w:tcBorders>
            <w:shd w:val="clear" w:color="auto" w:fill="CFF0FC"/>
          </w:tcPr>
          <w:p>
            <w:pPr>
              <w:spacing w:after="0"/>
              <w:rPr>
                <w:sz w:val="18"/>
                <w:szCs w:val="18"/>
                <w:color w:val="auto"/>
              </w:rPr>
            </w:pPr>
          </w:p>
        </w:tc>
        <w:tc>
          <w:tcPr>
            <w:tcW w:w="1180" w:type="dxa"/>
            <w:vAlign w:val="bottom"/>
            <w:tcBorders>
              <w:bottom w:val="single" w:sz="8" w:color="005CA9"/>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1.31</w:t>
            </w:r>
          </w:p>
        </w:tc>
      </w:tr>
      <w:tr>
        <w:trPr>
          <w:trHeight w:val="155"/>
        </w:trPr>
        <w:tc>
          <w:tcPr>
            <w:tcW w:w="8060" w:type="dxa"/>
            <w:vAlign w:val="bottom"/>
            <w:tcBorders>
              <w:bottom w:val="single" w:sz="8" w:color="005CA9"/>
            </w:tcBorders>
            <w:gridSpan w:val="2"/>
          </w:tcPr>
          <w:p>
            <w:pPr>
              <w:spacing w:after="0"/>
              <w:rPr>
                <w:sz w:val="13"/>
                <w:szCs w:val="13"/>
                <w:color w:val="auto"/>
              </w:rPr>
            </w:pPr>
          </w:p>
        </w:tc>
        <w:tc>
          <w:tcPr>
            <w:tcW w:w="1480" w:type="dxa"/>
            <w:vAlign w:val="bottom"/>
            <w:tcBorders>
              <w:bottom w:val="single" w:sz="8" w:color="005CA9"/>
            </w:tcBorders>
            <w:gridSpan w:val="2"/>
          </w:tcPr>
          <w:p>
            <w:pPr>
              <w:spacing w:after="0"/>
              <w:rPr>
                <w:sz w:val="13"/>
                <w:szCs w:val="13"/>
                <w:color w:val="auto"/>
              </w:rPr>
            </w:pPr>
          </w:p>
        </w:tc>
        <w:tc>
          <w:tcPr>
            <w:tcW w:w="220" w:type="dxa"/>
            <w:vAlign w:val="bottom"/>
            <w:tcBorders>
              <w:bottom w:val="single" w:sz="8" w:color="005CA9"/>
            </w:tcBorders>
          </w:tcPr>
          <w:p>
            <w:pPr>
              <w:spacing w:after="0"/>
              <w:rPr>
                <w:sz w:val="13"/>
                <w:szCs w:val="13"/>
                <w:color w:val="auto"/>
              </w:rPr>
            </w:pPr>
          </w:p>
        </w:tc>
        <w:tc>
          <w:tcPr>
            <w:tcW w:w="300" w:type="dxa"/>
            <w:vAlign w:val="bottom"/>
            <w:tcBorders>
              <w:bottom w:val="single" w:sz="8" w:color="005CA9"/>
            </w:tcBorders>
          </w:tcPr>
          <w:p>
            <w:pPr>
              <w:spacing w:after="0"/>
              <w:rPr>
                <w:sz w:val="13"/>
                <w:szCs w:val="13"/>
                <w:color w:val="auto"/>
              </w:rPr>
            </w:pPr>
          </w:p>
        </w:tc>
        <w:tc>
          <w:tcPr>
            <w:tcW w:w="1180" w:type="dxa"/>
            <w:vAlign w:val="bottom"/>
            <w:tcBorders>
              <w:bottom w:val="single" w:sz="8" w:color="005CA9"/>
            </w:tcBorders>
          </w:tcPr>
          <w:p>
            <w:pPr>
              <w:spacing w:after="0"/>
              <w:rPr>
                <w:sz w:val="13"/>
                <w:szCs w:val="13"/>
                <w:color w:val="auto"/>
              </w:rPr>
            </w:pPr>
          </w:p>
        </w:tc>
      </w:tr>
      <w:tr>
        <w:trPr>
          <w:trHeight w:val="210"/>
        </w:trPr>
        <w:tc>
          <w:tcPr>
            <w:tcW w:w="9540" w:type="dxa"/>
            <w:vAlign w:val="bottom"/>
            <w:gridSpan w:val="4"/>
          </w:tcPr>
          <w:p>
            <w:pPr>
              <w:jc w:val="center"/>
              <w:ind w:left="1482"/>
              <w:spacing w:after="0" w:line="209" w:lineRule="exact"/>
              <w:rPr>
                <w:sz w:val="20"/>
                <w:szCs w:val="20"/>
                <w:color w:val="auto"/>
              </w:rPr>
            </w:pPr>
            <w:r>
              <w:rPr>
                <w:rFonts w:ascii="Arial" w:cs="Arial" w:eastAsia="Arial" w:hAnsi="Arial"/>
                <w:sz w:val="20"/>
                <w:szCs w:val="20"/>
                <w:b w:val="1"/>
                <w:bCs w:val="1"/>
                <w:color w:val="auto"/>
                <w:w w:val="98"/>
              </w:rPr>
              <w:t>CONSOLIDATED RECONCILIATION OF NET INCOME TO ADJUSTED NET INCOME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420" w:type="dxa"/>
            <w:vAlign w:val="bottom"/>
            <w:shd w:val="clear" w:color="auto" w:fill="CFF0FC"/>
          </w:tcPr>
          <w:p>
            <w:pPr>
              <w:jc w:val="center"/>
              <w:ind w:left="3602"/>
              <w:spacing w:after="0" w:line="216" w:lineRule="exact"/>
              <w:rPr>
                <w:sz w:val="20"/>
                <w:szCs w:val="20"/>
                <w:color w:val="auto"/>
              </w:rPr>
            </w:pPr>
            <w:r>
              <w:rPr>
                <w:rFonts w:ascii="Arial" w:cs="Arial" w:eastAsia="Arial" w:hAnsi="Arial"/>
                <w:sz w:val="20"/>
                <w:szCs w:val="20"/>
                <w:color w:val="auto"/>
                <w:w w:val="98"/>
              </w:rPr>
              <w:t>(unaudited)</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7420" w:type="dxa"/>
            <w:vAlign w:val="bottom"/>
          </w:tcPr>
          <w:p>
            <w:pPr>
              <w:jc w:val="center"/>
              <w:ind w:left="3602"/>
              <w:spacing w:after="0" w:line="216" w:lineRule="exact"/>
              <w:rPr>
                <w:sz w:val="20"/>
                <w:szCs w:val="20"/>
                <w:color w:val="auto"/>
              </w:rPr>
            </w:pPr>
            <w:r>
              <w:rPr>
                <w:rFonts w:ascii="Arial" w:cs="Arial" w:eastAsia="Arial" w:hAnsi="Arial"/>
                <w:sz w:val="20"/>
                <w:szCs w:val="20"/>
                <w:color w:val="auto"/>
                <w:w w:val="98"/>
              </w:rPr>
              <w:t>(in thousands, except per share data)</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2"/>
        </w:trPr>
        <w:tc>
          <w:tcPr>
            <w:tcW w:w="74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960" w:type="dxa"/>
            <w:vAlign w:val="bottom"/>
            <w:gridSpan w:val="4"/>
            <w:shd w:val="clear" w:color="auto" w:fill="CFF0FC"/>
          </w:tcPr>
          <w:p>
            <w:pPr>
              <w:jc w:val="right"/>
              <w:ind w:right="401"/>
              <w:spacing w:after="0" w:line="192" w:lineRule="exact"/>
              <w:rPr>
                <w:sz w:val="20"/>
                <w:szCs w:val="20"/>
                <w:color w:val="auto"/>
              </w:rPr>
            </w:pPr>
            <w:r>
              <w:rPr>
                <w:rFonts w:ascii="Arial" w:cs="Arial" w:eastAsia="Arial" w:hAnsi="Arial"/>
                <w:sz w:val="20"/>
                <w:szCs w:val="20"/>
                <w:b w:val="1"/>
                <w:bCs w:val="1"/>
                <w:color w:val="auto"/>
              </w:rPr>
              <w:t>For the 12 Months Ended</w:t>
            </w:r>
          </w:p>
        </w:tc>
      </w:tr>
      <w:tr>
        <w:trPr>
          <w:trHeight w:val="240"/>
        </w:trPr>
        <w:tc>
          <w:tcPr>
            <w:tcW w:w="74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960" w:type="dxa"/>
            <w:vAlign w:val="bottom"/>
            <w:tcBorders>
              <w:bottom w:val="single" w:sz="8" w:color="auto"/>
            </w:tcBorders>
            <w:gridSpan w:val="4"/>
            <w:shd w:val="clear" w:color="auto" w:fill="CFF0FC"/>
          </w:tcPr>
          <w:p>
            <w:pPr>
              <w:jc w:val="right"/>
              <w:ind w:right="901"/>
              <w:spacing w:after="0"/>
              <w:rPr>
                <w:sz w:val="20"/>
                <w:szCs w:val="20"/>
                <w:color w:val="auto"/>
              </w:rPr>
            </w:pPr>
            <w:r>
              <w:rPr>
                <w:rFonts w:ascii="Arial" w:cs="Arial" w:eastAsia="Arial" w:hAnsi="Arial"/>
                <w:sz w:val="20"/>
                <w:szCs w:val="20"/>
                <w:b w:val="1"/>
                <w:bCs w:val="1"/>
                <w:color w:val="auto"/>
              </w:rPr>
              <w:t>December 31,</w:t>
            </w:r>
          </w:p>
        </w:tc>
      </w:tr>
      <w:tr>
        <w:trPr>
          <w:trHeight w:val="210"/>
        </w:trPr>
        <w:tc>
          <w:tcPr>
            <w:tcW w:w="7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1"/>
              <w:spacing w:after="0" w:line="209" w:lineRule="exact"/>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81"/>
              <w:spacing w:after="0" w:line="209" w:lineRule="exact"/>
              <w:rPr>
                <w:sz w:val="20"/>
                <w:szCs w:val="20"/>
                <w:color w:val="auto"/>
              </w:rPr>
            </w:pPr>
            <w:r>
              <w:rPr>
                <w:rFonts w:ascii="Arial" w:cs="Arial" w:eastAsia="Arial" w:hAnsi="Arial"/>
                <w:sz w:val="20"/>
                <w:szCs w:val="20"/>
                <w:b w:val="1"/>
                <w:bCs w:val="1"/>
                <w:color w:val="auto"/>
              </w:rPr>
              <w:t>2024</w:t>
            </w:r>
          </w:p>
        </w:tc>
      </w:tr>
      <w:tr>
        <w:trPr>
          <w:trHeight w:val="209"/>
        </w:trPr>
        <w:tc>
          <w:tcPr>
            <w:tcW w:w="74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line="196" w:lineRule="exact"/>
              <w:rPr>
                <w:sz w:val="20"/>
                <w:szCs w:val="20"/>
                <w:color w:val="auto"/>
              </w:rPr>
            </w:pPr>
            <w:r>
              <w:rPr>
                <w:rFonts w:ascii="Arial" w:cs="Arial" w:eastAsia="Arial" w:hAnsi="Arial"/>
                <w:sz w:val="20"/>
                <w:szCs w:val="20"/>
                <w:color w:val="auto"/>
              </w:rPr>
              <w:t>GAAP net income - common stockholders</w:t>
            </w: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1"/>
              <w:spacing w:after="0" w:line="196" w:lineRule="exact"/>
              <w:rPr>
                <w:sz w:val="20"/>
                <w:szCs w:val="20"/>
                <w:color w:val="auto"/>
              </w:rPr>
            </w:pPr>
            <w:r>
              <w:rPr>
                <w:rFonts w:ascii="Arial" w:cs="Arial" w:eastAsia="Arial" w:hAnsi="Arial"/>
                <w:sz w:val="20"/>
                <w:szCs w:val="20"/>
                <w:color w:val="auto"/>
              </w:rPr>
              <w:t>66,141</w:t>
            </w:r>
          </w:p>
        </w:tc>
        <w:tc>
          <w:tcPr>
            <w:tcW w:w="520" w:type="dxa"/>
            <w:vAlign w:val="bottom"/>
            <w:gridSpan w:val="2"/>
          </w:tcPr>
          <w:p>
            <w:pPr>
              <w:jc w:val="right"/>
              <w:ind w:right="180"/>
              <w:spacing w:after="0" w:line="19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196" w:lineRule="exact"/>
              <w:rPr>
                <w:sz w:val="20"/>
                <w:szCs w:val="20"/>
                <w:color w:val="auto"/>
              </w:rPr>
            </w:pPr>
            <w:r>
              <w:rPr>
                <w:rFonts w:ascii="Arial" w:cs="Arial" w:eastAsia="Arial" w:hAnsi="Arial"/>
                <w:sz w:val="20"/>
                <w:szCs w:val="20"/>
                <w:color w:val="auto"/>
              </w:rPr>
              <w:t>44,024</w:t>
            </w:r>
          </w:p>
        </w:tc>
      </w:tr>
      <w:tr>
        <w:trPr>
          <w:trHeight w:val="20"/>
        </w:trPr>
        <w:tc>
          <w:tcPr>
            <w:tcW w:w="7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20" w:type="dxa"/>
            <w:vAlign w:val="bottom"/>
            <w:shd w:val="clear" w:color="auto" w:fill="CFF0FC"/>
          </w:tcPr>
          <w:p>
            <w:pPr>
              <w:spacing w:after="0" w:line="197" w:lineRule="exact"/>
              <w:rPr>
                <w:sz w:val="20"/>
                <w:szCs w:val="20"/>
                <w:color w:val="auto"/>
              </w:rPr>
            </w:pPr>
            <w:r>
              <w:rPr>
                <w:rFonts w:ascii="Arial" w:cs="Arial" w:eastAsia="Arial" w:hAnsi="Arial"/>
                <w:sz w:val="20"/>
                <w:szCs w:val="20"/>
                <w:color w:val="auto"/>
              </w:rPr>
              <w:t>GAAP earnings per share - common stockholders</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420" w:type="dxa"/>
            <w:vAlign w:val="bottom"/>
          </w:tcPr>
          <w:p>
            <w:pPr>
              <w:ind w:left="80"/>
              <w:spacing w:after="0" w:line="196" w:lineRule="exact"/>
              <w:rPr>
                <w:sz w:val="20"/>
                <w:szCs w:val="20"/>
                <w:color w:val="auto"/>
              </w:rPr>
            </w:pPr>
            <w:r>
              <w:rPr>
                <w:rFonts w:ascii="Arial" w:cs="Arial" w:eastAsia="Arial" w:hAnsi="Arial"/>
                <w:sz w:val="20"/>
                <w:szCs w:val="20"/>
                <w:color w:val="auto"/>
              </w:rPr>
              <w:t>Diluted</w:t>
            </w: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1"/>
              <w:spacing w:after="0" w:line="196" w:lineRule="exact"/>
              <w:rPr>
                <w:sz w:val="20"/>
                <w:szCs w:val="20"/>
                <w:color w:val="auto"/>
              </w:rPr>
            </w:pPr>
            <w:r>
              <w:rPr>
                <w:rFonts w:ascii="Arial" w:cs="Arial" w:eastAsia="Arial" w:hAnsi="Arial"/>
                <w:sz w:val="20"/>
                <w:szCs w:val="20"/>
                <w:color w:val="auto"/>
              </w:rPr>
              <w:t>1.43</w:t>
            </w:r>
          </w:p>
        </w:tc>
        <w:tc>
          <w:tcPr>
            <w:tcW w:w="520" w:type="dxa"/>
            <w:vAlign w:val="bottom"/>
            <w:gridSpan w:val="2"/>
          </w:tcPr>
          <w:p>
            <w:pPr>
              <w:jc w:val="right"/>
              <w:ind w:right="180"/>
              <w:spacing w:after="0" w:line="19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196" w:lineRule="exact"/>
              <w:rPr>
                <w:sz w:val="20"/>
                <w:szCs w:val="20"/>
                <w:color w:val="auto"/>
              </w:rPr>
            </w:pPr>
            <w:r>
              <w:rPr>
                <w:rFonts w:ascii="Arial" w:cs="Arial" w:eastAsia="Arial" w:hAnsi="Arial"/>
                <w:sz w:val="20"/>
                <w:szCs w:val="20"/>
                <w:color w:val="auto"/>
              </w:rPr>
              <w:t>0.95</w:t>
            </w:r>
          </w:p>
        </w:tc>
      </w:tr>
      <w:tr>
        <w:trPr>
          <w:trHeight w:val="20"/>
        </w:trPr>
        <w:tc>
          <w:tcPr>
            <w:tcW w:w="7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20" w:type="dxa"/>
            <w:vAlign w:val="bottom"/>
            <w:shd w:val="clear" w:color="auto" w:fill="CFF0FC"/>
          </w:tcPr>
          <w:p>
            <w:pPr>
              <w:spacing w:after="0" w:line="197" w:lineRule="exact"/>
              <w:rPr>
                <w:sz w:val="20"/>
                <w:szCs w:val="20"/>
                <w:color w:val="auto"/>
              </w:rPr>
            </w:pPr>
            <w:r>
              <w:rPr>
                <w:rFonts w:ascii="Arial" w:cs="Arial" w:eastAsia="Arial" w:hAnsi="Arial"/>
                <w:sz w:val="20"/>
                <w:szCs w:val="20"/>
                <w:color w:val="auto"/>
              </w:rPr>
              <w:t>Adjustments to reconcile net income - common stockholders</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420" w:type="dxa"/>
            <w:vAlign w:val="bottom"/>
          </w:tcPr>
          <w:p>
            <w:pPr>
              <w:spacing w:after="0" w:line="216" w:lineRule="exact"/>
              <w:rPr>
                <w:sz w:val="20"/>
                <w:szCs w:val="20"/>
                <w:color w:val="auto"/>
              </w:rPr>
            </w:pPr>
            <w:r>
              <w:rPr>
                <w:rFonts w:ascii="Arial" w:cs="Arial" w:eastAsia="Arial" w:hAnsi="Arial"/>
                <w:sz w:val="20"/>
                <w:szCs w:val="20"/>
                <w:color w:val="auto"/>
              </w:rPr>
              <w:t>to adjusted net income - common stockholders, net of tax:</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Amortization of acquisition-related intangible assets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18,283</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13,487</w:t>
            </w: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20"/>
                <w:szCs w:val="20"/>
                <w:color w:val="auto"/>
              </w:rPr>
              <w:t>Board/Officer retirement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509</w:t>
            </w:r>
          </w:p>
        </w:tc>
      </w:tr>
      <w:tr>
        <w:trPr>
          <w:trHeight w:val="216"/>
        </w:trPr>
        <w:tc>
          <w:tcPr>
            <w:tcW w:w="7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Restructuring costs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280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7,545</w:t>
            </w: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20"/>
                <w:szCs w:val="20"/>
                <w:color w:val="auto"/>
              </w:rPr>
              <w:t>Insurance recovery for manufacturing facility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(5,714)</w:t>
            </w:r>
          </w:p>
        </w:tc>
      </w:tr>
      <w:tr>
        <w:trPr>
          <w:trHeight w:val="216"/>
        </w:trPr>
        <w:tc>
          <w:tcPr>
            <w:tcW w:w="7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Acquisition-related costs</w:t>
            </w: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196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837</w:t>
            </w: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20"/>
                <w:szCs w:val="20"/>
                <w:color w:val="auto"/>
              </w:rPr>
              <w:t>Gain on disposal of subsidiary</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20"/>
                <w:szCs w:val="20"/>
                <w:color w:val="auto"/>
              </w:rPr>
              <w:t>(12,693)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16"/>
        </w:trPr>
        <w:tc>
          <w:tcPr>
            <w:tcW w:w="7420" w:type="dxa"/>
            <w:vAlign w:val="bottom"/>
            <w:tcBorders>
              <w:bottom w:val="single" w:sz="8" w:color="CFF0FC"/>
            </w:tcBorders>
            <w:shd w:val="clear" w:color="auto" w:fill="CFF0FC"/>
          </w:tcPr>
          <w:p>
            <w:pPr>
              <w:ind w:left="80"/>
              <w:spacing w:after="0" w:line="216" w:lineRule="exact"/>
              <w:rPr>
                <w:sz w:val="20"/>
                <w:szCs w:val="20"/>
                <w:color w:val="auto"/>
              </w:rPr>
            </w:pPr>
            <w:r>
              <w:rPr>
                <w:rFonts w:ascii="Arial" w:cs="Arial" w:eastAsia="Arial" w:hAnsi="Arial"/>
                <w:sz w:val="20"/>
                <w:szCs w:val="20"/>
                <w:color w:val="auto"/>
              </w:rPr>
              <w:t>Gain/loss on investments</w:t>
            </w:r>
          </w:p>
        </w:tc>
        <w:tc>
          <w:tcPr>
            <w:tcW w:w="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(15,617)</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257</w:t>
            </w:r>
          </w:p>
        </w:tc>
      </w:tr>
      <w:tr>
        <w:trPr>
          <w:trHeight w:val="209"/>
        </w:trPr>
        <w:tc>
          <w:tcPr>
            <w:tcW w:w="7420" w:type="dxa"/>
            <w:vAlign w:val="bottom"/>
          </w:tcPr>
          <w:p>
            <w:pPr>
              <w:spacing w:after="0" w:line="195" w:lineRule="exact"/>
              <w:rPr>
                <w:sz w:val="20"/>
                <w:szCs w:val="20"/>
                <w:color w:val="auto"/>
              </w:rPr>
            </w:pPr>
            <w:r>
              <w:rPr>
                <w:rFonts w:ascii="Arial" w:cs="Arial" w:eastAsia="Arial" w:hAnsi="Arial"/>
                <w:sz w:val="17"/>
                <w:szCs w:val="17"/>
                <w:color w:val="auto"/>
              </w:rPr>
              <w:t xml:space="preserve">Adjusted net income - common stockholders (Non-GAAP) </w:t>
            </w:r>
            <w:r>
              <w:rPr>
                <w:rFonts w:ascii="Arial" w:cs="Arial" w:eastAsia="Arial" w:hAnsi="Arial"/>
                <w:sz w:val="22"/>
                <w:szCs w:val="22"/>
                <w:color w:val="auto"/>
                <w:vertAlign w:val="superscript"/>
              </w:rPr>
              <w:t>(1)</w:t>
            </w: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1"/>
              <w:spacing w:after="0" w:line="196" w:lineRule="exact"/>
              <w:rPr>
                <w:sz w:val="20"/>
                <w:szCs w:val="20"/>
                <w:color w:val="auto"/>
              </w:rPr>
            </w:pPr>
            <w:r>
              <w:rPr>
                <w:rFonts w:ascii="Arial" w:cs="Arial" w:eastAsia="Arial" w:hAnsi="Arial"/>
                <w:sz w:val="20"/>
                <w:szCs w:val="20"/>
                <w:color w:val="auto"/>
              </w:rPr>
              <w:t>56,682</w:t>
            </w:r>
          </w:p>
        </w:tc>
        <w:tc>
          <w:tcPr>
            <w:tcW w:w="520" w:type="dxa"/>
            <w:vAlign w:val="bottom"/>
            <w:gridSpan w:val="2"/>
          </w:tcPr>
          <w:p>
            <w:pPr>
              <w:jc w:val="right"/>
              <w:ind w:right="180"/>
              <w:spacing w:after="0" w:line="19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196" w:lineRule="exact"/>
              <w:rPr>
                <w:sz w:val="20"/>
                <w:szCs w:val="20"/>
                <w:color w:val="auto"/>
              </w:rPr>
            </w:pPr>
            <w:r>
              <w:rPr>
                <w:rFonts w:ascii="Arial" w:cs="Arial" w:eastAsia="Arial" w:hAnsi="Arial"/>
                <w:sz w:val="20"/>
                <w:szCs w:val="20"/>
                <w:color w:val="auto"/>
              </w:rPr>
              <w:t>60,945</w:t>
            </w:r>
          </w:p>
        </w:tc>
      </w:tr>
      <w:tr>
        <w:trPr>
          <w:trHeight w:val="20"/>
        </w:trPr>
        <w:tc>
          <w:tcPr>
            <w:tcW w:w="7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420" w:type="dxa"/>
            <w:vAlign w:val="bottom"/>
          </w:tcPr>
          <w:p>
            <w:pPr>
              <w:ind w:left="80"/>
              <w:spacing w:after="0" w:line="196" w:lineRule="exact"/>
              <w:rPr>
                <w:sz w:val="20"/>
                <w:szCs w:val="20"/>
                <w:color w:val="auto"/>
              </w:rPr>
            </w:pPr>
            <w:r>
              <w:rPr>
                <w:rFonts w:ascii="Arial" w:cs="Arial" w:eastAsia="Arial" w:hAnsi="Arial"/>
                <w:sz w:val="20"/>
                <w:szCs w:val="20"/>
                <w:color w:val="auto"/>
              </w:rPr>
              <w:t>Diluted shares used in computing earnings per share</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46,414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line="196" w:lineRule="exact"/>
              <w:rPr>
                <w:sz w:val="20"/>
                <w:szCs w:val="20"/>
                <w:color w:val="auto"/>
              </w:rPr>
            </w:pPr>
            <w:r>
              <w:rPr>
                <w:rFonts w:ascii="Arial" w:cs="Arial" w:eastAsia="Arial" w:hAnsi="Arial"/>
                <w:sz w:val="20"/>
                <w:szCs w:val="20"/>
                <w:color w:val="auto"/>
              </w:rPr>
              <w:t>46,408</w:t>
            </w:r>
          </w:p>
        </w:tc>
      </w:tr>
      <w:tr>
        <w:trPr>
          <w:trHeight w:val="20"/>
        </w:trPr>
        <w:tc>
          <w:tcPr>
            <w:tcW w:w="7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7420" w:type="dxa"/>
            <w:vAlign w:val="bottom"/>
            <w:shd w:val="clear" w:color="auto" w:fill="CFF0FC"/>
          </w:tcPr>
          <w:p>
            <w:pPr>
              <w:spacing w:after="0" w:line="197" w:lineRule="exact"/>
              <w:rPr>
                <w:sz w:val="20"/>
                <w:szCs w:val="20"/>
                <w:color w:val="auto"/>
              </w:rPr>
            </w:pPr>
            <w:r>
              <w:rPr>
                <w:rFonts w:ascii="Arial" w:cs="Arial" w:eastAsia="Arial" w:hAnsi="Arial"/>
                <w:sz w:val="20"/>
                <w:szCs w:val="20"/>
                <w:color w:val="auto"/>
              </w:rPr>
              <w:t>Adjusted earnings per share - common stockholders (Non-GAAP)</w:t>
            </w: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420" w:type="dxa"/>
            <w:vAlign w:val="bottom"/>
          </w:tcPr>
          <w:p>
            <w:pPr>
              <w:ind w:left="80"/>
              <w:spacing w:after="0" w:line="216" w:lineRule="exact"/>
              <w:rPr>
                <w:sz w:val="20"/>
                <w:szCs w:val="20"/>
                <w:color w:val="auto"/>
              </w:rPr>
            </w:pPr>
            <w:r>
              <w:rPr>
                <w:rFonts w:ascii="Arial" w:cs="Arial" w:eastAsia="Arial" w:hAnsi="Arial"/>
                <w:sz w:val="19"/>
                <w:szCs w:val="19"/>
                <w:color w:val="auto"/>
              </w:rPr>
              <w:t xml:space="preserve">Diluted </w:t>
            </w:r>
            <w:r>
              <w:rPr>
                <w:rFonts w:ascii="Arial" w:cs="Arial" w:eastAsia="Arial" w:hAnsi="Arial"/>
                <w:sz w:val="25"/>
                <w:szCs w:val="25"/>
                <w:color w:val="auto"/>
                <w:vertAlign w:val="superscript"/>
              </w:rPr>
              <w:t>(1)</w:t>
            </w:r>
          </w:p>
        </w:tc>
        <w:tc>
          <w:tcPr>
            <w:tcW w:w="860" w:type="dxa"/>
            <w:vAlign w:val="bottom"/>
            <w:gridSpan w:val="2"/>
          </w:tcPr>
          <w:p>
            <w:pPr>
              <w:jc w:val="right"/>
              <w:ind w:right="100"/>
              <w:spacing w:after="0" w:line="21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1.22</w:t>
            </w:r>
          </w:p>
        </w:tc>
        <w:tc>
          <w:tcPr>
            <w:tcW w:w="520" w:type="dxa"/>
            <w:vAlign w:val="bottom"/>
            <w:gridSpan w:val="2"/>
          </w:tcPr>
          <w:p>
            <w:pPr>
              <w:jc w:val="right"/>
              <w:ind w:right="180"/>
              <w:spacing w:after="0" w:line="216"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1.31</w:t>
            </w:r>
          </w:p>
        </w:tc>
      </w:tr>
      <w:tr>
        <w:trPr>
          <w:trHeight w:val="20"/>
        </w:trPr>
        <w:tc>
          <w:tcPr>
            <w:tcW w:w="7420" w:type="dxa"/>
            <w:vAlign w:val="bottom"/>
            <w:tcBorders>
              <w:bottom w:val="single" w:sz="8" w:color="005CA9"/>
            </w:tcBorders>
          </w:tcPr>
          <w:p>
            <w:pPr>
              <w:spacing w:after="0" w:line="20" w:lineRule="exact"/>
              <w:rPr>
                <w:sz w:val="1"/>
                <w:szCs w:val="1"/>
                <w:color w:val="auto"/>
              </w:rPr>
            </w:pPr>
          </w:p>
        </w:tc>
        <w:tc>
          <w:tcPr>
            <w:tcW w:w="640" w:type="dxa"/>
            <w:vAlign w:val="bottom"/>
            <w:tcBorders>
              <w:bottom w:val="single" w:sz="8" w:color="005CA9"/>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005CA9"/>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-770890</wp:posOffset>
            </wp:positionV>
            <wp:extent cx="146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ind w:left="300" w:right="20" w:hanging="292"/>
        <w:spacing w:after="0" w:line="256" w:lineRule="auto"/>
        <w:tabs>
          <w:tab w:leader="none" w:pos="300" w:val="left"/>
        </w:tabs>
        <w:numPr>
          <w:ilvl w:val="0"/>
          <w:numId w:val="21"/>
        </w:numPr>
        <w:rPr>
          <w:rFonts w:ascii="Calibri" w:cs="Calibri" w:eastAsia="Calibri" w:hAnsi="Calibri"/>
          <w:sz w:val="14"/>
          <w:szCs w:val="14"/>
          <w:color w:val="auto"/>
        </w:rPr>
      </w:pPr>
      <w:r>
        <w:rPr>
          <w:rFonts w:ascii="Arial" w:cs="Arial" w:eastAsia="Arial" w:hAnsi="Arial"/>
          <w:sz w:val="14"/>
          <w:szCs w:val="14"/>
          <w:color w:val="auto"/>
        </w:rPr>
        <w:t>See Exhibit 99.1 to the Current Report on Form 8-K filed with the SEC on February 10, 2026 for a description of the adjustments used to calculate Adjusted net income – common stockholders (Non-GAAP) and Adjusted earnings per share – common stockholders (Non-GAAP) Diluted.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28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t>OVERVIEW OF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365F91"/>
        </w:rPr>
        <w:t>Compensation Philosophy</w:t>
      </w:r>
    </w:p>
    <w:p>
      <w:pPr>
        <w:spacing w:after="0" w:line="105"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Our executive compensation program is designed to attract, retain, and motivate experienced executives to achieve sustainable profitable growth and generate positive cash flow. Our compensation philosophy is driven by the following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45720</wp:posOffset>
            </wp:positionV>
            <wp:extent cx="6172200" cy="3317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29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365F91"/>
        </w:rPr>
        <w:t>Best-Practice Compensation Governance Features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Our executive compensation program is based upon best-practices.</w:t>
      </w:r>
    </w:p>
    <w:p>
      <w:pPr>
        <w:spacing w:after="0" w:line="322" w:lineRule="exact"/>
        <w:rPr>
          <w:sz w:val="20"/>
          <w:szCs w:val="20"/>
          <w:color w:val="auto"/>
        </w:rPr>
      </w:pPr>
    </w:p>
    <w:p>
      <w:pPr>
        <w:ind w:left="80"/>
        <w:spacing w:after="0"/>
        <w:tabs>
          <w:tab w:leader="none" w:pos="5100" w:val="left"/>
        </w:tabs>
        <w:rPr>
          <w:sz w:val="20"/>
          <w:szCs w:val="20"/>
          <w:color w:val="auto"/>
        </w:rPr>
      </w:pPr>
      <w:r>
        <w:rPr>
          <w:rFonts w:ascii="Arial" w:cs="Arial" w:eastAsia="Arial" w:hAnsi="Arial"/>
          <w:sz w:val="20"/>
          <w:szCs w:val="20"/>
          <w:b w:val="1"/>
          <w:bCs w:val="1"/>
          <w:color w:val="auto"/>
        </w:rPr>
        <w:t>What We Do</w:t>
      </w:r>
      <w:r>
        <w:rPr>
          <w:sz w:val="20"/>
          <w:szCs w:val="20"/>
          <w:color w:val="auto"/>
        </w:rPr>
        <w:tab/>
      </w:r>
      <w:r>
        <w:rPr>
          <w:rFonts w:ascii="Arial" w:cs="Arial" w:eastAsia="Arial" w:hAnsi="Arial"/>
          <w:sz w:val="19"/>
          <w:szCs w:val="19"/>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61" w:lineRule="exact"/>
        <w:rPr>
          <w:sz w:val="20"/>
          <w:szCs w:val="20"/>
          <w:color w:val="auto"/>
        </w:rPr>
      </w:pPr>
    </w:p>
    <w:p>
      <w:pPr>
        <w:ind w:left="420" w:hanging="408"/>
        <w:spacing w:after="0"/>
        <w:tabs>
          <w:tab w:leader="none" w:pos="420" w:val="left"/>
        </w:tabs>
        <w:numPr>
          <w:ilvl w:val="0"/>
          <w:numId w:val="22"/>
        </w:numPr>
        <w:rPr>
          <w:rFonts w:ascii="Wingdings" w:cs="Wingdings" w:eastAsia="Wingdings" w:hAnsi="Wingdings"/>
          <w:sz w:val="20"/>
          <w:szCs w:val="20"/>
          <w:b w:val="1"/>
          <w:bCs w:val="1"/>
          <w:color w:val="auto"/>
          <w:highlight w:val="black"/>
        </w:rPr>
      </w:pPr>
      <w:r>
        <w:rPr>
          <w:rFonts w:ascii="Arial" w:cs="Arial" w:eastAsia="Arial" w:hAnsi="Arial"/>
          <w:sz w:val="20"/>
          <w:szCs w:val="20"/>
          <w:color w:val="auto"/>
        </w:rPr>
        <w:t xml:space="preserve">Place  heavy  emphasis  on  performance-based   </w:t>
      </w:r>
      <w:r>
        <w:rPr>
          <w:rFonts w:ascii="Arial" w:cs="Arial" w:eastAsia="Arial" w:hAnsi="Arial"/>
          <w:sz w:val="20"/>
          <w:szCs w:val="20"/>
          <w:b w:val="1"/>
          <w:bCs w:val="1"/>
          <w:color w:val="auto"/>
        </w:rPr>
        <w:t>X</w:t>
      </w:r>
      <w:r>
        <w:rPr>
          <w:rFonts w:ascii="Arial" w:cs="Arial" w:eastAsia="Arial" w:hAnsi="Arial"/>
          <w:sz w:val="20"/>
          <w:szCs w:val="20"/>
          <w:color w:val="auto"/>
        </w:rPr>
        <w:t xml:space="preserve"> Allow option backdating, cash out of underwater options,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986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861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4"/>
        </w:trPr>
        <w:tc>
          <w:tcPr>
            <w:tcW w:w="5060" w:type="dxa"/>
            <w:vAlign w:val="bottom"/>
          </w:tcPr>
          <w:p>
            <w:pPr>
              <w:ind w:left="400"/>
              <w:spacing w:after="0" w:line="204" w:lineRule="exact"/>
              <w:rPr>
                <w:sz w:val="20"/>
                <w:szCs w:val="20"/>
                <w:color w:val="auto"/>
              </w:rPr>
            </w:pPr>
            <w:r>
              <w:rPr>
                <w:rFonts w:ascii="Arial" w:cs="Arial" w:eastAsia="Arial" w:hAnsi="Arial"/>
                <w:sz w:val="20"/>
                <w:szCs w:val="20"/>
                <w:color w:val="auto"/>
              </w:rPr>
              <w:t>variable  compensation.  Generally  the  Company</w:t>
            </w:r>
          </w:p>
        </w:tc>
        <w:tc>
          <w:tcPr>
            <w:tcW w:w="6160" w:type="dxa"/>
            <w:vAlign w:val="bottom"/>
          </w:tcPr>
          <w:p>
            <w:pPr>
              <w:ind w:left="360"/>
              <w:spacing w:after="0" w:line="204" w:lineRule="exact"/>
              <w:rPr>
                <w:sz w:val="20"/>
                <w:szCs w:val="20"/>
                <w:color w:val="auto"/>
              </w:rPr>
            </w:pPr>
            <w:r>
              <w:rPr>
                <w:rFonts w:ascii="Arial" w:cs="Arial" w:eastAsia="Arial" w:hAnsi="Arial"/>
                <w:sz w:val="20"/>
                <w:szCs w:val="20"/>
                <w:color w:val="auto"/>
              </w:rPr>
              <w:t>option repricing</w:t>
            </w:r>
          </w:p>
        </w:tc>
        <w:tc>
          <w:tcPr>
            <w:tcW w:w="0" w:type="dxa"/>
            <w:vAlign w:val="bottom"/>
          </w:tcPr>
          <w:p>
            <w:pPr>
              <w:spacing w:after="0"/>
              <w:rPr>
                <w:sz w:val="1"/>
                <w:szCs w:val="1"/>
                <w:color w:val="auto"/>
              </w:rPr>
            </w:pPr>
          </w:p>
        </w:tc>
      </w:tr>
      <w:tr>
        <w:trPr>
          <w:trHeight w:val="216"/>
        </w:trPr>
        <w:tc>
          <w:tcPr>
            <w:tcW w:w="5060" w:type="dxa"/>
            <w:vAlign w:val="bottom"/>
          </w:tcPr>
          <w:p>
            <w:pPr>
              <w:ind w:left="400"/>
              <w:spacing w:after="0" w:line="216" w:lineRule="exact"/>
              <w:rPr>
                <w:sz w:val="20"/>
                <w:szCs w:val="20"/>
                <w:color w:val="auto"/>
              </w:rPr>
            </w:pPr>
            <w:r>
              <w:rPr>
                <w:rFonts w:ascii="Arial" w:cs="Arial" w:eastAsia="Arial" w:hAnsi="Arial"/>
                <w:sz w:val="20"/>
                <w:szCs w:val="20"/>
                <w:color w:val="auto"/>
              </w:rPr>
              <w:t>sets performance objectives for annual bonuses</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00"/>
              <w:spacing w:after="0" w:line="216" w:lineRule="exact"/>
              <w:rPr>
                <w:sz w:val="20"/>
                <w:szCs w:val="20"/>
                <w:color w:val="auto"/>
              </w:rPr>
            </w:pPr>
            <w:r>
              <w:rPr>
                <w:rFonts w:ascii="Arial" w:cs="Arial" w:eastAsia="Arial" w:hAnsi="Arial"/>
                <w:sz w:val="20"/>
                <w:szCs w:val="20"/>
                <w:color w:val="auto"/>
              </w:rPr>
              <w:t>and long-term equity incentives higher year-over-</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00"/>
              <w:spacing w:after="0" w:line="216" w:lineRule="exact"/>
              <w:rPr>
                <w:sz w:val="20"/>
                <w:szCs w:val="20"/>
                <w:color w:val="auto"/>
              </w:rPr>
            </w:pPr>
            <w:r>
              <w:rPr>
                <w:rFonts w:ascii="Arial" w:cs="Arial" w:eastAsia="Arial" w:hAnsi="Arial"/>
                <w:sz w:val="20"/>
                <w:szCs w:val="20"/>
                <w:color w:val="auto"/>
              </w:rPr>
              <w:t>year to establish challenging goals and thereby</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00"/>
              <w:spacing w:after="0" w:line="216" w:lineRule="exact"/>
              <w:rPr>
                <w:sz w:val="20"/>
                <w:szCs w:val="20"/>
                <w:color w:val="auto"/>
              </w:rPr>
            </w:pPr>
            <w:r>
              <w:rPr>
                <w:rFonts w:ascii="Arial" w:cs="Arial" w:eastAsia="Arial" w:hAnsi="Arial"/>
                <w:sz w:val="20"/>
                <w:szCs w:val="20"/>
                <w:color w:val="auto"/>
              </w:rPr>
              <w:t>align  the  interests  of  our  executives  with  the</w:t>
            </w:r>
          </w:p>
        </w:tc>
        <w:tc>
          <w:tcPr>
            <w:tcW w:w="6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400"/>
              <w:spacing w:after="0"/>
              <w:rPr>
                <w:sz w:val="20"/>
                <w:szCs w:val="20"/>
                <w:color w:val="auto"/>
              </w:rPr>
            </w:pPr>
            <w:r>
              <w:rPr>
                <w:rFonts w:ascii="Arial" w:cs="Arial" w:eastAsia="Arial" w:hAnsi="Arial"/>
                <w:sz w:val="20"/>
                <w:szCs w:val="20"/>
                <w:color w:val="auto"/>
              </w:rPr>
              <w:t>interests of our stockholders</w:t>
            </w:r>
          </w:p>
        </w:tc>
        <w:tc>
          <w:tcPr>
            <w:tcW w:w="616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Gross up excise taxes upon a change in control</w:t>
            </w:r>
          </w:p>
        </w:tc>
        <w:tc>
          <w:tcPr>
            <w:tcW w:w="0" w:type="dxa"/>
            <w:vAlign w:val="bottom"/>
          </w:tcPr>
          <w:p>
            <w:pPr>
              <w:spacing w:after="0"/>
              <w:rPr>
                <w:sz w:val="1"/>
                <w:szCs w:val="1"/>
                <w:color w:val="auto"/>
              </w:rPr>
            </w:pPr>
          </w:p>
        </w:tc>
      </w:tr>
      <w:tr>
        <w:trPr>
          <w:trHeight w:val="216"/>
        </w:trPr>
        <w:tc>
          <w:tcPr>
            <w:tcW w:w="5060" w:type="dxa"/>
            <w:vAlign w:val="bottom"/>
          </w:tcPr>
          <w:p>
            <w:pPr>
              <w:spacing w:after="0" w:line="216" w:lineRule="exact"/>
              <w:rPr>
                <w:sz w:val="20"/>
                <w:szCs w:val="20"/>
                <w:color w:val="auto"/>
              </w:rPr>
            </w:pPr>
            <w:r>
              <w:rPr>
                <w:rFonts w:ascii="Wingdings" w:cs="Wingdings" w:eastAsia="Wingdings" w:hAnsi="Wingdings"/>
                <w:sz w:val="20"/>
                <w:szCs w:val="20"/>
                <w:b w:val="1"/>
                <w:bCs w:val="1"/>
                <w:color w:val="auto"/>
                <w:highlight w:val="black"/>
              </w:rPr>
              <w:t xml:space="preserve">  </w:t>
            </w:r>
            <w:r>
              <w:rPr>
                <w:rFonts w:ascii="Arial" w:cs="Arial" w:eastAsia="Arial" w:hAnsi="Arial"/>
                <w:sz w:val="20"/>
                <w:szCs w:val="20"/>
                <w:color w:val="auto"/>
              </w:rPr>
              <w:t>Emphasize long-term equity awards in executive</w:t>
            </w:r>
          </w:p>
        </w:tc>
        <w:tc>
          <w:tcPr>
            <w:tcW w:w="6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400"/>
              <w:spacing w:after="0"/>
              <w:rPr>
                <w:sz w:val="20"/>
                <w:szCs w:val="20"/>
                <w:color w:val="auto"/>
              </w:rPr>
            </w:pPr>
            <w:r>
              <w:rPr>
                <w:rFonts w:ascii="Arial" w:cs="Arial" w:eastAsia="Arial" w:hAnsi="Arial"/>
                <w:sz w:val="20"/>
                <w:szCs w:val="20"/>
                <w:color w:val="auto"/>
              </w:rPr>
              <w:t>pay mix</w:t>
            </w:r>
          </w:p>
        </w:tc>
        <w:tc>
          <w:tcPr>
            <w:tcW w:w="616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Permit hedging or pledging of Company stock, or short sales and</w:t>
            </w:r>
          </w:p>
        </w:tc>
        <w:tc>
          <w:tcPr>
            <w:tcW w:w="0" w:type="dxa"/>
            <w:vAlign w:val="bottom"/>
          </w:tcPr>
          <w:p>
            <w:pPr>
              <w:spacing w:after="0"/>
              <w:rPr>
                <w:sz w:val="1"/>
                <w:szCs w:val="1"/>
                <w:color w:val="auto"/>
              </w:rPr>
            </w:pPr>
          </w:p>
        </w:tc>
      </w:tr>
      <w:tr>
        <w:trPr>
          <w:trHeight w:val="216"/>
        </w:trPr>
        <w:tc>
          <w:tcPr>
            <w:tcW w:w="5060" w:type="dxa"/>
            <w:vAlign w:val="bottom"/>
          </w:tcPr>
          <w:p>
            <w:pPr>
              <w:spacing w:after="0" w:line="216" w:lineRule="exact"/>
              <w:rPr>
                <w:sz w:val="20"/>
                <w:szCs w:val="20"/>
                <w:color w:val="auto"/>
              </w:rPr>
            </w:pPr>
            <w:r>
              <w:rPr>
                <w:rFonts w:ascii="Wingdings" w:cs="Wingdings" w:eastAsia="Wingdings" w:hAnsi="Wingdings"/>
                <w:sz w:val="20"/>
                <w:szCs w:val="20"/>
                <w:b w:val="1"/>
                <w:bCs w:val="1"/>
                <w:color w:val="auto"/>
                <w:highlight w:val="black"/>
              </w:rPr>
              <w:t xml:space="preserve">  </w:t>
            </w:r>
            <w:r>
              <w:rPr>
                <w:rFonts w:ascii="Arial" w:cs="Arial" w:eastAsia="Arial" w:hAnsi="Arial"/>
                <w:sz w:val="20"/>
                <w:szCs w:val="20"/>
                <w:color w:val="auto"/>
              </w:rPr>
              <w:t>Apply  stock  ownership  and  stock  retention</w:t>
            </w:r>
          </w:p>
        </w:tc>
        <w:tc>
          <w:tcPr>
            <w:tcW w:w="6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00"/>
              <w:spacing w:after="0" w:line="216" w:lineRule="exact"/>
              <w:rPr>
                <w:sz w:val="20"/>
                <w:szCs w:val="20"/>
                <w:color w:val="auto"/>
              </w:rPr>
            </w:pPr>
            <w:r>
              <w:rPr>
                <w:rFonts w:ascii="Arial" w:cs="Arial" w:eastAsia="Arial" w:hAnsi="Arial"/>
                <w:sz w:val="20"/>
                <w:szCs w:val="20"/>
                <w:color w:val="auto"/>
              </w:rPr>
              <w:t>guidelines  to  align  executives’  interests  with</w:t>
            </w:r>
          </w:p>
        </w:tc>
        <w:tc>
          <w:tcPr>
            <w:tcW w:w="6160" w:type="dxa"/>
            <w:vAlign w:val="bottom"/>
          </w:tcPr>
          <w:p>
            <w:pPr>
              <w:ind w:left="360"/>
              <w:spacing w:after="0" w:line="216" w:lineRule="exact"/>
              <w:rPr>
                <w:sz w:val="20"/>
                <w:szCs w:val="20"/>
                <w:color w:val="auto"/>
              </w:rPr>
            </w:pPr>
            <w:r>
              <w:rPr>
                <w:rFonts w:ascii="Arial" w:cs="Arial" w:eastAsia="Arial" w:hAnsi="Arial"/>
                <w:sz w:val="20"/>
                <w:szCs w:val="20"/>
                <w:color w:val="auto"/>
              </w:rPr>
              <w:t>transactions in derivatives</w:t>
            </w:r>
          </w:p>
        </w:tc>
        <w:tc>
          <w:tcPr>
            <w:tcW w:w="0" w:type="dxa"/>
            <w:vAlign w:val="bottom"/>
          </w:tcPr>
          <w:p>
            <w:pPr>
              <w:spacing w:after="0"/>
              <w:rPr>
                <w:sz w:val="1"/>
                <w:szCs w:val="1"/>
                <w:color w:val="auto"/>
              </w:rPr>
            </w:pPr>
          </w:p>
        </w:tc>
      </w:tr>
      <w:tr>
        <w:trPr>
          <w:trHeight w:val="261"/>
        </w:trPr>
        <w:tc>
          <w:tcPr>
            <w:tcW w:w="5060" w:type="dxa"/>
            <w:vAlign w:val="bottom"/>
          </w:tcPr>
          <w:p>
            <w:pPr>
              <w:ind w:left="400"/>
              <w:spacing w:after="0"/>
              <w:rPr>
                <w:sz w:val="20"/>
                <w:szCs w:val="20"/>
                <w:color w:val="auto"/>
              </w:rPr>
            </w:pPr>
            <w:r>
              <w:rPr>
                <w:rFonts w:ascii="Arial" w:cs="Arial" w:eastAsia="Arial" w:hAnsi="Arial"/>
                <w:sz w:val="20"/>
                <w:szCs w:val="20"/>
                <w:color w:val="auto"/>
              </w:rPr>
              <w:t>stockholders’ interests</w:t>
            </w:r>
          </w:p>
        </w:tc>
        <w:tc>
          <w:tcPr>
            <w:tcW w:w="6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436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5440" w:right="20" w:hanging="5428"/>
        <w:spacing w:after="0" w:line="246" w:lineRule="auto"/>
        <w:tabs>
          <w:tab w:leader="none" w:pos="415" w:val="left"/>
        </w:tabs>
        <w:numPr>
          <w:ilvl w:val="0"/>
          <w:numId w:val="23"/>
        </w:numPr>
        <w:rPr>
          <w:rFonts w:ascii="Wingdings" w:cs="Wingdings" w:eastAsia="Wingdings" w:hAnsi="Wingdings"/>
          <w:sz w:val="20"/>
          <w:szCs w:val="20"/>
          <w:b w:val="1"/>
          <w:bCs w:val="1"/>
          <w:color w:val="auto"/>
          <w:highlight w:val="black"/>
        </w:rPr>
      </w:pPr>
      <w:r>
        <w:rPr>
          <w:rFonts w:ascii="Arial" w:cs="Arial" w:eastAsia="Arial" w:hAnsi="Arial"/>
          <w:sz w:val="20"/>
          <w:szCs w:val="20"/>
          <w:color w:val="auto"/>
        </w:rPr>
        <w:t xml:space="preserve">Include a clawback provision in our incentive plans </w:t>
      </w:r>
      <w:r>
        <w:rPr>
          <w:rFonts w:ascii="Arial" w:cs="Arial" w:eastAsia="Arial" w:hAnsi="Arial"/>
          <w:sz w:val="20"/>
          <w:szCs w:val="20"/>
          <w:b w:val="1"/>
          <w:bCs w:val="1"/>
          <w:color w:val="auto"/>
        </w:rPr>
        <w:t>X</w:t>
      </w:r>
      <w:r>
        <w:rPr>
          <w:rFonts w:ascii="Arial" w:cs="Arial" w:eastAsia="Arial" w:hAnsi="Arial"/>
          <w:sz w:val="20"/>
          <w:szCs w:val="20"/>
          <w:color w:val="auto"/>
        </w:rPr>
        <w:t xml:space="preserve"> Provide perquisites to NEOs that are not available to other senior management generally</w:t>
      </w:r>
    </w:p>
    <w:p>
      <w:pPr>
        <w:ind w:left="20"/>
        <w:spacing w:after="0"/>
        <w:tabs>
          <w:tab w:leader="none" w:pos="400" w:val="left"/>
          <w:tab w:leader="none" w:pos="5180" w:val="left"/>
        </w:tabs>
        <w:rPr>
          <w:sz w:val="20"/>
          <w:szCs w:val="20"/>
          <w:color w:val="auto"/>
        </w:rPr>
      </w:pPr>
      <w:r>
        <w:rPr>
          <w:rFonts w:ascii="Wingdings" w:cs="Wingdings" w:eastAsia="Wingdings" w:hAnsi="Wingdings"/>
          <w:sz w:val="20"/>
          <w:szCs w:val="20"/>
          <w:b w:val="1"/>
          <w:bCs w:val="1"/>
          <w:color w:val="auto"/>
          <w:highlight w:val="black"/>
        </w:rPr>
        <w:t></w:t>
      </w:r>
      <w:r>
        <w:rPr>
          <w:sz w:val="20"/>
          <w:szCs w:val="20"/>
          <w:color w:val="auto"/>
        </w:rPr>
        <w:tab/>
      </w:r>
      <w:r>
        <w:rPr>
          <w:rFonts w:ascii="Arial" w:cs="Arial" w:eastAsia="Arial" w:hAnsi="Arial"/>
          <w:sz w:val="20"/>
          <w:szCs w:val="20"/>
          <w:color w:val="auto"/>
        </w:rPr>
        <w:t>Conduct an annual risk assessment</w:t>
      </w:r>
      <w:r>
        <w:rPr>
          <w:sz w:val="20"/>
          <w:szCs w:val="20"/>
          <w:color w:val="auto"/>
        </w:rPr>
        <w:tab/>
      </w:r>
      <w:r>
        <w:rPr>
          <w:rFonts w:ascii="Arial" w:cs="Arial" w:eastAsia="Arial" w:hAnsi="Arial"/>
          <w:sz w:val="19"/>
          <w:szCs w:val="19"/>
          <w:b w:val="1"/>
          <w:bCs w:val="1"/>
          <w:color w:val="auto"/>
        </w:rPr>
        <w:t xml:space="preserve">X </w:t>
      </w:r>
      <w:r>
        <w:rPr>
          <w:rFonts w:ascii="Arial" w:cs="Arial" w:eastAsia="Arial" w:hAnsi="Arial"/>
          <w:sz w:val="19"/>
          <w:szCs w:val="19"/>
          <w:color w:val="auto"/>
        </w:rPr>
        <w:t>Offer enhanced retirement formulas or death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 w:lineRule="exact"/>
        <w:rPr>
          <w:sz w:val="20"/>
          <w:szCs w:val="20"/>
          <w:color w:val="auto"/>
        </w:rPr>
      </w:pPr>
    </w:p>
    <w:p>
      <w:pPr>
        <w:ind w:left="420" w:right="160" w:hanging="408"/>
        <w:spacing w:after="0" w:line="234" w:lineRule="auto"/>
        <w:tabs>
          <w:tab w:leader="none" w:pos="420" w:val="left"/>
        </w:tabs>
        <w:numPr>
          <w:ilvl w:val="0"/>
          <w:numId w:val="24"/>
        </w:numPr>
        <w:rPr>
          <w:rFonts w:ascii="Wingdings" w:cs="Wingdings" w:eastAsia="Wingdings" w:hAnsi="Wingdings"/>
          <w:sz w:val="20"/>
          <w:szCs w:val="20"/>
          <w:b w:val="1"/>
          <w:bCs w:val="1"/>
          <w:color w:val="auto"/>
          <w:highlight w:val="black"/>
        </w:rPr>
      </w:pPr>
      <w:r>
        <w:rPr>
          <w:rFonts w:ascii="Arial" w:cs="Arial" w:eastAsia="Arial" w:hAnsi="Arial"/>
          <w:sz w:val="20"/>
          <w:szCs w:val="20"/>
          <w:color w:val="auto"/>
        </w:rPr>
        <w:t xml:space="preserve">Engage an independent compensation consultant </w:t>
      </w:r>
      <w:r>
        <w:rPr>
          <w:rFonts w:ascii="Arial" w:cs="Arial" w:eastAsia="Arial" w:hAnsi="Arial"/>
          <w:sz w:val="20"/>
          <w:szCs w:val="20"/>
          <w:b w:val="1"/>
          <w:bCs w:val="1"/>
          <w:color w:val="auto"/>
        </w:rPr>
        <w:t>X</w:t>
      </w:r>
      <w:r>
        <w:rPr>
          <w:rFonts w:ascii="Arial" w:cs="Arial" w:eastAsia="Arial" w:hAnsi="Arial"/>
          <w:sz w:val="20"/>
          <w:szCs w:val="20"/>
          <w:color w:val="auto"/>
        </w:rPr>
        <w:t xml:space="preserve"> Provide automatic acceleration of equity awards upon retirement periodically to ensure alignment with market</w:t>
      </w:r>
    </w:p>
    <w:p>
      <w:pPr>
        <w:ind w:left="420"/>
        <w:spacing w:after="0"/>
        <w:rPr>
          <w:rFonts w:ascii="Wingdings" w:cs="Wingdings" w:eastAsia="Wingdings" w:hAnsi="Wingdings"/>
          <w:sz w:val="20"/>
          <w:szCs w:val="20"/>
          <w:b w:val="1"/>
          <w:bCs w:val="1"/>
          <w:color w:val="auto"/>
          <w:highlight w:val="black"/>
        </w:rPr>
      </w:pPr>
      <w:r>
        <w:rPr>
          <w:rFonts w:ascii="Arial" w:cs="Arial" w:eastAsia="Arial" w:hAnsi="Arial"/>
          <w:sz w:val="20"/>
          <w:szCs w:val="20"/>
          <w:color w:val="auto"/>
        </w:rPr>
        <w:t>executive compensation</w:t>
      </w:r>
    </w:p>
    <w:p>
      <w:pPr>
        <w:spacing w:after="0" w:line="13" w:lineRule="exact"/>
        <w:rPr>
          <w:rFonts w:ascii="Wingdings" w:cs="Wingdings" w:eastAsia="Wingdings" w:hAnsi="Wingdings"/>
          <w:sz w:val="20"/>
          <w:szCs w:val="20"/>
          <w:b w:val="1"/>
          <w:bCs w:val="1"/>
          <w:color w:val="auto"/>
          <w:highlight w:val="black"/>
        </w:rPr>
      </w:pPr>
    </w:p>
    <w:p>
      <w:pPr>
        <w:ind w:left="420" w:hanging="408"/>
        <w:spacing w:after="0"/>
        <w:tabs>
          <w:tab w:leader="none" w:pos="420" w:val="left"/>
        </w:tabs>
        <w:numPr>
          <w:ilvl w:val="0"/>
          <w:numId w:val="24"/>
        </w:numPr>
        <w:rPr>
          <w:rFonts w:ascii="Wingdings" w:cs="Wingdings" w:eastAsia="Wingdings" w:hAnsi="Wingdings"/>
          <w:sz w:val="20"/>
          <w:szCs w:val="20"/>
          <w:b w:val="1"/>
          <w:bCs w:val="1"/>
          <w:color w:val="auto"/>
          <w:highlight w:val="black"/>
        </w:rPr>
      </w:pPr>
      <w:r>
        <w:rPr>
          <w:rFonts w:ascii="Arial" w:cs="Arial" w:eastAsia="Arial" w:hAnsi="Arial"/>
          <w:sz w:val="20"/>
          <w:szCs w:val="20"/>
          <w:color w:val="auto"/>
        </w:rPr>
        <w:t xml:space="preserve">Have  a  “double-trigger”  equity  vesting  upon  a   </w:t>
      </w:r>
      <w:r>
        <w:rPr>
          <w:rFonts w:ascii="Arial" w:cs="Arial" w:eastAsia="Arial" w:hAnsi="Arial"/>
          <w:sz w:val="20"/>
          <w:szCs w:val="20"/>
          <w:b w:val="1"/>
          <w:bCs w:val="1"/>
          <w:color w:val="auto"/>
        </w:rPr>
        <w:t>X</w:t>
      </w:r>
      <w:r>
        <w:rPr>
          <w:rFonts w:ascii="Arial" w:cs="Arial" w:eastAsia="Arial" w:hAnsi="Arial"/>
          <w:sz w:val="20"/>
          <w:szCs w:val="20"/>
          <w:color w:val="auto"/>
        </w:rPr>
        <w:t xml:space="preserve"> Provide automatic “single trigger” acceleration of equity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25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ind w:left="420"/>
        <w:spacing w:after="0"/>
        <w:tabs>
          <w:tab w:leader="none" w:pos="5420" w:val="left"/>
        </w:tabs>
        <w:rPr>
          <w:sz w:val="20"/>
          <w:szCs w:val="20"/>
          <w:color w:val="auto"/>
        </w:rPr>
      </w:pPr>
      <w:r>
        <w:rPr>
          <w:rFonts w:ascii="Arial" w:cs="Arial" w:eastAsia="Arial" w:hAnsi="Arial"/>
          <w:sz w:val="20"/>
          <w:szCs w:val="20"/>
          <w:color w:val="auto"/>
        </w:rPr>
        <w:t>change in control</w:t>
      </w:r>
      <w:r>
        <w:rPr>
          <w:sz w:val="20"/>
          <w:szCs w:val="20"/>
          <w:color w:val="auto"/>
        </w:rPr>
        <w:tab/>
      </w:r>
      <w:r>
        <w:rPr>
          <w:rFonts w:ascii="Arial" w:cs="Arial" w:eastAsia="Arial" w:hAnsi="Arial"/>
          <w:sz w:val="19"/>
          <w:szCs w:val="19"/>
          <w:color w:val="auto"/>
        </w:rPr>
        <w:t>benefits in the event of a change in control</w:t>
      </w:r>
    </w:p>
    <w:p>
      <w:pPr>
        <w:spacing w:after="0" w:line="47" w:lineRule="exact"/>
        <w:rPr>
          <w:sz w:val="20"/>
          <w:szCs w:val="20"/>
          <w:color w:val="auto"/>
        </w:rPr>
      </w:pPr>
    </w:p>
    <w:p>
      <w:pPr>
        <w:jc w:val="center"/>
        <w:ind w:left="5200" w:hanging="5188"/>
        <w:spacing w:after="0" w:line="259" w:lineRule="auto"/>
        <w:tabs>
          <w:tab w:leader="none" w:pos="175" w:val="left"/>
        </w:tabs>
        <w:numPr>
          <w:ilvl w:val="0"/>
          <w:numId w:val="25"/>
        </w:numPr>
        <w:rPr>
          <w:rFonts w:ascii="Wingdings" w:cs="Wingdings" w:eastAsia="Wingdings" w:hAnsi="Wingdings"/>
          <w:sz w:val="20"/>
          <w:szCs w:val="20"/>
          <w:b w:val="1"/>
          <w:bCs w:val="1"/>
          <w:color w:val="auto"/>
          <w:highlight w:val="black"/>
        </w:rPr>
      </w:pPr>
      <w:r>
        <w:rPr>
          <w:rFonts w:ascii="Arial" w:cs="Arial" w:eastAsia="Arial" w:hAnsi="Arial"/>
          <w:sz w:val="20"/>
          <w:szCs w:val="20"/>
          <w:color w:val="auto"/>
        </w:rPr>
        <w:t>Conduct an annual stockholder say-on-pay vote</w:t>
      </w:r>
      <w:r>
        <w:rPr>
          <w:rFonts w:ascii="Arial" w:cs="Arial" w:eastAsia="Arial" w:hAnsi="Arial"/>
          <w:sz w:val="20"/>
          <w:szCs w:val="20"/>
          <w:b w:val="1"/>
          <w:bCs w:val="1"/>
          <w:color w:val="auto"/>
        </w:rPr>
        <w:t xml:space="preserve">X </w:t>
      </w:r>
      <w:r>
        <w:rPr>
          <w:rFonts w:ascii="Arial" w:cs="Arial" w:eastAsia="Arial" w:hAnsi="Arial"/>
          <w:sz w:val="20"/>
          <w:szCs w:val="20"/>
          <w:color w:val="auto"/>
        </w:rPr>
        <w:t>Pay dividend equivalents on unearned restricted shares or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Components of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principal elements of our executive compensation program for 2023, 2024, and 2025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67722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200" w:type="dxa"/>
            <w:vAlign w:val="bottom"/>
            <w:tcBorders>
              <w:bottom w:val="single" w:sz="8" w:color="005CA9"/>
            </w:tcBorders>
          </w:tcPr>
          <w:p>
            <w:pPr>
              <w:ind w:left="20"/>
              <w:spacing w:after="0"/>
              <w:rPr>
                <w:sz w:val="20"/>
                <w:szCs w:val="20"/>
                <w:color w:val="auto"/>
              </w:rPr>
            </w:pPr>
            <w:r>
              <w:rPr>
                <w:rFonts w:ascii="Arial" w:cs="Arial" w:eastAsia="Arial" w:hAnsi="Arial"/>
                <w:sz w:val="20"/>
                <w:szCs w:val="20"/>
                <w:b w:val="1"/>
                <w:bCs w:val="1"/>
                <w:color w:val="auto"/>
              </w:rPr>
              <w:t>Element</w:t>
            </w:r>
          </w:p>
        </w:tc>
        <w:tc>
          <w:tcPr>
            <w:tcW w:w="1040" w:type="dxa"/>
            <w:vAlign w:val="bottom"/>
            <w:tcBorders>
              <w:bottom w:val="single" w:sz="8" w:color="005CA9"/>
            </w:tcBorders>
          </w:tcPr>
          <w:p>
            <w:pPr>
              <w:ind w:left="60"/>
              <w:spacing w:after="0"/>
              <w:rPr>
                <w:sz w:val="20"/>
                <w:szCs w:val="20"/>
                <w:color w:val="auto"/>
              </w:rPr>
            </w:pPr>
            <w:r>
              <w:rPr>
                <w:rFonts w:ascii="Arial" w:cs="Arial" w:eastAsia="Arial" w:hAnsi="Arial"/>
                <w:sz w:val="20"/>
                <w:szCs w:val="20"/>
                <w:b w:val="1"/>
                <w:bCs w:val="1"/>
                <w:color w:val="auto"/>
              </w:rPr>
              <w:t>Form</w:t>
            </w:r>
          </w:p>
        </w:tc>
        <w:tc>
          <w:tcPr>
            <w:tcW w:w="3280" w:type="dxa"/>
            <w:vAlign w:val="bottom"/>
            <w:tcBorders>
              <w:bottom w:val="single" w:sz="8" w:color="005CA9"/>
            </w:tcBorders>
          </w:tcPr>
          <w:p>
            <w:pPr>
              <w:ind w:left="120"/>
              <w:spacing w:after="0"/>
              <w:rPr>
                <w:sz w:val="20"/>
                <w:szCs w:val="20"/>
                <w:color w:val="auto"/>
              </w:rPr>
            </w:pPr>
            <w:r>
              <w:rPr>
                <w:rFonts w:ascii="Arial" w:cs="Arial" w:eastAsia="Arial" w:hAnsi="Arial"/>
                <w:sz w:val="20"/>
                <w:szCs w:val="20"/>
                <w:b w:val="1"/>
                <w:bCs w:val="1"/>
                <w:color w:val="auto"/>
              </w:rPr>
              <w:t>What It Does</w:t>
            </w:r>
          </w:p>
        </w:tc>
        <w:tc>
          <w:tcPr>
            <w:tcW w:w="5160" w:type="dxa"/>
            <w:vAlign w:val="bottom"/>
            <w:tcBorders>
              <w:bottom w:val="single" w:sz="8" w:color="005CA9"/>
            </w:tcBorders>
          </w:tcPr>
          <w:p>
            <w:pPr>
              <w:ind w:left="1300"/>
              <w:spacing w:after="0"/>
              <w:rPr>
                <w:sz w:val="20"/>
                <w:szCs w:val="20"/>
                <w:color w:val="auto"/>
              </w:rPr>
            </w:pPr>
            <w:r>
              <w:rPr>
                <w:rFonts w:ascii="Arial" w:cs="Arial" w:eastAsia="Arial" w:hAnsi="Arial"/>
                <w:sz w:val="20"/>
                <w:szCs w:val="20"/>
                <w:b w:val="1"/>
                <w:bCs w:val="1"/>
                <w:color w:val="auto"/>
              </w:rPr>
              <w:t>How It Links to Performance</w:t>
            </w:r>
          </w:p>
        </w:tc>
      </w:tr>
      <w:tr>
        <w:trPr>
          <w:trHeight w:val="194"/>
        </w:trPr>
        <w:tc>
          <w:tcPr>
            <w:tcW w:w="1200" w:type="dxa"/>
            <w:vAlign w:val="bottom"/>
            <w:shd w:val="clear" w:color="auto" w:fill="CFF0FC"/>
          </w:tcPr>
          <w:p>
            <w:pPr>
              <w:ind w:left="20"/>
              <w:spacing w:after="0" w:line="194" w:lineRule="exact"/>
              <w:rPr>
                <w:sz w:val="20"/>
                <w:szCs w:val="20"/>
                <w:color w:val="auto"/>
              </w:rPr>
            </w:pPr>
            <w:r>
              <w:rPr>
                <w:rFonts w:ascii="Arial" w:cs="Arial" w:eastAsia="Arial" w:hAnsi="Arial"/>
                <w:sz w:val="20"/>
                <w:szCs w:val="20"/>
                <w:b w:val="1"/>
                <w:bCs w:val="1"/>
                <w:color w:val="auto"/>
              </w:rPr>
              <w:t>Base Salary</w:t>
            </w:r>
          </w:p>
        </w:tc>
        <w:tc>
          <w:tcPr>
            <w:tcW w:w="1040" w:type="dxa"/>
            <w:vAlign w:val="bottom"/>
            <w:shd w:val="clear" w:color="auto" w:fill="CFF0FC"/>
          </w:tcPr>
          <w:p>
            <w:pPr>
              <w:ind w:left="60"/>
              <w:spacing w:after="0" w:line="194" w:lineRule="exact"/>
              <w:rPr>
                <w:sz w:val="20"/>
                <w:szCs w:val="20"/>
                <w:color w:val="auto"/>
              </w:rPr>
            </w:pPr>
            <w:r>
              <w:rPr>
                <w:rFonts w:ascii="Arial" w:cs="Arial" w:eastAsia="Arial" w:hAnsi="Arial"/>
                <w:sz w:val="20"/>
                <w:szCs w:val="20"/>
                <w:color w:val="auto"/>
              </w:rPr>
              <w:t>Cash</w:t>
            </w:r>
          </w:p>
        </w:tc>
        <w:tc>
          <w:tcPr>
            <w:tcW w:w="3280" w:type="dxa"/>
            <w:vAlign w:val="bottom"/>
            <w:shd w:val="clear" w:color="auto" w:fill="CFF0FC"/>
          </w:tcPr>
          <w:p>
            <w:pPr>
              <w:ind w:left="120"/>
              <w:spacing w:after="0" w:line="194" w:lineRule="exact"/>
              <w:rPr>
                <w:sz w:val="20"/>
                <w:szCs w:val="20"/>
                <w:color w:val="auto"/>
              </w:rPr>
            </w:pPr>
            <w:r>
              <w:rPr>
                <w:rFonts w:ascii="Arial" w:cs="Arial" w:eastAsia="Arial" w:hAnsi="Arial"/>
                <w:sz w:val="20"/>
                <w:szCs w:val="20"/>
                <w:color w:val="auto"/>
              </w:rPr>
              <w:t>Provides   a   competitive   rate</w:t>
            </w:r>
          </w:p>
        </w:tc>
        <w:tc>
          <w:tcPr>
            <w:tcW w:w="516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Based on job scope, level of responsibilities, experience,</w:t>
            </w:r>
          </w:p>
        </w:tc>
      </w:tr>
      <w:tr>
        <w:trPr>
          <w:trHeight w:val="216"/>
        </w:trPr>
        <w:tc>
          <w:tcPr>
            <w:tcW w:w="1200" w:type="dxa"/>
            <w:vAlign w:val="bottom"/>
            <w:shd w:val="clear" w:color="auto" w:fill="CFF0FC"/>
          </w:tcPr>
          <w:p>
            <w:pPr>
              <w:spacing w:after="0"/>
              <w:rPr>
                <w:sz w:val="18"/>
                <w:szCs w:val="18"/>
                <w:color w:val="auto"/>
              </w:rPr>
            </w:pPr>
          </w:p>
        </w:tc>
        <w:tc>
          <w:tcPr>
            <w:tcW w:w="104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(Fixed)</w:t>
            </w:r>
          </w:p>
        </w:tc>
        <w:tc>
          <w:tcPr>
            <w:tcW w:w="32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relative to similar positions in the</w:t>
            </w:r>
          </w:p>
        </w:tc>
        <w:tc>
          <w:tcPr>
            <w:tcW w:w="51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tenure, and market levels</w:t>
            </w:r>
          </w:p>
        </w:tc>
      </w:tr>
      <w:tr>
        <w:trPr>
          <w:trHeight w:val="216"/>
        </w:trPr>
        <w:tc>
          <w:tcPr>
            <w:tcW w:w="1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market, and enables the Company</w:t>
            </w:r>
          </w:p>
        </w:tc>
        <w:tc>
          <w:tcPr>
            <w:tcW w:w="5160" w:type="dxa"/>
            <w:vAlign w:val="bottom"/>
            <w:shd w:val="clear" w:color="auto" w:fill="CFF0FC"/>
          </w:tcPr>
          <w:p>
            <w:pPr>
              <w:spacing w:after="0"/>
              <w:rPr>
                <w:sz w:val="18"/>
                <w:szCs w:val="18"/>
                <w:color w:val="auto"/>
              </w:rPr>
            </w:pPr>
          </w:p>
        </w:tc>
      </w:tr>
      <w:tr>
        <w:trPr>
          <w:trHeight w:val="216"/>
        </w:trPr>
        <w:tc>
          <w:tcPr>
            <w:tcW w:w="1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to  attract  and  retain  critical</w:t>
            </w:r>
          </w:p>
        </w:tc>
        <w:tc>
          <w:tcPr>
            <w:tcW w:w="5160" w:type="dxa"/>
            <w:vAlign w:val="bottom"/>
            <w:shd w:val="clear" w:color="auto" w:fill="CFF0FC"/>
          </w:tcPr>
          <w:p>
            <w:pPr>
              <w:spacing w:after="0"/>
              <w:rPr>
                <w:sz w:val="18"/>
                <w:szCs w:val="18"/>
                <w:color w:val="auto"/>
              </w:rPr>
            </w:pPr>
          </w:p>
        </w:tc>
      </w:tr>
      <w:tr>
        <w:trPr>
          <w:trHeight w:val="238"/>
        </w:trPr>
        <w:tc>
          <w:tcPr>
            <w:tcW w:w="1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executive talent</w:t>
            </w:r>
          </w:p>
        </w:tc>
        <w:tc>
          <w:tcPr>
            <w:tcW w:w="5160" w:type="dxa"/>
            <w:vAlign w:val="bottom"/>
            <w:shd w:val="clear" w:color="auto" w:fill="CFF0FC"/>
          </w:tcPr>
          <w:p>
            <w:pPr>
              <w:spacing w:after="0"/>
              <w:rPr>
                <w:sz w:val="20"/>
                <w:szCs w:val="20"/>
                <w:color w:val="auto"/>
              </w:rPr>
            </w:pPr>
          </w:p>
        </w:tc>
      </w:tr>
      <w:tr>
        <w:trPr>
          <w:trHeight w:val="192"/>
        </w:trPr>
        <w:tc>
          <w:tcPr>
            <w:tcW w:w="1200" w:type="dxa"/>
            <w:vAlign w:val="bottom"/>
          </w:tcPr>
          <w:p>
            <w:pPr>
              <w:ind w:left="20"/>
              <w:spacing w:after="0" w:line="192" w:lineRule="exact"/>
              <w:rPr>
                <w:sz w:val="20"/>
                <w:szCs w:val="20"/>
                <w:color w:val="auto"/>
              </w:rPr>
            </w:pPr>
            <w:r>
              <w:rPr>
                <w:rFonts w:ascii="Arial" w:cs="Arial" w:eastAsia="Arial" w:hAnsi="Arial"/>
                <w:sz w:val="20"/>
                <w:szCs w:val="20"/>
                <w:b w:val="1"/>
                <w:bCs w:val="1"/>
                <w:color w:val="auto"/>
              </w:rPr>
              <w:t>Annual</w:t>
            </w:r>
          </w:p>
        </w:tc>
        <w:tc>
          <w:tcPr>
            <w:tcW w:w="1040" w:type="dxa"/>
            <w:vAlign w:val="bottom"/>
          </w:tcPr>
          <w:p>
            <w:pPr>
              <w:ind w:left="60"/>
              <w:spacing w:after="0" w:line="192" w:lineRule="exact"/>
              <w:rPr>
                <w:sz w:val="20"/>
                <w:szCs w:val="20"/>
                <w:color w:val="auto"/>
              </w:rPr>
            </w:pPr>
            <w:r>
              <w:rPr>
                <w:rFonts w:ascii="Arial" w:cs="Arial" w:eastAsia="Arial" w:hAnsi="Arial"/>
                <w:sz w:val="20"/>
                <w:szCs w:val="20"/>
                <w:color w:val="auto"/>
              </w:rPr>
              <w:t>Cash</w:t>
            </w:r>
          </w:p>
        </w:tc>
        <w:tc>
          <w:tcPr>
            <w:tcW w:w="3280" w:type="dxa"/>
            <w:vAlign w:val="bottom"/>
          </w:tcPr>
          <w:p>
            <w:pPr>
              <w:ind w:left="120"/>
              <w:spacing w:after="0" w:line="192" w:lineRule="exact"/>
              <w:rPr>
                <w:sz w:val="20"/>
                <w:szCs w:val="20"/>
                <w:color w:val="auto"/>
              </w:rPr>
            </w:pPr>
            <w:r>
              <w:rPr>
                <w:rFonts w:ascii="Arial" w:cs="Arial" w:eastAsia="Arial" w:hAnsi="Arial"/>
                <w:sz w:val="20"/>
                <w:szCs w:val="20"/>
                <w:color w:val="auto"/>
              </w:rPr>
              <w:t>Focuses executives on achieving</w:t>
            </w:r>
          </w:p>
        </w:tc>
        <w:tc>
          <w:tcPr>
            <w:tcW w:w="5160" w:type="dxa"/>
            <w:vAlign w:val="bottom"/>
          </w:tcPr>
          <w:p>
            <w:pPr>
              <w:ind w:left="100"/>
              <w:spacing w:after="0" w:line="192" w:lineRule="exact"/>
              <w:rPr>
                <w:sz w:val="20"/>
                <w:szCs w:val="20"/>
                <w:color w:val="auto"/>
              </w:rPr>
            </w:pPr>
            <w:r>
              <w:rPr>
                <w:rFonts w:ascii="Arial" w:cs="Arial" w:eastAsia="Arial" w:hAnsi="Arial"/>
                <w:sz w:val="20"/>
                <w:szCs w:val="20"/>
                <w:color w:val="auto"/>
              </w:rPr>
              <w:t>Payouts: 0% to 200% of target, based on results against</w:t>
            </w:r>
          </w:p>
        </w:tc>
      </w:tr>
      <w:tr>
        <w:trPr>
          <w:trHeight w:val="216"/>
        </w:trPr>
        <w:tc>
          <w:tcPr>
            <w:tcW w:w="120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(Bonus)</w:t>
            </w:r>
          </w:p>
        </w:tc>
        <w:tc>
          <w:tcPr>
            <w:tcW w:w="1040" w:type="dxa"/>
            <w:vAlign w:val="bottom"/>
          </w:tcPr>
          <w:p>
            <w:pPr>
              <w:ind w:left="60"/>
              <w:spacing w:after="0" w:line="216" w:lineRule="exact"/>
              <w:rPr>
                <w:sz w:val="20"/>
                <w:szCs w:val="20"/>
                <w:color w:val="auto"/>
              </w:rPr>
            </w:pPr>
            <w:r>
              <w:rPr>
                <w:rFonts w:ascii="Arial" w:cs="Arial" w:eastAsia="Arial" w:hAnsi="Arial"/>
                <w:sz w:val="20"/>
                <w:szCs w:val="20"/>
                <w:color w:val="auto"/>
              </w:rPr>
              <w:t>(Variable)</w:t>
            </w:r>
          </w:p>
        </w:tc>
        <w:tc>
          <w:tcPr>
            <w:tcW w:w="3280" w:type="dxa"/>
            <w:vAlign w:val="bottom"/>
          </w:tcPr>
          <w:p>
            <w:pPr>
              <w:ind w:left="120"/>
              <w:spacing w:after="0" w:line="216" w:lineRule="exact"/>
              <w:rPr>
                <w:sz w:val="20"/>
                <w:szCs w:val="20"/>
                <w:color w:val="auto"/>
              </w:rPr>
            </w:pPr>
            <w:r>
              <w:rPr>
                <w:rFonts w:ascii="Arial" w:cs="Arial" w:eastAsia="Arial" w:hAnsi="Arial"/>
                <w:sz w:val="20"/>
                <w:szCs w:val="20"/>
                <w:color w:val="auto"/>
              </w:rPr>
              <w:t>annual financial and strategic</w:t>
            </w:r>
          </w:p>
        </w:tc>
        <w:tc>
          <w:tcPr>
            <w:tcW w:w="5160" w:type="dxa"/>
            <w:vAlign w:val="bottom"/>
          </w:tcPr>
          <w:p>
            <w:pPr>
              <w:ind w:left="100"/>
              <w:spacing w:after="0" w:line="216" w:lineRule="exact"/>
              <w:rPr>
                <w:sz w:val="20"/>
                <w:szCs w:val="20"/>
                <w:color w:val="auto"/>
              </w:rPr>
            </w:pPr>
            <w:r>
              <w:rPr>
                <w:rFonts w:ascii="Arial" w:cs="Arial" w:eastAsia="Arial" w:hAnsi="Arial"/>
                <w:sz w:val="20"/>
                <w:szCs w:val="20"/>
                <w:color w:val="auto"/>
              </w:rPr>
              <w:t>pre-established goals</w:t>
            </w:r>
          </w:p>
        </w:tc>
      </w:tr>
      <w:tr>
        <w:trPr>
          <w:trHeight w:val="216"/>
        </w:trPr>
        <w:tc>
          <w:tcPr>
            <w:tcW w:w="1200" w:type="dxa"/>
            <w:vAlign w:val="bottom"/>
          </w:tcPr>
          <w:p>
            <w:pPr>
              <w:ind w:left="20"/>
              <w:spacing w:after="0" w:line="216" w:lineRule="exact"/>
              <w:rPr>
                <w:sz w:val="20"/>
                <w:szCs w:val="20"/>
                <w:color w:val="auto"/>
              </w:rPr>
            </w:pPr>
            <w:r>
              <w:rPr>
                <w:rFonts w:ascii="Arial" w:cs="Arial" w:eastAsia="Arial" w:hAnsi="Arial"/>
                <w:sz w:val="20"/>
                <w:szCs w:val="20"/>
                <w:b w:val="1"/>
                <w:bCs w:val="1"/>
                <w:color w:val="auto"/>
              </w:rPr>
              <w:t>Incentive</w:t>
            </w:r>
          </w:p>
        </w:tc>
        <w:tc>
          <w:tcPr>
            <w:tcW w:w="1040" w:type="dxa"/>
            <w:vAlign w:val="bottom"/>
          </w:tcPr>
          <w:p>
            <w:pPr>
              <w:spacing w:after="0"/>
              <w:rPr>
                <w:sz w:val="18"/>
                <w:szCs w:val="18"/>
                <w:color w:val="auto"/>
              </w:rPr>
            </w:pPr>
          </w:p>
        </w:tc>
        <w:tc>
          <w:tcPr>
            <w:tcW w:w="3280" w:type="dxa"/>
            <w:vAlign w:val="bottom"/>
          </w:tcPr>
          <w:p>
            <w:pPr>
              <w:ind w:left="120"/>
              <w:spacing w:after="0" w:line="216" w:lineRule="exact"/>
              <w:rPr>
                <w:sz w:val="20"/>
                <w:szCs w:val="20"/>
                <w:color w:val="auto"/>
              </w:rPr>
            </w:pPr>
            <w:r>
              <w:rPr>
                <w:rFonts w:ascii="Arial" w:cs="Arial" w:eastAsia="Arial" w:hAnsi="Arial"/>
                <w:sz w:val="20"/>
                <w:szCs w:val="20"/>
                <w:color w:val="auto"/>
              </w:rPr>
              <w:t>goals that drive long-term</w:t>
            </w:r>
          </w:p>
        </w:tc>
        <w:tc>
          <w:tcPr>
            <w:tcW w:w="5160" w:type="dxa"/>
            <w:vAlign w:val="bottom"/>
          </w:tcPr>
          <w:p>
            <w:pPr>
              <w:ind w:left="100"/>
              <w:spacing w:after="0" w:line="216" w:lineRule="exact"/>
              <w:rPr>
                <w:sz w:val="20"/>
                <w:szCs w:val="20"/>
                <w:color w:val="auto"/>
              </w:rPr>
            </w:pPr>
            <w:r>
              <w:rPr>
                <w:rFonts w:ascii="Arial" w:cs="Arial" w:eastAsia="Arial" w:hAnsi="Arial"/>
                <w:sz w:val="20"/>
                <w:szCs w:val="20"/>
                <w:color w:val="auto"/>
              </w:rPr>
              <w:t>Financial Metrics: 80% of bonus for 2024 and 2025:</w:t>
            </w:r>
          </w:p>
        </w:tc>
      </w:tr>
      <w:tr>
        <w:trPr>
          <w:trHeight w:val="218"/>
        </w:trPr>
        <w:tc>
          <w:tcPr>
            <w:tcW w:w="1200" w:type="dxa"/>
            <w:vAlign w:val="bottom"/>
          </w:tcPr>
          <w:p>
            <w:pPr>
              <w:ind w:left="20"/>
              <w:spacing w:after="0" w:line="218" w:lineRule="exact"/>
              <w:rPr>
                <w:sz w:val="20"/>
                <w:szCs w:val="20"/>
                <w:color w:val="auto"/>
              </w:rPr>
            </w:pPr>
            <w:r>
              <w:rPr>
                <w:rFonts w:ascii="Arial" w:cs="Arial" w:eastAsia="Arial" w:hAnsi="Arial"/>
                <w:sz w:val="20"/>
                <w:szCs w:val="20"/>
                <w:b w:val="1"/>
                <w:bCs w:val="1"/>
                <w:color w:val="auto"/>
              </w:rPr>
              <w:t>Plan</w:t>
            </w:r>
          </w:p>
        </w:tc>
        <w:tc>
          <w:tcPr>
            <w:tcW w:w="1040" w:type="dxa"/>
            <w:vAlign w:val="bottom"/>
          </w:tcPr>
          <w:p>
            <w:pPr>
              <w:spacing w:after="0"/>
              <w:rPr>
                <w:sz w:val="18"/>
                <w:szCs w:val="18"/>
                <w:color w:val="auto"/>
              </w:rPr>
            </w:pPr>
          </w:p>
        </w:tc>
        <w:tc>
          <w:tcPr>
            <w:tcW w:w="3280" w:type="dxa"/>
            <w:vAlign w:val="bottom"/>
          </w:tcPr>
          <w:p>
            <w:pPr>
              <w:ind w:left="120"/>
              <w:spacing w:after="0" w:line="218" w:lineRule="exact"/>
              <w:rPr>
                <w:sz w:val="20"/>
                <w:szCs w:val="20"/>
                <w:color w:val="auto"/>
              </w:rPr>
            </w:pPr>
            <w:r>
              <w:rPr>
                <w:rFonts w:ascii="Arial" w:cs="Arial" w:eastAsia="Arial" w:hAnsi="Arial"/>
                <w:sz w:val="20"/>
                <w:szCs w:val="20"/>
                <w:color w:val="auto"/>
              </w:rPr>
              <w:t>stockholder value</w:t>
            </w:r>
          </w:p>
        </w:tc>
        <w:tc>
          <w:tcPr>
            <w:tcW w:w="5160" w:type="dxa"/>
            <w:vAlign w:val="bottom"/>
          </w:tcPr>
          <w:p>
            <w:pPr>
              <w:ind w:left="100"/>
              <w:spacing w:after="0" w:line="218" w:lineRule="exact"/>
              <w:rPr>
                <w:sz w:val="20"/>
                <w:szCs w:val="20"/>
                <w:color w:val="auto"/>
              </w:rPr>
            </w:pPr>
            <w:r>
              <w:rPr>
                <w:rFonts w:ascii="Arial" w:cs="Arial" w:eastAsia="Arial" w:hAnsi="Arial"/>
                <w:sz w:val="20"/>
                <w:szCs w:val="20"/>
                <w:color w:val="auto"/>
              </w:rPr>
              <w:t>Earnings per share (“EPS”), Net sales and CSER</w:t>
            </w:r>
          </w:p>
        </w:tc>
      </w:tr>
      <w:tr>
        <w:trPr>
          <w:trHeight w:val="238"/>
        </w:trPr>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20"/>
                <w:szCs w:val="20"/>
                <w:color w:val="auto"/>
              </w:rPr>
              <w:t>Strategic Objectives: 20% of bonus for 2024 and 2025</w:t>
            </w:r>
          </w:p>
        </w:tc>
      </w:tr>
      <w:tr>
        <w:trPr>
          <w:trHeight w:val="192"/>
        </w:trPr>
        <w:tc>
          <w:tcPr>
            <w:tcW w:w="1200" w:type="dxa"/>
            <w:vAlign w:val="bottom"/>
            <w:shd w:val="clear" w:color="auto" w:fill="CFF0FC"/>
          </w:tcPr>
          <w:p>
            <w:pPr>
              <w:ind w:left="20"/>
              <w:spacing w:after="0" w:line="192" w:lineRule="exact"/>
              <w:rPr>
                <w:sz w:val="20"/>
                <w:szCs w:val="20"/>
                <w:color w:val="auto"/>
              </w:rPr>
            </w:pPr>
            <w:r>
              <w:rPr>
                <w:rFonts w:ascii="Arial" w:cs="Arial" w:eastAsia="Arial" w:hAnsi="Arial"/>
                <w:sz w:val="20"/>
                <w:szCs w:val="20"/>
                <w:b w:val="1"/>
                <w:bCs w:val="1"/>
                <w:color w:val="auto"/>
              </w:rPr>
              <w:t>Long-Term</w:t>
            </w:r>
          </w:p>
        </w:tc>
        <w:tc>
          <w:tcPr>
            <w:tcW w:w="1040" w:type="dxa"/>
            <w:vAlign w:val="bottom"/>
            <w:shd w:val="clear" w:color="auto" w:fill="CFF0FC"/>
          </w:tcPr>
          <w:p>
            <w:pPr>
              <w:ind w:left="60"/>
              <w:spacing w:after="0" w:line="192" w:lineRule="exact"/>
              <w:rPr>
                <w:sz w:val="20"/>
                <w:szCs w:val="20"/>
                <w:color w:val="auto"/>
              </w:rPr>
            </w:pPr>
            <w:r>
              <w:rPr>
                <w:rFonts w:ascii="Arial" w:cs="Arial" w:eastAsia="Arial" w:hAnsi="Arial"/>
                <w:sz w:val="20"/>
                <w:szCs w:val="20"/>
                <w:color w:val="auto"/>
              </w:rPr>
              <w:t>Equity</w:t>
            </w:r>
          </w:p>
        </w:tc>
        <w:tc>
          <w:tcPr>
            <w:tcW w:w="3280" w:type="dxa"/>
            <w:vAlign w:val="bottom"/>
            <w:shd w:val="clear" w:color="auto" w:fill="CFF0FC"/>
          </w:tcPr>
          <w:p>
            <w:pPr>
              <w:ind w:left="120"/>
              <w:spacing w:after="0" w:line="192" w:lineRule="exact"/>
              <w:rPr>
                <w:sz w:val="20"/>
                <w:szCs w:val="20"/>
                <w:color w:val="auto"/>
              </w:rPr>
            </w:pPr>
            <w:r>
              <w:rPr>
                <w:rFonts w:ascii="Arial" w:cs="Arial" w:eastAsia="Arial" w:hAnsi="Arial"/>
                <w:sz w:val="20"/>
                <w:szCs w:val="20"/>
                <w:color w:val="auto"/>
              </w:rPr>
              <w:t>Provides incentives for executives</w:t>
            </w:r>
          </w:p>
        </w:tc>
        <w:tc>
          <w:tcPr>
            <w:tcW w:w="5160" w:type="dxa"/>
            <w:vAlign w:val="bottom"/>
            <w:shd w:val="clear" w:color="auto" w:fill="CFF0FC"/>
          </w:tcPr>
          <w:p>
            <w:pPr>
              <w:ind w:left="100"/>
              <w:spacing w:after="0" w:line="192" w:lineRule="exact"/>
              <w:rPr>
                <w:sz w:val="20"/>
                <w:szCs w:val="20"/>
                <w:color w:val="auto"/>
              </w:rPr>
            </w:pPr>
            <w:r>
              <w:rPr>
                <w:rFonts w:ascii="Arial" w:cs="Arial" w:eastAsia="Arial" w:hAnsi="Arial"/>
                <w:sz w:val="20"/>
                <w:szCs w:val="20"/>
                <w:color w:val="auto"/>
              </w:rPr>
              <w:t>50% of the LTI award is performance-based and 50%</w:t>
            </w:r>
          </w:p>
        </w:tc>
      </w:tr>
      <w:tr>
        <w:trPr>
          <w:trHeight w:val="216"/>
        </w:trPr>
        <w:tc>
          <w:tcPr>
            <w:tcW w:w="1200" w:type="dxa"/>
            <w:vAlign w:val="bottom"/>
            <w:shd w:val="clear" w:color="auto" w:fill="CFF0FC"/>
          </w:tcPr>
          <w:p>
            <w:pPr>
              <w:ind w:left="20"/>
              <w:spacing w:after="0" w:line="216" w:lineRule="exact"/>
              <w:rPr>
                <w:sz w:val="20"/>
                <w:szCs w:val="20"/>
                <w:color w:val="auto"/>
              </w:rPr>
            </w:pPr>
            <w:r>
              <w:rPr>
                <w:rFonts w:ascii="Arial" w:cs="Arial" w:eastAsia="Arial" w:hAnsi="Arial"/>
                <w:sz w:val="20"/>
                <w:szCs w:val="20"/>
                <w:b w:val="1"/>
                <w:bCs w:val="1"/>
                <w:color w:val="auto"/>
              </w:rPr>
              <w:t>Incentive</w:t>
            </w:r>
          </w:p>
        </w:tc>
        <w:tc>
          <w:tcPr>
            <w:tcW w:w="104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(Variable)</w:t>
            </w:r>
          </w:p>
        </w:tc>
        <w:tc>
          <w:tcPr>
            <w:tcW w:w="32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to execute on longer-term financial</w:t>
            </w:r>
          </w:p>
        </w:tc>
        <w:tc>
          <w:tcPr>
            <w:tcW w:w="51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vests ratably over a four-year period</w:t>
            </w:r>
          </w:p>
        </w:tc>
      </w:tr>
      <w:tr>
        <w:trPr>
          <w:trHeight w:val="218"/>
        </w:trPr>
        <w:tc>
          <w:tcPr>
            <w:tcW w:w="1200" w:type="dxa"/>
            <w:vAlign w:val="bottom"/>
            <w:shd w:val="clear" w:color="auto" w:fill="CFF0FC"/>
          </w:tcPr>
          <w:p>
            <w:pPr>
              <w:ind w:left="20"/>
              <w:spacing w:after="0" w:line="218" w:lineRule="exact"/>
              <w:rPr>
                <w:sz w:val="20"/>
                <w:szCs w:val="20"/>
                <w:color w:val="auto"/>
              </w:rPr>
            </w:pPr>
            <w:r>
              <w:rPr>
                <w:rFonts w:ascii="Arial" w:cs="Arial" w:eastAsia="Arial" w:hAnsi="Arial"/>
                <w:sz w:val="20"/>
                <w:szCs w:val="20"/>
                <w:b w:val="1"/>
                <w:bCs w:val="1"/>
                <w:color w:val="auto"/>
              </w:rPr>
              <w:t>(LTI) Plan</w:t>
            </w:r>
          </w:p>
        </w:tc>
        <w:tc>
          <w:tcPr>
            <w:tcW w:w="1040" w:type="dxa"/>
            <w:vAlign w:val="bottom"/>
            <w:shd w:val="clear" w:color="auto" w:fill="CFF0FC"/>
          </w:tcPr>
          <w:p>
            <w:pPr>
              <w:spacing w:after="0"/>
              <w:rPr>
                <w:sz w:val="18"/>
                <w:szCs w:val="18"/>
                <w:color w:val="auto"/>
              </w:rPr>
            </w:pPr>
          </w:p>
        </w:tc>
        <w:tc>
          <w:tcPr>
            <w:tcW w:w="3280" w:type="dxa"/>
            <w:vAlign w:val="bottom"/>
            <w:shd w:val="clear" w:color="auto" w:fill="CFF0FC"/>
          </w:tcPr>
          <w:p>
            <w:pPr>
              <w:ind w:left="120"/>
              <w:spacing w:after="0" w:line="218" w:lineRule="exact"/>
              <w:rPr>
                <w:sz w:val="20"/>
                <w:szCs w:val="20"/>
                <w:color w:val="auto"/>
              </w:rPr>
            </w:pPr>
            <w:r>
              <w:rPr>
                <w:rFonts w:ascii="Arial" w:cs="Arial" w:eastAsia="Arial" w:hAnsi="Arial"/>
                <w:sz w:val="20"/>
                <w:szCs w:val="20"/>
                <w:color w:val="auto"/>
              </w:rPr>
              <w:t>and strategic growth goals that</w:t>
            </w:r>
          </w:p>
        </w:tc>
        <w:tc>
          <w:tcPr>
            <w:tcW w:w="5160" w:type="dxa"/>
            <w:vAlign w:val="bottom"/>
            <w:shd w:val="clear" w:color="auto" w:fill="CFF0FC"/>
          </w:tcPr>
          <w:p>
            <w:pPr>
              <w:ind w:left="100"/>
              <w:spacing w:after="0" w:line="218" w:lineRule="exact"/>
              <w:rPr>
                <w:sz w:val="20"/>
                <w:szCs w:val="20"/>
                <w:color w:val="auto"/>
              </w:rPr>
            </w:pPr>
            <w:r>
              <w:rPr>
                <w:rFonts w:ascii="Arial" w:cs="Arial" w:eastAsia="Arial" w:hAnsi="Arial"/>
                <w:sz w:val="20"/>
                <w:szCs w:val="20"/>
                <w:color w:val="auto"/>
                <w:w w:val="98"/>
              </w:rPr>
              <w:t>Performance-based awards can pay out between 0% and</w:t>
            </w:r>
          </w:p>
        </w:tc>
      </w:tr>
      <w:tr>
        <w:trPr>
          <w:trHeight w:val="216"/>
        </w:trPr>
        <w:tc>
          <w:tcPr>
            <w:tcW w:w="1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drive long-term stockholder value</w:t>
            </w:r>
          </w:p>
        </w:tc>
        <w:tc>
          <w:tcPr>
            <w:tcW w:w="51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200% of target, based on actual performance compared</w:t>
            </w:r>
          </w:p>
        </w:tc>
      </w:tr>
      <w:tr>
        <w:trPr>
          <w:trHeight w:val="216"/>
        </w:trPr>
        <w:tc>
          <w:tcPr>
            <w:tcW w:w="1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8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and support the Company’s</w:t>
            </w:r>
          </w:p>
        </w:tc>
        <w:tc>
          <w:tcPr>
            <w:tcW w:w="51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to pre-established, three-year financial performance</w:t>
            </w:r>
          </w:p>
        </w:tc>
      </w:tr>
      <w:tr>
        <w:trPr>
          <w:trHeight w:val="238"/>
        </w:trPr>
        <w:tc>
          <w:tcPr>
            <w:tcW w:w="1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retention strategy</w:t>
            </w:r>
          </w:p>
        </w:tc>
        <w:tc>
          <w:tcPr>
            <w:tcW w:w="51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targets</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30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365F91"/>
        </w:rPr>
        <w:t>Factors Considered in Making Compensation Decisions</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Our compensation strategy is flexible and enables us to appropriately differentiate and reward executives by taking into account:</w:t>
      </w:r>
    </w:p>
    <w:p>
      <w:pPr>
        <w:spacing w:after="0" w:line="106"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Company financial and operational performance;</w:t>
      </w:r>
    </w:p>
    <w:p>
      <w:pPr>
        <w:spacing w:after="0" w:line="94" w:lineRule="exact"/>
        <w:rPr>
          <w:rFonts w:ascii="Arial" w:cs="Arial" w:eastAsia="Arial" w:hAnsi="Arial"/>
          <w:sz w:val="20"/>
          <w:szCs w:val="20"/>
          <w:color w:val="auto"/>
        </w:rPr>
      </w:pPr>
    </w:p>
    <w:p>
      <w:pPr>
        <w:ind w:left="440" w:hanging="432"/>
        <w:spacing w:after="0"/>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executive's individual performance, experience, and qualifications;</w:t>
      </w:r>
    </w:p>
    <w:p>
      <w:pPr>
        <w:spacing w:after="0" w:line="94" w:lineRule="exact"/>
        <w:rPr>
          <w:rFonts w:ascii="Arial" w:cs="Arial" w:eastAsia="Arial" w:hAnsi="Arial"/>
          <w:sz w:val="20"/>
          <w:szCs w:val="20"/>
          <w:color w:val="auto"/>
        </w:rPr>
      </w:pPr>
    </w:p>
    <w:p>
      <w:pPr>
        <w:ind w:left="440" w:hanging="432"/>
        <w:spacing w:after="0"/>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scope of the executive's role;</w:t>
      </w:r>
    </w:p>
    <w:p>
      <w:pPr>
        <w:spacing w:after="0" w:line="94" w:lineRule="exact"/>
        <w:rPr>
          <w:rFonts w:ascii="Arial" w:cs="Arial" w:eastAsia="Arial" w:hAnsi="Arial"/>
          <w:sz w:val="20"/>
          <w:szCs w:val="20"/>
          <w:color w:val="auto"/>
        </w:rPr>
      </w:pPr>
    </w:p>
    <w:p>
      <w:pPr>
        <w:ind w:left="440" w:hanging="432"/>
        <w:spacing w:after="0"/>
        <w:tabs>
          <w:tab w:leader="none" w:pos="4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level of total compensation for our other executives; and</w:t>
      </w:r>
    </w:p>
    <w:p>
      <w:pPr>
        <w:spacing w:after="0" w:line="94" w:lineRule="exact"/>
        <w:rPr>
          <w:rFonts w:ascii="Arial" w:cs="Arial" w:eastAsia="Arial" w:hAnsi="Arial"/>
          <w:sz w:val="20"/>
          <w:szCs w:val="20"/>
          <w:color w:val="auto"/>
        </w:rPr>
      </w:pPr>
    </w:p>
    <w:p>
      <w:pPr>
        <w:ind w:left="760" w:hanging="752"/>
        <w:spacing w:after="0" w:line="257" w:lineRule="auto"/>
        <w:tabs>
          <w:tab w:leader="none" w:pos="451"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Competitive market data which helps us evaluate how our executive pay levels compare to that being offered to individuals with comparable roles in semiconductor companies with which we compete for talent.</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additional information regarding elements of compensation, please refer to the graphs below in the section entitled “Principal Components of Compensation."</w:t>
      </w:r>
    </w:p>
    <w:p>
      <w:pPr>
        <w:spacing w:after="0" w:line="4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To evaluate projected compensation levels, in April 2025, the Compensation Committee retained Pay Governance LLC (“PG”). PG advised the Compensation Committee as to the composition of the 2025 Peer Group ("2025 Peer Group") and other than eliminating Infinera Corporation (acquired by Nokia Corporation), the 2025 Peer Group remained unchanged from the 2022 Peer Group. PG compared our 2026 projected executive target compensation to that of our 2025 Peer Group. PG reported directly to the Compensation Committee. The individuals at PG who provided the compensation consulting services to the Compensation Committee have provided no other services to the Company or its subsidiaries.</w:t>
      </w:r>
    </w:p>
    <w:p>
      <w:pPr>
        <w:spacing w:after="0" w:line="6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 the December 2025 comparison, PG reviewed the compensation elements and market practices impacting the top executive positions at the Company. The scope of the review focused on the base salary plus target annual and target long-term incentive compensation levels of the top executive positions. The report relied on the compensation practices of our 2025 Peer Group. For a description of the 2025 Peer Group, see “Compensation Review Process – Selection of Peer Group” below. The review summarized the executives’ overall percentile alignment for the Company's executives compared to the final blended market data, with target compensation being the primary focus of the study percentile value and derived from base salary, target total cash, 2025 target long-term incentives and total direct compensation at target total cash. The relative pay rank for our CEO and other executives by type of compensation are detailed in the following chart: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60" w:type="dxa"/>
            <w:vAlign w:val="bottom"/>
            <w:tcBorders>
              <w:top w:val="single" w:sz="8" w:color="005CA9"/>
            </w:tcBorders>
          </w:tcPr>
          <w:p>
            <w:pPr>
              <w:spacing w:after="0"/>
              <w:rPr>
                <w:sz w:val="17"/>
                <w:szCs w:val="17"/>
                <w:color w:val="auto"/>
              </w:rPr>
            </w:pPr>
          </w:p>
        </w:tc>
        <w:tc>
          <w:tcPr>
            <w:tcW w:w="1800" w:type="dxa"/>
            <w:vAlign w:val="bottom"/>
            <w:tcBorders>
              <w:top w:val="single" w:sz="8" w:color="005CA9"/>
            </w:tcBorders>
          </w:tcPr>
          <w:p>
            <w:pPr>
              <w:spacing w:after="0"/>
              <w:rPr>
                <w:sz w:val="17"/>
                <w:szCs w:val="17"/>
                <w:color w:val="auto"/>
              </w:rPr>
            </w:pPr>
          </w:p>
        </w:tc>
        <w:tc>
          <w:tcPr>
            <w:tcW w:w="2280" w:type="dxa"/>
            <w:vAlign w:val="bottom"/>
            <w:tcBorders>
              <w:top w:val="single" w:sz="8" w:color="005CA9"/>
            </w:tcBorders>
          </w:tcPr>
          <w:p>
            <w:pPr>
              <w:jc w:val="center"/>
              <w:ind w:left="9"/>
              <w:spacing w:after="0" w:line="206" w:lineRule="exact"/>
              <w:rPr>
                <w:sz w:val="20"/>
                <w:szCs w:val="20"/>
                <w:color w:val="auto"/>
              </w:rPr>
            </w:pPr>
            <w:r>
              <w:rPr>
                <w:rFonts w:ascii="Arial" w:cs="Arial" w:eastAsia="Arial" w:hAnsi="Arial"/>
                <w:sz w:val="20"/>
                <w:szCs w:val="20"/>
                <w:b w:val="1"/>
                <w:bCs w:val="1"/>
                <w:color w:val="auto"/>
                <w:w w:val="99"/>
              </w:rPr>
              <w:t>Pay Rank</w:t>
            </w:r>
          </w:p>
        </w:tc>
        <w:tc>
          <w:tcPr>
            <w:tcW w:w="150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vMerge w:val="restart"/>
          </w:tcPr>
          <w:p>
            <w:pPr>
              <w:spacing w:after="0"/>
              <w:rPr>
                <w:sz w:val="20"/>
                <w:szCs w:val="20"/>
                <w:color w:val="auto"/>
              </w:rPr>
            </w:pPr>
            <w:r>
              <w:rPr>
                <w:rFonts w:ascii="Arial" w:cs="Arial" w:eastAsia="Arial" w:hAnsi="Arial"/>
                <w:sz w:val="20"/>
                <w:szCs w:val="20"/>
                <w:b w:val="1"/>
                <w:bCs w:val="1"/>
                <w:color w:val="auto"/>
              </w:rPr>
              <w:t>Component of Pay</w:t>
            </w:r>
          </w:p>
        </w:tc>
        <w:tc>
          <w:tcPr>
            <w:tcW w:w="1800" w:type="dxa"/>
            <w:vAlign w:val="bottom"/>
            <w:vMerge w:val="restart"/>
          </w:tcPr>
          <w:p>
            <w:pPr>
              <w:jc w:val="center"/>
              <w:ind w:left="492"/>
              <w:spacing w:after="0"/>
              <w:rPr>
                <w:sz w:val="20"/>
                <w:szCs w:val="20"/>
                <w:color w:val="auto"/>
              </w:rPr>
            </w:pPr>
            <w:r>
              <w:rPr>
                <w:rFonts w:ascii="Arial" w:cs="Arial" w:eastAsia="Arial" w:hAnsi="Arial"/>
                <w:sz w:val="20"/>
                <w:szCs w:val="20"/>
                <w:b w:val="1"/>
                <w:bCs w:val="1"/>
                <w:color w:val="auto"/>
                <w:w w:val="96"/>
              </w:rPr>
              <w:t>CEO</w:t>
            </w:r>
          </w:p>
        </w:tc>
        <w:tc>
          <w:tcPr>
            <w:tcW w:w="22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Other Executive</w:t>
            </w:r>
          </w:p>
        </w:tc>
        <w:tc>
          <w:tcPr>
            <w:tcW w:w="1500" w:type="dxa"/>
            <w:vAlign w:val="bottom"/>
            <w:vMerge w:val="restart"/>
          </w:tcPr>
          <w:p>
            <w:pPr>
              <w:jc w:val="center"/>
              <w:ind w:right="12"/>
              <w:spacing w:after="0"/>
              <w:rPr>
                <w:sz w:val="20"/>
                <w:szCs w:val="20"/>
                <w:color w:val="auto"/>
              </w:rPr>
            </w:pPr>
            <w:r>
              <w:rPr>
                <w:rFonts w:ascii="Arial" w:cs="Arial" w:eastAsia="Arial" w:hAnsi="Arial"/>
                <w:sz w:val="20"/>
                <w:szCs w:val="20"/>
                <w:b w:val="1"/>
                <w:bCs w:val="1"/>
                <w:color w:val="auto"/>
              </w:rPr>
              <w:t>Overall</w:t>
            </w:r>
          </w:p>
        </w:tc>
        <w:tc>
          <w:tcPr>
            <w:tcW w:w="0" w:type="dxa"/>
            <w:vAlign w:val="bottom"/>
          </w:tcPr>
          <w:p>
            <w:pPr>
              <w:spacing w:after="0"/>
              <w:rPr>
                <w:sz w:val="1"/>
                <w:szCs w:val="1"/>
                <w:color w:val="auto"/>
              </w:rPr>
            </w:pPr>
          </w:p>
        </w:tc>
      </w:tr>
      <w:tr>
        <w:trPr>
          <w:trHeight w:val="260"/>
        </w:trPr>
        <w:tc>
          <w:tcPr>
            <w:tcW w:w="5660" w:type="dxa"/>
            <w:vAlign w:val="bottom"/>
            <w:tcBorders>
              <w:bottom w:val="single" w:sz="8" w:color="4F81BD"/>
            </w:tcBorders>
            <w:vMerge w:val="continue"/>
          </w:tcPr>
          <w:p>
            <w:pPr>
              <w:spacing w:after="0"/>
              <w:rPr>
                <w:sz w:val="22"/>
                <w:szCs w:val="22"/>
                <w:color w:val="auto"/>
              </w:rPr>
            </w:pPr>
          </w:p>
        </w:tc>
        <w:tc>
          <w:tcPr>
            <w:tcW w:w="1800" w:type="dxa"/>
            <w:vAlign w:val="bottom"/>
            <w:tcBorders>
              <w:bottom w:val="single" w:sz="8" w:color="4F81BD"/>
            </w:tcBorders>
            <w:vMerge w:val="continue"/>
          </w:tcPr>
          <w:p>
            <w:pPr>
              <w:spacing w:after="0"/>
              <w:rPr>
                <w:sz w:val="22"/>
                <w:szCs w:val="22"/>
                <w:color w:val="auto"/>
              </w:rPr>
            </w:pPr>
          </w:p>
        </w:tc>
        <w:tc>
          <w:tcPr>
            <w:tcW w:w="2280" w:type="dxa"/>
            <w:vAlign w:val="bottom"/>
            <w:tcBorders>
              <w:bottom w:val="single" w:sz="8" w:color="4F81BD"/>
            </w:tcBorders>
          </w:tcPr>
          <w:p>
            <w:pPr>
              <w:jc w:val="center"/>
              <w:ind w:left="9"/>
              <w:spacing w:after="0"/>
              <w:rPr>
                <w:sz w:val="20"/>
                <w:szCs w:val="20"/>
                <w:color w:val="auto"/>
              </w:rPr>
            </w:pPr>
            <w:r>
              <w:rPr>
                <w:rFonts w:ascii="Arial" w:cs="Arial" w:eastAsia="Arial" w:hAnsi="Arial"/>
                <w:sz w:val="20"/>
                <w:szCs w:val="20"/>
                <w:b w:val="1"/>
                <w:bCs w:val="1"/>
                <w:color w:val="auto"/>
                <w:w w:val="97"/>
              </w:rPr>
              <w:t>Officers</w:t>
            </w:r>
          </w:p>
        </w:tc>
        <w:tc>
          <w:tcPr>
            <w:tcW w:w="1500" w:type="dxa"/>
            <w:vAlign w:val="bottom"/>
            <w:tcBorders>
              <w:bottom w:val="single" w:sz="8" w:color="4F81BD"/>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Base salary</w:t>
            </w:r>
          </w:p>
        </w:tc>
        <w:tc>
          <w:tcPr>
            <w:tcW w:w="1800" w:type="dxa"/>
            <w:vAlign w:val="bottom"/>
            <w:shd w:val="clear" w:color="auto" w:fill="CFF0FC"/>
          </w:tcPr>
          <w:p>
            <w:pPr>
              <w:jc w:val="center"/>
              <w:ind w:left="492"/>
              <w:spacing w:after="0" w:line="216" w:lineRule="exact"/>
              <w:rPr>
                <w:sz w:val="20"/>
                <w:szCs w:val="20"/>
                <w:color w:val="auto"/>
              </w:rPr>
            </w:pPr>
            <w:r>
              <w:rPr>
                <w:rFonts w:ascii="Arial" w:cs="Arial" w:eastAsia="Arial" w:hAnsi="Arial"/>
                <w:sz w:val="19"/>
                <w:szCs w:val="19"/>
                <w:color w:val="auto"/>
                <w:w w:val="95"/>
              </w:rPr>
              <w:t>22</w:t>
            </w:r>
            <w:r>
              <w:rPr>
                <w:rFonts w:ascii="Arial" w:cs="Arial" w:eastAsia="Arial" w:hAnsi="Arial"/>
                <w:sz w:val="25"/>
                <w:szCs w:val="25"/>
                <w:color w:val="auto"/>
                <w:w w:val="95"/>
                <w:vertAlign w:val="superscript"/>
              </w:rPr>
              <w:t>nd</w:t>
            </w:r>
          </w:p>
        </w:tc>
        <w:tc>
          <w:tcPr>
            <w:tcW w:w="2280" w:type="dxa"/>
            <w:vAlign w:val="bottom"/>
            <w:shd w:val="clear" w:color="auto" w:fill="CFF0FC"/>
          </w:tcPr>
          <w:p>
            <w:pPr>
              <w:jc w:val="center"/>
              <w:ind w:left="9"/>
              <w:spacing w:after="0" w:line="216" w:lineRule="exact"/>
              <w:rPr>
                <w:sz w:val="20"/>
                <w:szCs w:val="20"/>
                <w:color w:val="auto"/>
              </w:rPr>
            </w:pPr>
            <w:r>
              <w:rPr>
                <w:rFonts w:ascii="Arial" w:cs="Arial" w:eastAsia="Arial" w:hAnsi="Arial"/>
                <w:sz w:val="19"/>
                <w:szCs w:val="19"/>
                <w:color w:val="auto"/>
                <w:w w:val="96"/>
              </w:rPr>
              <w:t>29</w:t>
            </w:r>
            <w:r>
              <w:rPr>
                <w:rFonts w:ascii="Arial" w:cs="Arial" w:eastAsia="Arial" w:hAnsi="Arial"/>
                <w:sz w:val="25"/>
                <w:szCs w:val="25"/>
                <w:color w:val="auto"/>
                <w:w w:val="96"/>
                <w:vertAlign w:val="superscript"/>
              </w:rPr>
              <w:t>th</w:t>
            </w:r>
          </w:p>
        </w:tc>
        <w:tc>
          <w:tcPr>
            <w:tcW w:w="1500" w:type="dxa"/>
            <w:vAlign w:val="bottom"/>
            <w:shd w:val="clear" w:color="auto" w:fill="CFF0FC"/>
          </w:tcPr>
          <w:p>
            <w:pPr>
              <w:jc w:val="center"/>
              <w:ind w:right="12"/>
              <w:spacing w:after="0" w:line="216" w:lineRule="exact"/>
              <w:rPr>
                <w:sz w:val="20"/>
                <w:szCs w:val="20"/>
                <w:color w:val="auto"/>
              </w:rPr>
            </w:pPr>
            <w:r>
              <w:rPr>
                <w:rFonts w:ascii="Arial" w:cs="Arial" w:eastAsia="Arial" w:hAnsi="Arial"/>
                <w:sz w:val="19"/>
                <w:szCs w:val="19"/>
                <w:color w:val="auto"/>
                <w:w w:val="91"/>
              </w:rPr>
              <w:t>28</w:t>
            </w:r>
            <w:r>
              <w:rPr>
                <w:rFonts w:ascii="Arial" w:cs="Arial" w:eastAsia="Arial" w:hAnsi="Arial"/>
                <w:sz w:val="25"/>
                <w:szCs w:val="25"/>
                <w:color w:val="auto"/>
                <w:w w:val="91"/>
                <w:vertAlign w:val="superscript"/>
              </w:rPr>
              <w:t>th</w:t>
            </w: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Arial" w:cs="Arial" w:eastAsia="Arial" w:hAnsi="Arial"/>
                <w:sz w:val="20"/>
                <w:szCs w:val="20"/>
                <w:color w:val="auto"/>
              </w:rPr>
              <w:t>Cash compensation (base salary + target bonus)</w:t>
            </w:r>
          </w:p>
        </w:tc>
        <w:tc>
          <w:tcPr>
            <w:tcW w:w="1800" w:type="dxa"/>
            <w:vAlign w:val="bottom"/>
          </w:tcPr>
          <w:p>
            <w:pPr>
              <w:jc w:val="center"/>
              <w:ind w:left="492"/>
              <w:spacing w:after="0" w:line="216" w:lineRule="exact"/>
              <w:rPr>
                <w:sz w:val="20"/>
                <w:szCs w:val="20"/>
                <w:color w:val="auto"/>
              </w:rPr>
            </w:pPr>
            <w:r>
              <w:rPr>
                <w:rFonts w:ascii="Arial" w:cs="Arial" w:eastAsia="Arial" w:hAnsi="Arial"/>
                <w:sz w:val="19"/>
                <w:szCs w:val="19"/>
                <w:color w:val="auto"/>
                <w:w w:val="96"/>
              </w:rPr>
              <w:t>20</w:t>
            </w:r>
            <w:r>
              <w:rPr>
                <w:rFonts w:ascii="Arial" w:cs="Arial" w:eastAsia="Arial" w:hAnsi="Arial"/>
                <w:sz w:val="25"/>
                <w:szCs w:val="25"/>
                <w:color w:val="auto"/>
                <w:w w:val="96"/>
                <w:vertAlign w:val="superscript"/>
              </w:rPr>
              <w:t>th</w:t>
            </w:r>
          </w:p>
        </w:tc>
        <w:tc>
          <w:tcPr>
            <w:tcW w:w="2280" w:type="dxa"/>
            <w:vAlign w:val="bottom"/>
          </w:tcPr>
          <w:p>
            <w:pPr>
              <w:jc w:val="center"/>
              <w:spacing w:after="0" w:line="216" w:lineRule="exact"/>
              <w:rPr>
                <w:sz w:val="20"/>
                <w:szCs w:val="20"/>
                <w:color w:val="auto"/>
              </w:rPr>
            </w:pPr>
            <w:r>
              <w:rPr>
                <w:rFonts w:ascii="Arial" w:cs="Arial" w:eastAsia="Arial" w:hAnsi="Arial"/>
                <w:sz w:val="19"/>
                <w:szCs w:val="19"/>
                <w:color w:val="auto"/>
                <w:w w:val="93"/>
              </w:rPr>
              <w:t>31</w:t>
            </w:r>
            <w:r>
              <w:rPr>
                <w:rFonts w:ascii="Arial" w:cs="Arial" w:eastAsia="Arial" w:hAnsi="Arial"/>
                <w:sz w:val="25"/>
                <w:szCs w:val="25"/>
                <w:color w:val="auto"/>
                <w:w w:val="93"/>
                <w:vertAlign w:val="superscript"/>
              </w:rPr>
              <w:t>st</w:t>
            </w:r>
          </w:p>
        </w:tc>
        <w:tc>
          <w:tcPr>
            <w:tcW w:w="1500" w:type="dxa"/>
            <w:vAlign w:val="bottom"/>
          </w:tcPr>
          <w:p>
            <w:pPr>
              <w:jc w:val="center"/>
              <w:ind w:right="12"/>
              <w:spacing w:after="0" w:line="216" w:lineRule="exact"/>
              <w:rPr>
                <w:sz w:val="20"/>
                <w:szCs w:val="20"/>
                <w:color w:val="auto"/>
              </w:rPr>
            </w:pPr>
            <w:r>
              <w:rPr>
                <w:rFonts w:ascii="Arial" w:cs="Arial" w:eastAsia="Arial" w:hAnsi="Arial"/>
                <w:sz w:val="19"/>
                <w:szCs w:val="19"/>
                <w:color w:val="auto"/>
                <w:w w:val="93"/>
              </w:rPr>
              <w:t>31</w:t>
            </w:r>
            <w:r>
              <w:rPr>
                <w:rFonts w:ascii="Arial" w:cs="Arial" w:eastAsia="Arial" w:hAnsi="Arial"/>
                <w:sz w:val="25"/>
                <w:szCs w:val="25"/>
                <w:color w:val="auto"/>
                <w:w w:val="93"/>
                <w:vertAlign w:val="superscript"/>
              </w:rPr>
              <w:t>st</w:t>
            </w: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Long-term incentives ("LTI")</w:t>
            </w:r>
          </w:p>
        </w:tc>
        <w:tc>
          <w:tcPr>
            <w:tcW w:w="1800" w:type="dxa"/>
            <w:vAlign w:val="bottom"/>
            <w:shd w:val="clear" w:color="auto" w:fill="CFF0FC"/>
          </w:tcPr>
          <w:p>
            <w:pPr>
              <w:jc w:val="center"/>
              <w:ind w:left="492"/>
              <w:spacing w:after="0" w:line="216" w:lineRule="exact"/>
              <w:rPr>
                <w:sz w:val="20"/>
                <w:szCs w:val="20"/>
                <w:color w:val="auto"/>
              </w:rPr>
            </w:pPr>
            <w:r>
              <w:rPr>
                <w:rFonts w:ascii="Arial" w:cs="Arial" w:eastAsia="Arial" w:hAnsi="Arial"/>
                <w:sz w:val="19"/>
                <w:szCs w:val="19"/>
                <w:color w:val="auto"/>
                <w:w w:val="96"/>
              </w:rPr>
              <w:t>11</w:t>
            </w:r>
            <w:r>
              <w:rPr>
                <w:rFonts w:ascii="Arial" w:cs="Arial" w:eastAsia="Arial" w:hAnsi="Arial"/>
                <w:sz w:val="25"/>
                <w:szCs w:val="25"/>
                <w:color w:val="auto"/>
                <w:w w:val="96"/>
                <w:vertAlign w:val="superscript"/>
              </w:rPr>
              <w:t>th</w:t>
            </w:r>
          </w:p>
        </w:tc>
        <w:tc>
          <w:tcPr>
            <w:tcW w:w="2280" w:type="dxa"/>
            <w:vAlign w:val="bottom"/>
            <w:shd w:val="clear" w:color="auto" w:fill="CFF0FC"/>
          </w:tcPr>
          <w:p>
            <w:pPr>
              <w:jc w:val="center"/>
              <w:ind w:left="9"/>
              <w:spacing w:after="0" w:line="216" w:lineRule="exact"/>
              <w:rPr>
                <w:sz w:val="20"/>
                <w:szCs w:val="20"/>
                <w:color w:val="auto"/>
              </w:rPr>
            </w:pPr>
            <w:r>
              <w:rPr>
                <w:rFonts w:ascii="Arial" w:cs="Arial" w:eastAsia="Arial" w:hAnsi="Arial"/>
                <w:sz w:val="19"/>
                <w:szCs w:val="19"/>
                <w:color w:val="auto"/>
                <w:w w:val="96"/>
              </w:rPr>
              <w:t>39</w:t>
            </w:r>
            <w:r>
              <w:rPr>
                <w:rFonts w:ascii="Arial" w:cs="Arial" w:eastAsia="Arial" w:hAnsi="Arial"/>
                <w:sz w:val="25"/>
                <w:szCs w:val="25"/>
                <w:color w:val="auto"/>
                <w:w w:val="96"/>
                <w:vertAlign w:val="superscript"/>
              </w:rPr>
              <w:t>th</w:t>
            </w:r>
          </w:p>
        </w:tc>
        <w:tc>
          <w:tcPr>
            <w:tcW w:w="1500" w:type="dxa"/>
            <w:vAlign w:val="bottom"/>
            <w:shd w:val="clear" w:color="auto" w:fill="CFF0FC"/>
          </w:tcPr>
          <w:p>
            <w:pPr>
              <w:jc w:val="center"/>
              <w:ind w:right="12"/>
              <w:spacing w:after="0" w:line="216" w:lineRule="exact"/>
              <w:rPr>
                <w:sz w:val="20"/>
                <w:szCs w:val="20"/>
                <w:color w:val="auto"/>
              </w:rPr>
            </w:pPr>
            <w:r>
              <w:rPr>
                <w:rFonts w:ascii="Arial" w:cs="Arial" w:eastAsia="Arial" w:hAnsi="Arial"/>
                <w:sz w:val="19"/>
                <w:szCs w:val="19"/>
                <w:color w:val="auto"/>
                <w:w w:val="91"/>
              </w:rPr>
              <w:t>34</w:t>
            </w:r>
            <w:r>
              <w:rPr>
                <w:rFonts w:ascii="Arial" w:cs="Arial" w:eastAsia="Arial" w:hAnsi="Arial"/>
                <w:sz w:val="25"/>
                <w:szCs w:val="25"/>
                <w:color w:val="auto"/>
                <w:w w:val="91"/>
                <w:vertAlign w:val="superscript"/>
              </w:rPr>
              <w:t>th</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005CA9"/>
            </w:tcBorders>
          </w:tcPr>
          <w:p>
            <w:pPr>
              <w:spacing w:after="0" w:line="216" w:lineRule="exact"/>
              <w:rPr>
                <w:sz w:val="20"/>
                <w:szCs w:val="20"/>
                <w:color w:val="auto"/>
              </w:rPr>
            </w:pPr>
            <w:r>
              <w:rPr>
                <w:rFonts w:ascii="Arial" w:cs="Arial" w:eastAsia="Arial" w:hAnsi="Arial"/>
                <w:sz w:val="20"/>
                <w:szCs w:val="20"/>
                <w:color w:val="auto"/>
              </w:rPr>
              <w:t>Total direct compensation (cash compensation + LTI)</w:t>
            </w:r>
          </w:p>
        </w:tc>
        <w:tc>
          <w:tcPr>
            <w:tcW w:w="1800" w:type="dxa"/>
            <w:vAlign w:val="bottom"/>
            <w:tcBorders>
              <w:bottom w:val="single" w:sz="8" w:color="005CA9"/>
            </w:tcBorders>
          </w:tcPr>
          <w:p>
            <w:pPr>
              <w:jc w:val="center"/>
              <w:ind w:left="492"/>
              <w:spacing w:after="0" w:line="216" w:lineRule="exact"/>
              <w:rPr>
                <w:sz w:val="20"/>
                <w:szCs w:val="20"/>
                <w:color w:val="auto"/>
              </w:rPr>
            </w:pPr>
            <w:r>
              <w:rPr>
                <w:rFonts w:ascii="Arial" w:cs="Arial" w:eastAsia="Arial" w:hAnsi="Arial"/>
                <w:sz w:val="25"/>
                <w:szCs w:val="25"/>
                <w:color w:val="auto"/>
                <w:vertAlign w:val="subscript"/>
              </w:rPr>
              <w:t>13</w:t>
            </w:r>
            <w:r>
              <w:rPr>
                <w:rFonts w:ascii="Arial" w:cs="Arial" w:eastAsia="Arial" w:hAnsi="Arial"/>
                <w:sz w:val="11"/>
                <w:szCs w:val="11"/>
                <w:color w:val="auto"/>
              </w:rPr>
              <w:t>th</w:t>
            </w:r>
          </w:p>
        </w:tc>
        <w:tc>
          <w:tcPr>
            <w:tcW w:w="2280" w:type="dxa"/>
            <w:vAlign w:val="bottom"/>
            <w:tcBorders>
              <w:bottom w:val="single" w:sz="8" w:color="005CA9"/>
            </w:tcBorders>
          </w:tcPr>
          <w:p>
            <w:pPr>
              <w:jc w:val="center"/>
              <w:ind w:left="9"/>
              <w:spacing w:after="0" w:line="216" w:lineRule="exact"/>
              <w:rPr>
                <w:sz w:val="20"/>
                <w:szCs w:val="20"/>
                <w:color w:val="auto"/>
              </w:rPr>
            </w:pPr>
            <w:r>
              <w:rPr>
                <w:rFonts w:ascii="Arial" w:cs="Arial" w:eastAsia="Arial" w:hAnsi="Arial"/>
                <w:sz w:val="25"/>
                <w:szCs w:val="25"/>
                <w:color w:val="auto"/>
                <w:vertAlign w:val="subscript"/>
              </w:rPr>
              <w:t>34</w:t>
            </w:r>
            <w:r>
              <w:rPr>
                <w:rFonts w:ascii="Arial" w:cs="Arial" w:eastAsia="Arial" w:hAnsi="Arial"/>
                <w:sz w:val="11"/>
                <w:szCs w:val="11"/>
                <w:color w:val="auto"/>
              </w:rPr>
              <w:t>th</w:t>
            </w:r>
          </w:p>
        </w:tc>
        <w:tc>
          <w:tcPr>
            <w:tcW w:w="1500" w:type="dxa"/>
            <w:vAlign w:val="bottom"/>
            <w:tcBorders>
              <w:bottom w:val="single" w:sz="8" w:color="005CA9"/>
            </w:tcBorders>
          </w:tcPr>
          <w:p>
            <w:pPr>
              <w:jc w:val="center"/>
              <w:ind w:right="12"/>
              <w:spacing w:after="0" w:line="216" w:lineRule="exact"/>
              <w:rPr>
                <w:sz w:val="20"/>
                <w:szCs w:val="20"/>
                <w:color w:val="auto"/>
              </w:rPr>
            </w:pPr>
            <w:r>
              <w:rPr>
                <w:rFonts w:ascii="Arial" w:cs="Arial" w:eastAsia="Arial" w:hAnsi="Arial"/>
                <w:sz w:val="25"/>
                <w:szCs w:val="25"/>
                <w:color w:val="auto"/>
                <w:vertAlign w:val="subscript"/>
              </w:rPr>
              <w:t>30</w:t>
            </w:r>
            <w:r>
              <w:rPr>
                <w:rFonts w:ascii="Arial" w:cs="Arial" w:eastAsia="Arial" w:hAnsi="Arial"/>
                <w:sz w:val="11"/>
                <w:szCs w:val="11"/>
                <w:color w:val="auto"/>
              </w:rPr>
              <w:t>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PRINCIPAL COMPONENTS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2025 Pay Mix</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 set 2025 base salary and target bonus and LTI award levels to generally align the NEO’s total direct compensation with the semiconductor market. The charts below illustrate the relative composition of 2025 total direct compensation for our CEO and our other NEOs.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705485</wp:posOffset>
            </wp:positionH>
            <wp:positionV relativeFrom="page">
              <wp:posOffset>568960</wp:posOffset>
            </wp:positionV>
            <wp:extent cx="6137910" cy="18942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3791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Base Salaries</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provide each of our NEOs with a competitive fixed annual base salary. The base salaries for our NEOs are reviewed annually by the Compensation Committee by taking into account each executive officer's scope of responsibility, level of experience, individual performance, and past and potential contribution to the Company's business, as well as the Company’s performance and the current year’s change in the cost of living. The Compensation Committee does not assign any particular formula or weight to the foregoing factors.</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Consistent with our compensation philosophy, base salaries represent a fixed portion of total compensation and may generally be at or lower than the median base salaries being offered to individuals with comparable roles in semiconductor companies with which we compete for talent.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Annual (Bonus) Incentive Plan</w:t>
      </w:r>
    </w:p>
    <w:p>
      <w:pPr>
        <w:spacing w:after="0" w:line="10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Annual incentives reward both the achievement of short-term financial goals, as well as the execution of activities to advance our strategic priorities, which support near-term financial performance and long-term strategic objectives. Our annual bonus plan for 2024 and 2025 was simple, formulaic, and responsive to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88265</wp:posOffset>
            </wp:positionV>
            <wp:extent cx="5923280" cy="1448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2328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This table illustrates the structure of the plan for 2024 and 2025:</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70"/>
        </w:trPr>
        <w:tc>
          <w:tcPr>
            <w:tcW w:w="1200" w:type="dxa"/>
            <w:vAlign w:val="bottom"/>
            <w:shd w:val="clear" w:color="auto" w:fill="005CA9"/>
          </w:tcPr>
          <w:p>
            <w:pPr>
              <w:spacing w:after="0"/>
              <w:rPr>
                <w:sz w:val="23"/>
                <w:szCs w:val="23"/>
                <w:color w:val="auto"/>
              </w:rPr>
            </w:pPr>
          </w:p>
        </w:tc>
        <w:tc>
          <w:tcPr>
            <w:tcW w:w="1680" w:type="dxa"/>
            <w:vAlign w:val="bottom"/>
            <w:shd w:val="clear" w:color="auto" w:fill="005CA9"/>
          </w:tcPr>
          <w:p>
            <w:pPr>
              <w:spacing w:after="0"/>
              <w:rPr>
                <w:sz w:val="23"/>
                <w:szCs w:val="23"/>
                <w:color w:val="auto"/>
              </w:rPr>
            </w:pPr>
          </w:p>
        </w:tc>
        <w:tc>
          <w:tcPr>
            <w:tcW w:w="8360" w:type="dxa"/>
            <w:vAlign w:val="bottom"/>
            <w:shd w:val="clear" w:color="auto" w:fill="005CA9"/>
          </w:tcPr>
          <w:p>
            <w:pPr>
              <w:ind w:left="340"/>
              <w:spacing w:after="0"/>
              <w:rPr>
                <w:sz w:val="20"/>
                <w:szCs w:val="20"/>
                <w:color w:val="auto"/>
              </w:rPr>
            </w:pPr>
            <w:r>
              <w:rPr>
                <w:rFonts w:ascii="Arial" w:cs="Arial" w:eastAsia="Arial" w:hAnsi="Arial"/>
                <w:sz w:val="20"/>
                <w:szCs w:val="20"/>
                <w:b w:val="1"/>
                <w:bCs w:val="1"/>
                <w:color w:val="FFFFFF"/>
              </w:rPr>
              <w:t>Annual Incentives – Plan Structure (2024 and 2025)</w:t>
            </w:r>
          </w:p>
        </w:tc>
        <w:tc>
          <w:tcPr>
            <w:tcW w:w="0" w:type="dxa"/>
            <w:vAlign w:val="bottom"/>
          </w:tcPr>
          <w:p>
            <w:pPr>
              <w:spacing w:after="0"/>
              <w:rPr>
                <w:sz w:val="1"/>
                <w:szCs w:val="1"/>
                <w:color w:val="auto"/>
              </w:rPr>
            </w:pPr>
          </w:p>
        </w:tc>
      </w:tr>
      <w:tr>
        <w:trPr>
          <w:trHeight w:val="192"/>
        </w:trPr>
        <w:tc>
          <w:tcPr>
            <w:tcW w:w="1200" w:type="dxa"/>
            <w:vAlign w:val="bottom"/>
            <w:vMerge w:val="restart"/>
            <w:shd w:val="clear" w:color="auto" w:fill="D9EEFF"/>
          </w:tcPr>
          <w:p>
            <w:pPr>
              <w:ind w:left="100"/>
              <w:spacing w:after="0"/>
              <w:rPr>
                <w:sz w:val="20"/>
                <w:szCs w:val="20"/>
                <w:color w:val="auto"/>
              </w:rPr>
            </w:pPr>
            <w:r>
              <w:rPr>
                <w:rFonts w:ascii="Arial" w:cs="Arial" w:eastAsia="Arial" w:hAnsi="Arial"/>
                <w:sz w:val="20"/>
                <w:szCs w:val="20"/>
                <w:b w:val="1"/>
                <w:bCs w:val="1"/>
                <w:color w:val="auto"/>
              </w:rPr>
              <w:t>Weighting</w:t>
            </w:r>
          </w:p>
        </w:tc>
        <w:tc>
          <w:tcPr>
            <w:tcW w:w="1680" w:type="dxa"/>
            <w:vAlign w:val="bottom"/>
            <w:shd w:val="clear" w:color="auto" w:fill="D9EEFF"/>
          </w:tcPr>
          <w:p>
            <w:pPr>
              <w:jc w:val="center"/>
              <w:ind w:right="81"/>
              <w:spacing w:after="0" w:line="192" w:lineRule="exact"/>
              <w:rPr>
                <w:sz w:val="20"/>
                <w:szCs w:val="20"/>
                <w:color w:val="auto"/>
              </w:rPr>
            </w:pPr>
            <w:r>
              <w:rPr>
                <w:rFonts w:ascii="Arial" w:cs="Arial" w:eastAsia="Arial" w:hAnsi="Arial"/>
                <w:sz w:val="20"/>
                <w:szCs w:val="20"/>
                <w:b w:val="1"/>
                <w:bCs w:val="1"/>
                <w:color w:val="auto"/>
                <w:w w:val="99"/>
              </w:rPr>
              <w:t>Performance</w:t>
            </w:r>
          </w:p>
        </w:tc>
        <w:tc>
          <w:tcPr>
            <w:tcW w:w="8360" w:type="dxa"/>
            <w:vAlign w:val="bottom"/>
            <w:vMerge w:val="restart"/>
            <w:shd w:val="clear" w:color="auto" w:fill="D9EEFF"/>
          </w:tcPr>
          <w:p>
            <w:pPr>
              <w:jc w:val="center"/>
              <w:spacing w:after="0"/>
              <w:rPr>
                <w:sz w:val="20"/>
                <w:szCs w:val="20"/>
                <w:color w:val="auto"/>
              </w:rPr>
            </w:pPr>
            <w:r>
              <w:rPr>
                <w:rFonts w:ascii="Arial" w:cs="Arial" w:eastAsia="Arial" w:hAnsi="Arial"/>
                <w:sz w:val="20"/>
                <w:szCs w:val="20"/>
                <w:b w:val="1"/>
                <w:bCs w:val="1"/>
                <w:color w:val="auto"/>
                <w:w w:val="99"/>
              </w:rPr>
              <w:t>Metrics</w:t>
            </w:r>
          </w:p>
        </w:tc>
        <w:tc>
          <w:tcPr>
            <w:tcW w:w="0" w:type="dxa"/>
            <w:vAlign w:val="bottom"/>
          </w:tcPr>
          <w:p>
            <w:pPr>
              <w:spacing w:after="0"/>
              <w:rPr>
                <w:sz w:val="1"/>
                <w:szCs w:val="1"/>
                <w:color w:val="auto"/>
              </w:rPr>
            </w:pPr>
          </w:p>
        </w:tc>
      </w:tr>
      <w:tr>
        <w:trPr>
          <w:trHeight w:val="247"/>
        </w:trPr>
        <w:tc>
          <w:tcPr>
            <w:tcW w:w="1200" w:type="dxa"/>
            <w:vAlign w:val="bottom"/>
            <w:tcBorders>
              <w:bottom w:val="single" w:sz="8" w:color="005CA9"/>
            </w:tcBorders>
            <w:vMerge w:val="continue"/>
            <w:shd w:val="clear" w:color="auto" w:fill="D9EEFF"/>
          </w:tcPr>
          <w:p>
            <w:pPr>
              <w:spacing w:after="0"/>
              <w:rPr>
                <w:sz w:val="21"/>
                <w:szCs w:val="21"/>
                <w:color w:val="auto"/>
              </w:rPr>
            </w:pPr>
          </w:p>
        </w:tc>
        <w:tc>
          <w:tcPr>
            <w:tcW w:w="1680" w:type="dxa"/>
            <w:vAlign w:val="bottom"/>
            <w:tcBorders>
              <w:bottom w:val="single" w:sz="8" w:color="005CA9"/>
            </w:tcBorders>
            <w:shd w:val="clear" w:color="auto" w:fill="D9EEFF"/>
          </w:tcPr>
          <w:p>
            <w:pPr>
              <w:jc w:val="center"/>
              <w:ind w:right="21"/>
              <w:spacing w:after="0"/>
              <w:rPr>
                <w:sz w:val="20"/>
                <w:szCs w:val="20"/>
                <w:color w:val="auto"/>
              </w:rPr>
            </w:pPr>
            <w:r>
              <w:rPr>
                <w:rFonts w:ascii="Arial" w:cs="Arial" w:eastAsia="Arial" w:hAnsi="Arial"/>
                <w:sz w:val="20"/>
                <w:szCs w:val="20"/>
                <w:b w:val="1"/>
                <w:bCs w:val="1"/>
                <w:color w:val="auto"/>
                <w:w w:val="98"/>
              </w:rPr>
              <w:t>Objectives</w:t>
            </w:r>
          </w:p>
        </w:tc>
        <w:tc>
          <w:tcPr>
            <w:tcW w:w="8360" w:type="dxa"/>
            <w:vAlign w:val="bottom"/>
            <w:tcBorders>
              <w:bottom w:val="single" w:sz="8" w:color="005CA9"/>
            </w:tcBorders>
            <w:vMerge w:val="continue"/>
            <w:shd w:val="clear" w:color="auto" w:fill="D9EEFF"/>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360" w:type="dxa"/>
            <w:vAlign w:val="bottom"/>
          </w:tcPr>
          <w:p>
            <w:pPr>
              <w:jc w:val="center"/>
              <w:spacing w:after="0" w:line="192" w:lineRule="exact"/>
              <w:rPr>
                <w:sz w:val="20"/>
                <w:szCs w:val="20"/>
                <w:color w:val="auto"/>
              </w:rPr>
            </w:pPr>
            <w:r>
              <w:rPr>
                <w:rFonts w:ascii="Arial" w:cs="Arial" w:eastAsia="Arial" w:hAnsi="Arial"/>
                <w:sz w:val="20"/>
                <w:szCs w:val="20"/>
                <w:b w:val="1"/>
                <w:bCs w:val="1"/>
                <w:color w:val="auto"/>
                <w:w w:val="98"/>
              </w:rPr>
              <w:t>Non-GAAP Earnings Per Share (EPS),</w:t>
            </w:r>
          </w:p>
        </w:tc>
        <w:tc>
          <w:tcPr>
            <w:tcW w:w="0" w:type="dxa"/>
            <w:vAlign w:val="bottom"/>
          </w:tcPr>
          <w:p>
            <w:pPr>
              <w:spacing w:after="0"/>
              <w:rPr>
                <w:sz w:val="1"/>
                <w:szCs w:val="1"/>
                <w:color w:val="auto"/>
              </w:rPr>
            </w:pPr>
          </w:p>
        </w:tc>
      </w:tr>
      <w:tr>
        <w:trPr>
          <w:trHeight w:val="273"/>
        </w:trPr>
        <w:tc>
          <w:tcPr>
            <w:tcW w:w="1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360" w:type="dxa"/>
            <w:vAlign w:val="bottom"/>
          </w:tcPr>
          <w:p>
            <w:pPr>
              <w:jc w:val="center"/>
              <w:spacing w:after="0"/>
              <w:rPr>
                <w:sz w:val="20"/>
                <w:szCs w:val="20"/>
                <w:color w:val="auto"/>
              </w:rPr>
            </w:pPr>
            <w:r>
              <w:rPr>
                <w:rFonts w:ascii="Arial" w:cs="Arial" w:eastAsia="Arial" w:hAnsi="Arial"/>
                <w:sz w:val="20"/>
                <w:szCs w:val="20"/>
                <w:b w:val="1"/>
                <w:bCs w:val="1"/>
                <w:color w:val="auto"/>
                <w:w w:val="99"/>
              </w:rPr>
              <w:t>Net Sales and CSER</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392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392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spacing w:after="0"/>
        <w:tabs>
          <w:tab w:leader="none" w:pos="1220" w:val="left"/>
        </w:tabs>
        <w:rPr>
          <w:sz w:val="20"/>
          <w:szCs w:val="20"/>
          <w:color w:val="auto"/>
        </w:rPr>
      </w:pPr>
      <w:r>
        <w:rPr>
          <w:rFonts w:ascii="Arial" w:cs="Arial" w:eastAsia="Arial" w:hAnsi="Arial"/>
          <w:sz w:val="20"/>
          <w:szCs w:val="20"/>
          <w:color w:val="auto"/>
        </w:rPr>
        <w:t>80%</w:t>
      </w:r>
      <w:r>
        <w:rPr>
          <w:sz w:val="20"/>
          <w:szCs w:val="20"/>
          <w:color w:val="auto"/>
        </w:rPr>
        <w:tab/>
      </w:r>
      <w:r>
        <w:rPr>
          <w:rFonts w:ascii="Arial" w:cs="Arial" w:eastAsia="Arial" w:hAnsi="Arial"/>
          <w:sz w:val="20"/>
          <w:szCs w:val="20"/>
          <w:color w:val="auto"/>
        </w:rPr>
        <w:t>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80" w:type="dxa"/>
            <w:vAlign w:val="bottom"/>
            <w:tcBorders>
              <w:top w:val="single" w:sz="8" w:color="005CA9"/>
            </w:tcBorders>
            <w:shd w:val="clear" w:color="auto" w:fill="D9EEFF"/>
          </w:tcPr>
          <w:p>
            <w:pPr>
              <w:spacing w:after="0"/>
              <w:rPr>
                <w:sz w:val="23"/>
                <w:szCs w:val="23"/>
                <w:color w:val="auto"/>
              </w:rPr>
            </w:pPr>
          </w:p>
        </w:tc>
        <w:tc>
          <w:tcPr>
            <w:tcW w:w="2000" w:type="dxa"/>
            <w:vAlign w:val="bottom"/>
            <w:tcBorders>
              <w:top w:val="single" w:sz="8" w:color="005CA9"/>
            </w:tcBorders>
            <w:shd w:val="clear" w:color="auto" w:fill="D9EEFF"/>
          </w:tcPr>
          <w:p>
            <w:pPr>
              <w:spacing w:after="0"/>
              <w:rPr>
                <w:sz w:val="23"/>
                <w:szCs w:val="23"/>
                <w:color w:val="auto"/>
              </w:rPr>
            </w:pPr>
          </w:p>
        </w:tc>
        <w:tc>
          <w:tcPr>
            <w:tcW w:w="8260" w:type="dxa"/>
            <w:vAlign w:val="bottom"/>
            <w:tcBorders>
              <w:top w:val="single" w:sz="8" w:color="005CA9"/>
            </w:tcBorders>
            <w:shd w:val="clear" w:color="auto" w:fill="D9EEFF"/>
          </w:tcPr>
          <w:p>
            <w:pPr>
              <w:jc w:val="center"/>
              <w:ind w:right="61"/>
              <w:spacing w:after="0"/>
              <w:rPr>
                <w:sz w:val="20"/>
                <w:szCs w:val="20"/>
                <w:color w:val="auto"/>
              </w:rPr>
            </w:pPr>
            <w:r>
              <w:rPr>
                <w:rFonts w:ascii="Arial" w:cs="Arial" w:eastAsia="Arial" w:hAnsi="Arial"/>
                <w:sz w:val="20"/>
                <w:szCs w:val="20"/>
                <w:color w:val="auto"/>
                <w:w w:val="99"/>
              </w:rPr>
              <w:t>Examples of 2025 strategic initiatives include, but are not limited to:</w:t>
            </w:r>
          </w:p>
        </w:tc>
      </w:tr>
      <w:tr>
        <w:trPr>
          <w:trHeight w:val="257"/>
        </w:trPr>
        <w:tc>
          <w:tcPr>
            <w:tcW w:w="980" w:type="dxa"/>
            <w:vAlign w:val="bottom"/>
            <w:shd w:val="clear" w:color="auto" w:fill="D9EEFF"/>
          </w:tcPr>
          <w:p>
            <w:pPr>
              <w:spacing w:after="0"/>
              <w:rPr>
                <w:sz w:val="22"/>
                <w:szCs w:val="22"/>
                <w:color w:val="auto"/>
              </w:rPr>
            </w:pPr>
          </w:p>
        </w:tc>
        <w:tc>
          <w:tcPr>
            <w:tcW w:w="2000" w:type="dxa"/>
            <w:vAlign w:val="bottom"/>
            <w:shd w:val="clear" w:color="auto" w:fill="D9EEFF"/>
          </w:tcPr>
          <w:p>
            <w:pPr>
              <w:spacing w:after="0"/>
              <w:rPr>
                <w:sz w:val="22"/>
                <w:szCs w:val="22"/>
                <w:color w:val="auto"/>
              </w:rPr>
            </w:pPr>
          </w:p>
        </w:tc>
        <w:tc>
          <w:tcPr>
            <w:tcW w:w="8260" w:type="dxa"/>
            <w:vAlign w:val="bottom"/>
            <w:shd w:val="clear" w:color="auto" w:fill="D9EEFF"/>
          </w:tcPr>
          <w:p>
            <w:pPr>
              <w:jc w:val="center"/>
              <w:ind w:right="61"/>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Driving new products that will increase the Company's revenue and continue to</w:t>
            </w:r>
          </w:p>
        </w:tc>
      </w:tr>
      <w:tr>
        <w:trPr>
          <w:trHeight w:val="261"/>
        </w:trPr>
        <w:tc>
          <w:tcPr>
            <w:tcW w:w="980" w:type="dxa"/>
            <w:vAlign w:val="bottom"/>
            <w:shd w:val="clear" w:color="auto" w:fill="D9EEFF"/>
          </w:tcPr>
          <w:p>
            <w:pPr>
              <w:spacing w:after="0"/>
              <w:rPr>
                <w:sz w:val="22"/>
                <w:szCs w:val="22"/>
                <w:color w:val="auto"/>
              </w:rPr>
            </w:pPr>
          </w:p>
        </w:tc>
        <w:tc>
          <w:tcPr>
            <w:tcW w:w="2000" w:type="dxa"/>
            <w:vAlign w:val="bottom"/>
            <w:shd w:val="clear" w:color="auto" w:fill="D9EEFF"/>
          </w:tcPr>
          <w:p>
            <w:pPr>
              <w:spacing w:after="0"/>
              <w:rPr>
                <w:sz w:val="22"/>
                <w:szCs w:val="22"/>
                <w:color w:val="auto"/>
              </w:rPr>
            </w:pPr>
          </w:p>
        </w:tc>
        <w:tc>
          <w:tcPr>
            <w:tcW w:w="8260" w:type="dxa"/>
            <w:vAlign w:val="bottom"/>
            <w:shd w:val="clear" w:color="auto" w:fill="D9EEFF"/>
          </w:tcPr>
          <w:p>
            <w:pPr>
              <w:ind w:left="580"/>
              <w:spacing w:after="0"/>
              <w:rPr>
                <w:sz w:val="20"/>
                <w:szCs w:val="20"/>
                <w:color w:val="auto"/>
              </w:rPr>
            </w:pPr>
            <w:r>
              <w:rPr>
                <w:rFonts w:ascii="Arial" w:cs="Arial" w:eastAsia="Arial" w:hAnsi="Arial"/>
                <w:sz w:val="20"/>
                <w:szCs w:val="20"/>
                <w:color w:val="auto"/>
              </w:rPr>
              <w:t>advance the technologies the Company provides its customers</w:t>
            </w:r>
          </w:p>
        </w:tc>
      </w:tr>
      <w:tr>
        <w:trPr>
          <w:trHeight w:val="314"/>
        </w:trPr>
        <w:tc>
          <w:tcPr>
            <w:tcW w:w="980" w:type="dxa"/>
            <w:vAlign w:val="bottom"/>
            <w:shd w:val="clear" w:color="auto" w:fill="D9EEFF"/>
          </w:tcPr>
          <w:p>
            <w:pPr>
              <w:jc w:val="right"/>
              <w:ind w:right="101"/>
              <w:spacing w:after="0"/>
              <w:rPr>
                <w:sz w:val="20"/>
                <w:szCs w:val="20"/>
                <w:color w:val="auto"/>
              </w:rPr>
            </w:pPr>
            <w:r>
              <w:rPr>
                <w:rFonts w:ascii="Arial" w:cs="Arial" w:eastAsia="Arial" w:hAnsi="Arial"/>
                <w:sz w:val="20"/>
                <w:szCs w:val="20"/>
                <w:color w:val="auto"/>
              </w:rPr>
              <w:t>20%</w:t>
            </w:r>
          </w:p>
        </w:tc>
        <w:tc>
          <w:tcPr>
            <w:tcW w:w="2000" w:type="dxa"/>
            <w:vAlign w:val="bottom"/>
            <w:shd w:val="clear" w:color="auto" w:fill="D9EEFF"/>
          </w:tcPr>
          <w:p>
            <w:pPr>
              <w:ind w:left="180"/>
              <w:spacing w:after="0"/>
              <w:rPr>
                <w:sz w:val="20"/>
                <w:szCs w:val="20"/>
                <w:color w:val="auto"/>
              </w:rPr>
            </w:pPr>
            <w:r>
              <w:rPr>
                <w:rFonts w:ascii="Arial" w:cs="Arial" w:eastAsia="Arial" w:hAnsi="Arial"/>
                <w:sz w:val="20"/>
                <w:szCs w:val="20"/>
                <w:color w:val="auto"/>
              </w:rPr>
              <w:t>Strategic Priorities</w:t>
            </w:r>
          </w:p>
        </w:tc>
        <w:tc>
          <w:tcPr>
            <w:tcW w:w="8260" w:type="dxa"/>
            <w:vAlign w:val="bottom"/>
            <w:shd w:val="clear" w:color="auto" w:fill="D9EEFF"/>
          </w:tcPr>
          <w:p>
            <w:pPr>
              <w:jc w:val="center"/>
              <w:ind w:right="41"/>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Improving the product mix of the Company's product portfolio through increases in</w:t>
            </w:r>
          </w:p>
        </w:tc>
      </w:tr>
      <w:tr>
        <w:trPr>
          <w:trHeight w:val="181"/>
        </w:trPr>
        <w:tc>
          <w:tcPr>
            <w:tcW w:w="980" w:type="dxa"/>
            <w:vAlign w:val="bottom"/>
            <w:shd w:val="clear" w:color="auto" w:fill="D9EEFF"/>
          </w:tcPr>
          <w:p>
            <w:pPr>
              <w:spacing w:after="0"/>
              <w:rPr>
                <w:sz w:val="15"/>
                <w:szCs w:val="15"/>
                <w:color w:val="auto"/>
              </w:rPr>
            </w:pPr>
          </w:p>
        </w:tc>
        <w:tc>
          <w:tcPr>
            <w:tcW w:w="2000" w:type="dxa"/>
            <w:vAlign w:val="bottom"/>
            <w:shd w:val="clear" w:color="auto" w:fill="D9EEFF"/>
          </w:tcPr>
          <w:p>
            <w:pPr>
              <w:spacing w:after="0"/>
              <w:rPr>
                <w:sz w:val="15"/>
                <w:szCs w:val="15"/>
                <w:color w:val="auto"/>
              </w:rPr>
            </w:pPr>
          </w:p>
        </w:tc>
        <w:tc>
          <w:tcPr>
            <w:tcW w:w="8260" w:type="dxa"/>
            <w:vAlign w:val="bottom"/>
            <w:shd w:val="clear" w:color="auto" w:fill="D9EEFF"/>
          </w:tcPr>
          <w:p>
            <w:pPr>
              <w:ind w:left="580"/>
              <w:spacing w:after="0" w:line="181" w:lineRule="exact"/>
              <w:rPr>
                <w:sz w:val="20"/>
                <w:szCs w:val="20"/>
                <w:color w:val="auto"/>
              </w:rPr>
            </w:pPr>
            <w:r>
              <w:rPr>
                <w:rFonts w:ascii="Arial" w:cs="Arial" w:eastAsia="Arial" w:hAnsi="Arial"/>
                <w:sz w:val="20"/>
                <w:szCs w:val="20"/>
                <w:color w:val="auto"/>
              </w:rPr>
              <w:t>the automotive, industrial, and high-end computing businesses at a higher growth</w:t>
            </w:r>
          </w:p>
        </w:tc>
      </w:tr>
      <w:tr>
        <w:trPr>
          <w:trHeight w:val="261"/>
        </w:trPr>
        <w:tc>
          <w:tcPr>
            <w:tcW w:w="980" w:type="dxa"/>
            <w:vAlign w:val="bottom"/>
            <w:shd w:val="clear" w:color="auto" w:fill="D9EEFF"/>
          </w:tcPr>
          <w:p>
            <w:pPr>
              <w:spacing w:after="0"/>
              <w:rPr>
                <w:sz w:val="22"/>
                <w:szCs w:val="22"/>
                <w:color w:val="auto"/>
              </w:rPr>
            </w:pPr>
          </w:p>
        </w:tc>
        <w:tc>
          <w:tcPr>
            <w:tcW w:w="2000" w:type="dxa"/>
            <w:vAlign w:val="bottom"/>
            <w:shd w:val="clear" w:color="auto" w:fill="D9EEFF"/>
          </w:tcPr>
          <w:p>
            <w:pPr>
              <w:spacing w:after="0"/>
              <w:rPr>
                <w:sz w:val="22"/>
                <w:szCs w:val="22"/>
                <w:color w:val="auto"/>
              </w:rPr>
            </w:pPr>
          </w:p>
        </w:tc>
        <w:tc>
          <w:tcPr>
            <w:tcW w:w="8260" w:type="dxa"/>
            <w:vAlign w:val="bottom"/>
            <w:shd w:val="clear" w:color="auto" w:fill="D9EEFF"/>
          </w:tcPr>
          <w:p>
            <w:pPr>
              <w:ind w:left="580"/>
              <w:spacing w:after="0"/>
              <w:rPr>
                <w:sz w:val="20"/>
                <w:szCs w:val="20"/>
                <w:color w:val="auto"/>
              </w:rPr>
            </w:pPr>
            <w:r>
              <w:rPr>
                <w:rFonts w:ascii="Arial" w:cs="Arial" w:eastAsia="Arial" w:hAnsi="Arial"/>
                <w:sz w:val="20"/>
                <w:szCs w:val="20"/>
                <w:color w:val="auto"/>
              </w:rPr>
              <w:t>rate than Diodes overall</w:t>
            </w:r>
          </w:p>
        </w:tc>
      </w:tr>
      <w:tr>
        <w:trPr>
          <w:trHeight w:val="279"/>
        </w:trPr>
        <w:tc>
          <w:tcPr>
            <w:tcW w:w="980" w:type="dxa"/>
            <w:vAlign w:val="bottom"/>
            <w:shd w:val="clear" w:color="auto" w:fill="D9EEFF"/>
          </w:tcPr>
          <w:p>
            <w:pPr>
              <w:spacing w:after="0"/>
              <w:rPr>
                <w:sz w:val="24"/>
                <w:szCs w:val="24"/>
                <w:color w:val="auto"/>
              </w:rPr>
            </w:pPr>
          </w:p>
        </w:tc>
        <w:tc>
          <w:tcPr>
            <w:tcW w:w="2000" w:type="dxa"/>
            <w:vAlign w:val="bottom"/>
            <w:shd w:val="clear" w:color="auto" w:fill="D9EEFF"/>
          </w:tcPr>
          <w:p>
            <w:pPr>
              <w:spacing w:after="0"/>
              <w:rPr>
                <w:sz w:val="24"/>
                <w:szCs w:val="24"/>
                <w:color w:val="auto"/>
              </w:rPr>
            </w:pPr>
          </w:p>
        </w:tc>
        <w:tc>
          <w:tcPr>
            <w:tcW w:w="8260" w:type="dxa"/>
            <w:vAlign w:val="bottom"/>
            <w:shd w:val="clear" w:color="auto" w:fill="D9EEFF"/>
          </w:tcPr>
          <w:p>
            <w:pPr>
              <w:jc w:val="center"/>
              <w:ind w:right="41"/>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Driving market share gains, qualifying technologies, and products internally that</w:t>
            </w:r>
          </w:p>
        </w:tc>
      </w:tr>
      <w:tr>
        <w:trPr>
          <w:trHeight w:val="265"/>
        </w:trPr>
        <w:tc>
          <w:tcPr>
            <w:tcW w:w="980" w:type="dxa"/>
            <w:vAlign w:val="bottom"/>
            <w:shd w:val="clear" w:color="auto" w:fill="D9EEFF"/>
          </w:tcPr>
          <w:p>
            <w:pPr>
              <w:spacing w:after="0"/>
              <w:rPr>
                <w:sz w:val="23"/>
                <w:szCs w:val="23"/>
                <w:color w:val="auto"/>
              </w:rPr>
            </w:pPr>
          </w:p>
        </w:tc>
        <w:tc>
          <w:tcPr>
            <w:tcW w:w="2000" w:type="dxa"/>
            <w:vAlign w:val="bottom"/>
            <w:shd w:val="clear" w:color="auto" w:fill="D9EEFF"/>
          </w:tcPr>
          <w:p>
            <w:pPr>
              <w:spacing w:after="0"/>
              <w:rPr>
                <w:sz w:val="23"/>
                <w:szCs w:val="23"/>
                <w:color w:val="auto"/>
              </w:rPr>
            </w:pPr>
          </w:p>
        </w:tc>
        <w:tc>
          <w:tcPr>
            <w:tcW w:w="8260" w:type="dxa"/>
            <w:vAlign w:val="bottom"/>
            <w:shd w:val="clear" w:color="auto" w:fill="D9EEFF"/>
          </w:tcPr>
          <w:p>
            <w:pPr>
              <w:ind w:left="580"/>
              <w:spacing w:after="0"/>
              <w:rPr>
                <w:sz w:val="20"/>
                <w:szCs w:val="20"/>
                <w:color w:val="auto"/>
              </w:rPr>
            </w:pPr>
            <w:r>
              <w:rPr>
                <w:rFonts w:ascii="Arial" w:cs="Arial" w:eastAsia="Arial" w:hAnsi="Arial"/>
                <w:sz w:val="20"/>
                <w:szCs w:val="20"/>
                <w:color w:val="auto"/>
              </w:rPr>
              <w:t>allow the Company to increase internal factory loadings</w:t>
            </w:r>
          </w:p>
        </w:tc>
      </w:tr>
    </w:tbl>
    <w:p>
      <w:pPr>
        <w:spacing w:after="0" w:line="24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Both the financial metrics and the strategic priorities are set at the beginning of the year and on an absolute basis. The schedule below sets forth the annual incentives to be paid as a percentage of target. Performance below or above target will result in an award ranging from 0% to a maximum of 200% of target.</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FFFFFF"/>
        </w:rPr>
        <w:t>Annual Incentives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-139065</wp:posOffset>
            </wp:positionV>
            <wp:extent cx="4989195"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89195" cy="3003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FFFFFF"/>
        </w:rPr>
        <w:t>Financial and Strategic Performance &amp; Payout Ranges</w:t>
      </w:r>
    </w:p>
    <w:p>
      <w:pPr>
        <w:spacing w:after="0" w:line="3" w:lineRule="exact"/>
        <w:rPr>
          <w:sz w:val="20"/>
          <w:szCs w:val="20"/>
          <w:color w:val="auto"/>
        </w:rPr>
      </w:pPr>
    </w:p>
    <w:tbl>
      <w:tblPr>
        <w:tblLayout w:type="fixed"/>
        <w:tblInd w:w="1710" w:type="dxa"/>
        <w:tblCellMar>
          <w:top w:w="0" w:type="dxa"/>
          <w:left w:w="0" w:type="dxa"/>
          <w:bottom w:w="0" w:type="dxa"/>
          <w:right w:w="0" w:type="dxa"/>
        </w:tblCellMar>
      </w:tblPr>
      <w:tr>
        <w:trPr>
          <w:trHeight w:val="237"/>
        </w:trPr>
        <w:tc>
          <w:tcPr>
            <w:tcW w:w="5120" w:type="dxa"/>
            <w:vAlign w:val="bottom"/>
            <w:tcBorders>
              <w:left w:val="single" w:sz="8" w:color="005CA9"/>
              <w:bottom w:val="single" w:sz="8" w:color="005CA9"/>
              <w:right w:val="single" w:sz="8" w:color="005CA9"/>
            </w:tcBorders>
            <w:shd w:val="clear" w:color="auto" w:fill="D9EEFF"/>
          </w:tcPr>
          <w:p>
            <w:pPr>
              <w:ind w:left="60"/>
              <w:spacing w:after="0"/>
              <w:rPr>
                <w:sz w:val="20"/>
                <w:szCs w:val="20"/>
                <w:color w:val="auto"/>
              </w:rPr>
            </w:pPr>
            <w:r>
              <w:rPr>
                <w:rFonts w:ascii="Arial" w:cs="Arial" w:eastAsia="Arial" w:hAnsi="Arial"/>
                <w:sz w:val="20"/>
                <w:szCs w:val="20"/>
                <w:b w:val="1"/>
                <w:bCs w:val="1"/>
                <w:color w:val="auto"/>
              </w:rPr>
              <w:t>Performance Level</w:t>
            </w:r>
          </w:p>
        </w:tc>
        <w:tc>
          <w:tcPr>
            <w:tcW w:w="2740" w:type="dxa"/>
            <w:vAlign w:val="bottom"/>
            <w:tcBorders>
              <w:bottom w:val="single" w:sz="8" w:color="005CA9"/>
              <w:right w:val="single" w:sz="8" w:color="005CA9"/>
            </w:tcBorders>
            <w:shd w:val="clear" w:color="auto" w:fill="D9EEFF"/>
          </w:tcPr>
          <w:p>
            <w:pPr>
              <w:ind w:left="20"/>
              <w:spacing w:after="0"/>
              <w:rPr>
                <w:sz w:val="20"/>
                <w:szCs w:val="20"/>
                <w:color w:val="auto"/>
              </w:rPr>
            </w:pPr>
            <w:r>
              <w:rPr>
                <w:rFonts w:ascii="Arial" w:cs="Arial" w:eastAsia="Arial" w:hAnsi="Arial"/>
                <w:sz w:val="20"/>
                <w:szCs w:val="20"/>
                <w:b w:val="1"/>
                <w:bCs w:val="1"/>
                <w:color w:val="auto"/>
              </w:rPr>
              <w:t>Range of Payout*</w:t>
            </w:r>
          </w:p>
        </w:tc>
      </w:tr>
      <w:tr>
        <w:trPr>
          <w:trHeight w:val="223"/>
        </w:trPr>
        <w:tc>
          <w:tcPr>
            <w:tcW w:w="5120" w:type="dxa"/>
            <w:vAlign w:val="bottom"/>
            <w:tcBorders>
              <w:left w:val="single" w:sz="8" w:color="005CA9"/>
              <w:bottom w:val="single" w:sz="8" w:color="005CA9"/>
              <w:right w:val="single" w:sz="8" w:color="005CA9"/>
            </w:tcBorders>
          </w:tcPr>
          <w:p>
            <w:pPr>
              <w:ind w:left="60"/>
              <w:spacing w:after="0" w:line="216" w:lineRule="exact"/>
              <w:rPr>
                <w:sz w:val="20"/>
                <w:szCs w:val="20"/>
                <w:color w:val="auto"/>
              </w:rPr>
            </w:pPr>
            <w:r>
              <w:rPr>
                <w:rFonts w:ascii="Arial" w:cs="Arial" w:eastAsia="Arial" w:hAnsi="Arial"/>
                <w:sz w:val="20"/>
                <w:szCs w:val="20"/>
                <w:color w:val="auto"/>
              </w:rPr>
              <w:t>Below 80% of Target</w:t>
            </w:r>
          </w:p>
        </w:tc>
        <w:tc>
          <w:tcPr>
            <w:tcW w:w="2740" w:type="dxa"/>
            <w:vAlign w:val="bottom"/>
            <w:tcBorders>
              <w:bottom w:val="single" w:sz="8" w:color="005CA9"/>
              <w:right w:val="single" w:sz="8" w:color="005CA9"/>
            </w:tcBorders>
          </w:tcPr>
          <w:p>
            <w:pPr>
              <w:ind w:left="20"/>
              <w:spacing w:after="0" w:line="216" w:lineRule="exact"/>
              <w:rPr>
                <w:sz w:val="20"/>
                <w:szCs w:val="20"/>
                <w:color w:val="auto"/>
              </w:rPr>
            </w:pPr>
            <w:r>
              <w:rPr>
                <w:rFonts w:ascii="Arial" w:cs="Arial" w:eastAsia="Arial" w:hAnsi="Arial"/>
                <w:sz w:val="20"/>
                <w:szCs w:val="20"/>
                <w:color w:val="auto"/>
              </w:rPr>
              <w:t>0% payout</w:t>
            </w:r>
          </w:p>
        </w:tc>
      </w:tr>
      <w:tr>
        <w:trPr>
          <w:trHeight w:val="223"/>
        </w:trPr>
        <w:tc>
          <w:tcPr>
            <w:tcW w:w="5120" w:type="dxa"/>
            <w:vAlign w:val="bottom"/>
            <w:tcBorders>
              <w:left w:val="single" w:sz="8" w:color="005CA9"/>
              <w:bottom w:val="single" w:sz="8" w:color="005CA9"/>
              <w:right w:val="single" w:sz="8" w:color="005CA9"/>
            </w:tcBorders>
            <w:shd w:val="clear" w:color="auto" w:fill="D9EEFF"/>
          </w:tcPr>
          <w:p>
            <w:pPr>
              <w:ind w:left="60"/>
              <w:spacing w:after="0" w:line="216" w:lineRule="exact"/>
              <w:rPr>
                <w:sz w:val="20"/>
                <w:szCs w:val="20"/>
                <w:color w:val="auto"/>
              </w:rPr>
            </w:pPr>
            <w:r>
              <w:rPr>
                <w:rFonts w:ascii="Arial" w:cs="Arial" w:eastAsia="Arial" w:hAnsi="Arial"/>
                <w:sz w:val="20"/>
                <w:szCs w:val="20"/>
                <w:color w:val="auto"/>
              </w:rPr>
              <w:t>From 80% to 100% of Target</w:t>
            </w:r>
          </w:p>
        </w:tc>
        <w:tc>
          <w:tcPr>
            <w:tcW w:w="2740" w:type="dxa"/>
            <w:vAlign w:val="bottom"/>
            <w:tcBorders>
              <w:bottom w:val="single" w:sz="8" w:color="005CA9"/>
              <w:right w:val="single" w:sz="8" w:color="005CA9"/>
            </w:tcBorders>
            <w:shd w:val="clear" w:color="auto" w:fill="D9EEFF"/>
          </w:tcPr>
          <w:p>
            <w:pPr>
              <w:ind w:left="20"/>
              <w:spacing w:after="0" w:line="216" w:lineRule="exact"/>
              <w:rPr>
                <w:sz w:val="20"/>
                <w:szCs w:val="20"/>
                <w:color w:val="auto"/>
              </w:rPr>
            </w:pPr>
            <w:r>
              <w:rPr>
                <w:rFonts w:ascii="Arial" w:cs="Arial" w:eastAsia="Arial" w:hAnsi="Arial"/>
                <w:sz w:val="20"/>
                <w:szCs w:val="20"/>
                <w:color w:val="auto"/>
              </w:rPr>
              <w:t>50% to 100% payout</w:t>
            </w:r>
          </w:p>
        </w:tc>
      </w:tr>
      <w:tr>
        <w:trPr>
          <w:trHeight w:val="223"/>
        </w:trPr>
        <w:tc>
          <w:tcPr>
            <w:tcW w:w="5120" w:type="dxa"/>
            <w:vAlign w:val="bottom"/>
            <w:tcBorders>
              <w:left w:val="single" w:sz="8" w:color="005CA9"/>
              <w:bottom w:val="single" w:sz="8" w:color="005CA9"/>
              <w:right w:val="single" w:sz="8" w:color="005CA9"/>
            </w:tcBorders>
          </w:tcPr>
          <w:p>
            <w:pPr>
              <w:ind w:left="60"/>
              <w:spacing w:after="0" w:line="216" w:lineRule="exact"/>
              <w:rPr>
                <w:sz w:val="20"/>
                <w:szCs w:val="20"/>
                <w:color w:val="auto"/>
              </w:rPr>
            </w:pPr>
            <w:r>
              <w:rPr>
                <w:rFonts w:ascii="Arial" w:cs="Arial" w:eastAsia="Arial" w:hAnsi="Arial"/>
                <w:sz w:val="20"/>
                <w:szCs w:val="20"/>
                <w:color w:val="auto"/>
              </w:rPr>
              <w:t>From 100% to 120% of Target</w:t>
            </w:r>
          </w:p>
        </w:tc>
        <w:tc>
          <w:tcPr>
            <w:tcW w:w="2740" w:type="dxa"/>
            <w:vAlign w:val="bottom"/>
            <w:tcBorders>
              <w:bottom w:val="single" w:sz="8" w:color="005CA9"/>
              <w:right w:val="single" w:sz="8" w:color="005CA9"/>
            </w:tcBorders>
          </w:tcPr>
          <w:p>
            <w:pPr>
              <w:ind w:left="20"/>
              <w:spacing w:after="0" w:line="216" w:lineRule="exact"/>
              <w:rPr>
                <w:sz w:val="20"/>
                <w:szCs w:val="20"/>
                <w:color w:val="auto"/>
              </w:rPr>
            </w:pPr>
            <w:r>
              <w:rPr>
                <w:rFonts w:ascii="Arial" w:cs="Arial" w:eastAsia="Arial" w:hAnsi="Arial"/>
                <w:sz w:val="20"/>
                <w:szCs w:val="20"/>
                <w:color w:val="auto"/>
              </w:rPr>
              <w:t>100% to 200% payout</w:t>
            </w:r>
          </w:p>
        </w:tc>
      </w:tr>
      <w:tr>
        <w:trPr>
          <w:trHeight w:val="236"/>
        </w:trPr>
        <w:tc>
          <w:tcPr>
            <w:tcW w:w="5120" w:type="dxa"/>
            <w:vAlign w:val="bottom"/>
            <w:tcBorders>
              <w:left w:val="single" w:sz="8" w:color="005CA9"/>
              <w:bottom w:val="single" w:sz="8" w:color="005CA9"/>
              <w:right w:val="single" w:sz="8" w:color="005CA9"/>
            </w:tcBorders>
            <w:shd w:val="clear" w:color="auto" w:fill="D9EEFF"/>
          </w:tcPr>
          <w:p>
            <w:pPr>
              <w:ind w:left="60"/>
              <w:spacing w:after="0"/>
              <w:rPr>
                <w:sz w:val="20"/>
                <w:szCs w:val="20"/>
                <w:color w:val="auto"/>
              </w:rPr>
            </w:pPr>
            <w:r>
              <w:rPr>
                <w:rFonts w:ascii="Arial" w:cs="Arial" w:eastAsia="Arial" w:hAnsi="Arial"/>
                <w:sz w:val="20"/>
                <w:szCs w:val="20"/>
                <w:color w:val="auto"/>
              </w:rPr>
              <w:t>Above 120% of Target</w:t>
            </w:r>
          </w:p>
        </w:tc>
        <w:tc>
          <w:tcPr>
            <w:tcW w:w="2740" w:type="dxa"/>
            <w:vAlign w:val="bottom"/>
            <w:tcBorders>
              <w:bottom w:val="single" w:sz="8" w:color="005CA9"/>
              <w:right w:val="single" w:sz="8" w:color="005CA9"/>
            </w:tcBorders>
            <w:shd w:val="clear" w:color="auto" w:fill="D9EEFF"/>
          </w:tcPr>
          <w:p>
            <w:pPr>
              <w:ind w:left="20"/>
              <w:spacing w:after="0"/>
              <w:rPr>
                <w:sz w:val="20"/>
                <w:szCs w:val="20"/>
                <w:color w:val="auto"/>
              </w:rPr>
            </w:pPr>
            <w:r>
              <w:rPr>
                <w:rFonts w:ascii="Arial" w:cs="Arial" w:eastAsia="Arial" w:hAnsi="Arial"/>
                <w:sz w:val="20"/>
                <w:szCs w:val="20"/>
                <w:color w:val="auto"/>
              </w:rPr>
              <w:t>200% payout (capped)</w:t>
            </w:r>
          </w:p>
        </w:tc>
      </w:tr>
    </w:tbl>
    <w:p>
      <w:pPr>
        <w:jc w:val="right"/>
        <w:ind w:right="3320"/>
        <w:spacing w:after="0"/>
        <w:rPr>
          <w:sz w:val="20"/>
          <w:szCs w:val="20"/>
          <w:color w:val="auto"/>
        </w:rPr>
      </w:pPr>
      <w:r>
        <w:rPr>
          <w:rFonts w:ascii="Arial" w:cs="Arial" w:eastAsia="Arial" w:hAnsi="Arial"/>
          <w:sz w:val="14"/>
          <w:szCs w:val="14"/>
          <w:color w:val="auto"/>
        </w:rPr>
        <w:t>*Performance between 80% and 100% of Target and between 100% and</w:t>
      </w:r>
    </w:p>
    <w:p>
      <w:pPr>
        <w:spacing w:after="0" w:line="6" w:lineRule="exact"/>
        <w:rPr>
          <w:sz w:val="20"/>
          <w:szCs w:val="20"/>
          <w:color w:val="auto"/>
        </w:rPr>
      </w:pPr>
    </w:p>
    <w:p>
      <w:pPr>
        <w:jc w:val="right"/>
        <w:ind w:right="3340"/>
        <w:spacing w:after="0"/>
        <w:rPr>
          <w:sz w:val="20"/>
          <w:szCs w:val="20"/>
          <w:color w:val="auto"/>
        </w:rPr>
      </w:pPr>
      <w:r>
        <w:rPr>
          <w:rFonts w:ascii="Arial" w:cs="Arial" w:eastAsia="Arial" w:hAnsi="Arial"/>
          <w:sz w:val="14"/>
          <w:szCs w:val="14"/>
          <w:color w:val="auto"/>
        </w:rPr>
        <w:t>120% of Target is interpolated between the end points identified above.</w:t>
      </w:r>
    </w:p>
    <w:p>
      <w:pPr>
        <w:spacing w:after="0" w:line="8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Compensation Committee chose to use Non-GAAP EPS and net sales as the primary measures for 2024 and 2025 to keep our NEOs focused on profitability and profitable growth. The Compensation Committee determined these measures to be appropriate since they are measures used by our peers in evaluating performance and are commonly used by stakeholders in the evaluation of company performance. The Compensation Committee has weighted CSER to the financial metrics at a 5% weighting, and established an internal committee to improve the Company's focus on its ongoing environmental, social and governance activities. Achieving goals in all of these areas is critical to driving short-term results that have long-term impact on value creation. The strategic initiatives will be evaluated based upon demonstrated performance against the specific pre-determined targets.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sets forth the financial performance targets and strategic objectives for 2025 and 2024, established by the Compensation Committee and the results achieved by the Company. The lower targets for 2025, when compared</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36" w:name="page37"/>
    <w:bookmarkEnd w:id="36"/>
    <w:p>
      <w:pPr>
        <w:spacing w:after="0" w:line="257" w:lineRule="auto"/>
        <w:rPr>
          <w:sz w:val="20"/>
          <w:szCs w:val="20"/>
          <w:color w:val="auto"/>
        </w:rPr>
      </w:pPr>
      <w:r>
        <w:rPr>
          <w:rFonts w:ascii="Arial" w:cs="Arial" w:eastAsia="Arial" w:hAnsi="Arial"/>
          <w:sz w:val="20"/>
          <w:szCs w:val="20"/>
          <w:color w:val="auto"/>
        </w:rPr>
        <w:t>to 2024, are reflective of the deterioration of the worldwide semiconductor market resulting in reduced guidance to investors as well as reduced compensation targets.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Borders>
              <w:top w:val="single" w:sz="8" w:color="4F81BD"/>
            </w:tcBorders>
          </w:tcPr>
          <w:p>
            <w:pPr>
              <w:spacing w:after="0"/>
              <w:rPr>
                <w:sz w:val="17"/>
                <w:szCs w:val="17"/>
                <w:color w:val="auto"/>
              </w:rPr>
            </w:pPr>
          </w:p>
        </w:tc>
        <w:tc>
          <w:tcPr>
            <w:tcW w:w="780" w:type="dxa"/>
            <w:vAlign w:val="bottom"/>
            <w:tcBorders>
              <w:top w:val="single" w:sz="8" w:color="4F81BD"/>
              <w:bottom w:val="single" w:sz="8" w:color="4F81BD"/>
            </w:tcBorders>
          </w:tcPr>
          <w:p>
            <w:pPr>
              <w:spacing w:after="0"/>
              <w:rPr>
                <w:sz w:val="17"/>
                <w:szCs w:val="17"/>
                <w:color w:val="auto"/>
              </w:rPr>
            </w:pPr>
          </w:p>
        </w:tc>
        <w:tc>
          <w:tcPr>
            <w:tcW w:w="840" w:type="dxa"/>
            <w:vAlign w:val="bottom"/>
            <w:tcBorders>
              <w:top w:val="single" w:sz="8" w:color="4F81BD"/>
              <w:bottom w:val="single" w:sz="8" w:color="4F81BD"/>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top w:val="single" w:sz="8" w:color="4F81BD"/>
              <w:bottom w:val="single" w:sz="8" w:color="4F81BD"/>
            </w:tcBorders>
          </w:tcPr>
          <w:p>
            <w:pPr>
              <w:spacing w:after="0"/>
              <w:rPr>
                <w:sz w:val="17"/>
                <w:szCs w:val="17"/>
                <w:color w:val="auto"/>
              </w:rPr>
            </w:pPr>
          </w:p>
        </w:tc>
        <w:tc>
          <w:tcPr>
            <w:tcW w:w="1560" w:type="dxa"/>
            <w:vAlign w:val="bottom"/>
            <w:tcBorders>
              <w:top w:val="single" w:sz="8" w:color="4F81BD"/>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780" w:type="dxa"/>
            <w:vAlign w:val="bottom"/>
            <w:tcBorders>
              <w:top w:val="single" w:sz="8" w:color="4F81BD"/>
              <w:bottom w:val="single" w:sz="8" w:color="4F81BD"/>
            </w:tcBorders>
          </w:tcPr>
          <w:p>
            <w:pPr>
              <w:spacing w:after="0"/>
              <w:rPr>
                <w:sz w:val="17"/>
                <w:szCs w:val="17"/>
                <w:color w:val="auto"/>
              </w:rPr>
            </w:pPr>
          </w:p>
        </w:tc>
        <w:tc>
          <w:tcPr>
            <w:tcW w:w="840" w:type="dxa"/>
            <w:vAlign w:val="bottom"/>
            <w:tcBorders>
              <w:top w:val="single" w:sz="8" w:color="4F81BD"/>
              <w:bottom w:val="single" w:sz="8" w:color="4F81BD"/>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780" w:type="dxa"/>
            <w:vAlign w:val="bottom"/>
            <w:tcBorders>
              <w:top w:val="single" w:sz="8" w:color="4F81BD"/>
              <w:bottom w:val="single" w:sz="8" w:color="4F81BD"/>
            </w:tcBorders>
          </w:tcPr>
          <w:p>
            <w:pPr>
              <w:spacing w:after="0"/>
              <w:rPr>
                <w:sz w:val="17"/>
                <w:szCs w:val="17"/>
                <w:color w:val="auto"/>
              </w:rPr>
            </w:pPr>
          </w:p>
        </w:tc>
        <w:tc>
          <w:tcPr>
            <w:tcW w:w="1380" w:type="dxa"/>
            <w:vAlign w:val="bottom"/>
            <w:tcBorders>
              <w:top w:val="single" w:sz="8" w:color="4F81BD"/>
            </w:tcBorders>
          </w:tcPr>
          <w:p>
            <w:pPr>
              <w:jc w:val="center"/>
              <w:spacing w:after="0"/>
              <w:rPr>
                <w:sz w:val="20"/>
                <w:szCs w:val="20"/>
                <w:color w:val="auto"/>
              </w:rPr>
            </w:pPr>
            <w:r>
              <w:rPr>
                <w:rFonts w:ascii="Arial" w:cs="Arial" w:eastAsia="Arial" w:hAnsi="Arial"/>
                <w:sz w:val="16"/>
                <w:szCs w:val="16"/>
                <w:b w:val="1"/>
                <w:bCs w:val="1"/>
                <w:color w:val="auto"/>
              </w:rPr>
              <w:t>Performance</w:t>
            </w:r>
          </w:p>
        </w:tc>
      </w:tr>
      <w:tr>
        <w:trPr>
          <w:trHeight w:val="183"/>
        </w:trPr>
        <w:tc>
          <w:tcPr>
            <w:tcW w:w="3500" w:type="dxa"/>
            <w:vAlign w:val="bottom"/>
          </w:tcPr>
          <w:p>
            <w:pPr>
              <w:spacing w:after="0" w:line="183" w:lineRule="exact"/>
              <w:rPr>
                <w:sz w:val="20"/>
                <w:szCs w:val="20"/>
                <w:color w:val="auto"/>
              </w:rPr>
            </w:pPr>
            <w:r>
              <w:rPr>
                <w:rFonts w:ascii="Arial" w:cs="Arial" w:eastAsia="Arial" w:hAnsi="Arial"/>
                <w:sz w:val="16"/>
                <w:szCs w:val="16"/>
                <w:b w:val="1"/>
                <w:bCs w:val="1"/>
                <w:color w:val="auto"/>
              </w:rPr>
              <w:t>Objective</w:t>
            </w:r>
          </w:p>
        </w:tc>
        <w:tc>
          <w:tcPr>
            <w:tcW w:w="780" w:type="dxa"/>
            <w:vAlign w:val="bottom"/>
          </w:tcPr>
          <w:p>
            <w:pPr>
              <w:ind w:left="80"/>
              <w:spacing w:after="0" w:line="183" w:lineRule="exact"/>
              <w:rPr>
                <w:sz w:val="20"/>
                <w:szCs w:val="20"/>
                <w:color w:val="auto"/>
              </w:rPr>
            </w:pPr>
            <w:r>
              <w:rPr>
                <w:rFonts w:ascii="Arial" w:cs="Arial" w:eastAsia="Arial" w:hAnsi="Arial"/>
                <w:sz w:val="16"/>
                <w:szCs w:val="16"/>
                <w:b w:val="1"/>
                <w:bCs w:val="1"/>
                <w:color w:val="auto"/>
              </w:rPr>
              <w:t>Weight</w:t>
            </w:r>
          </w:p>
        </w:tc>
        <w:tc>
          <w:tcPr>
            <w:tcW w:w="8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Target</w:t>
            </w:r>
          </w:p>
        </w:tc>
        <w:tc>
          <w:tcPr>
            <w:tcW w:w="780" w:type="dxa"/>
            <w:vAlign w:val="bottom"/>
          </w:tcPr>
          <w:p>
            <w:pPr>
              <w:ind w:left="160"/>
              <w:spacing w:after="0" w:line="183" w:lineRule="exact"/>
              <w:rPr>
                <w:sz w:val="20"/>
                <w:szCs w:val="20"/>
                <w:color w:val="auto"/>
              </w:rPr>
            </w:pPr>
            <w:r>
              <w:rPr>
                <w:rFonts w:ascii="Arial" w:cs="Arial" w:eastAsia="Arial" w:hAnsi="Arial"/>
                <w:sz w:val="16"/>
                <w:szCs w:val="16"/>
                <w:b w:val="1"/>
                <w:bCs w:val="1"/>
                <w:color w:val="auto"/>
              </w:rPr>
              <w:t>Actual</w:t>
            </w:r>
          </w:p>
        </w:tc>
        <w:tc>
          <w:tcPr>
            <w:tcW w:w="15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vs. Target</w:t>
            </w:r>
          </w:p>
        </w:tc>
        <w:tc>
          <w:tcPr>
            <w:tcW w:w="7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Weight</w:t>
            </w:r>
          </w:p>
        </w:tc>
        <w:tc>
          <w:tcPr>
            <w:tcW w:w="8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Target</w:t>
            </w:r>
          </w:p>
        </w:tc>
        <w:tc>
          <w:tcPr>
            <w:tcW w:w="780" w:type="dxa"/>
            <w:vAlign w:val="bottom"/>
          </w:tcPr>
          <w:p>
            <w:pPr>
              <w:ind w:left="180"/>
              <w:spacing w:after="0" w:line="183" w:lineRule="exact"/>
              <w:rPr>
                <w:sz w:val="20"/>
                <w:szCs w:val="20"/>
                <w:color w:val="auto"/>
              </w:rPr>
            </w:pPr>
            <w:r>
              <w:rPr>
                <w:rFonts w:ascii="Arial" w:cs="Arial" w:eastAsia="Arial" w:hAnsi="Arial"/>
                <w:sz w:val="16"/>
                <w:szCs w:val="16"/>
                <w:b w:val="1"/>
                <w:bCs w:val="1"/>
                <w:color w:val="auto"/>
              </w:rPr>
              <w:t>Actual</w:t>
            </w:r>
          </w:p>
        </w:tc>
        <w:tc>
          <w:tcPr>
            <w:tcW w:w="13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vs. Target</w:t>
            </w:r>
          </w:p>
        </w:tc>
      </w:tr>
      <w:tr>
        <w:trPr>
          <w:trHeight w:val="68"/>
        </w:trPr>
        <w:tc>
          <w:tcPr>
            <w:tcW w:w="3500" w:type="dxa"/>
            <w:vAlign w:val="bottom"/>
            <w:shd w:val="clear" w:color="auto" w:fill="4F81BD"/>
          </w:tcPr>
          <w:p>
            <w:pPr>
              <w:spacing w:after="0"/>
              <w:rPr>
                <w:sz w:val="5"/>
                <w:szCs w:val="5"/>
                <w:color w:val="auto"/>
              </w:rPr>
            </w:pPr>
          </w:p>
        </w:tc>
        <w:tc>
          <w:tcPr>
            <w:tcW w:w="780" w:type="dxa"/>
            <w:vAlign w:val="bottom"/>
            <w:shd w:val="clear" w:color="auto" w:fill="4F81BD"/>
          </w:tcPr>
          <w:p>
            <w:pPr>
              <w:spacing w:after="0"/>
              <w:rPr>
                <w:sz w:val="5"/>
                <w:szCs w:val="5"/>
                <w:color w:val="auto"/>
              </w:rPr>
            </w:pPr>
          </w:p>
        </w:tc>
        <w:tc>
          <w:tcPr>
            <w:tcW w:w="840" w:type="dxa"/>
            <w:vAlign w:val="bottom"/>
            <w:shd w:val="clear" w:color="auto" w:fill="4F81BD"/>
          </w:tcPr>
          <w:p>
            <w:pPr>
              <w:spacing w:after="0"/>
              <w:rPr>
                <w:sz w:val="5"/>
                <w:szCs w:val="5"/>
                <w:color w:val="auto"/>
              </w:rPr>
            </w:pPr>
          </w:p>
        </w:tc>
        <w:tc>
          <w:tcPr>
            <w:tcW w:w="780" w:type="dxa"/>
            <w:vAlign w:val="bottom"/>
            <w:shd w:val="clear" w:color="auto" w:fill="4F81BD"/>
          </w:tcPr>
          <w:p>
            <w:pPr>
              <w:spacing w:after="0"/>
              <w:rPr>
                <w:sz w:val="5"/>
                <w:szCs w:val="5"/>
                <w:color w:val="auto"/>
              </w:rPr>
            </w:pPr>
          </w:p>
        </w:tc>
        <w:tc>
          <w:tcPr>
            <w:tcW w:w="1560" w:type="dxa"/>
            <w:vAlign w:val="bottom"/>
            <w:shd w:val="clear" w:color="auto" w:fill="4F81BD"/>
          </w:tcPr>
          <w:p>
            <w:pPr>
              <w:spacing w:after="0"/>
              <w:rPr>
                <w:sz w:val="5"/>
                <w:szCs w:val="5"/>
                <w:color w:val="auto"/>
              </w:rPr>
            </w:pPr>
          </w:p>
        </w:tc>
        <w:tc>
          <w:tcPr>
            <w:tcW w:w="780" w:type="dxa"/>
            <w:vAlign w:val="bottom"/>
            <w:shd w:val="clear" w:color="auto" w:fill="4F81BD"/>
          </w:tcPr>
          <w:p>
            <w:pPr>
              <w:spacing w:after="0"/>
              <w:rPr>
                <w:sz w:val="5"/>
                <w:szCs w:val="5"/>
                <w:color w:val="auto"/>
              </w:rPr>
            </w:pPr>
          </w:p>
        </w:tc>
        <w:tc>
          <w:tcPr>
            <w:tcW w:w="840" w:type="dxa"/>
            <w:vAlign w:val="bottom"/>
            <w:shd w:val="clear" w:color="auto" w:fill="4F81BD"/>
          </w:tcPr>
          <w:p>
            <w:pPr>
              <w:spacing w:after="0"/>
              <w:rPr>
                <w:sz w:val="5"/>
                <w:szCs w:val="5"/>
                <w:color w:val="auto"/>
              </w:rPr>
            </w:pPr>
          </w:p>
        </w:tc>
        <w:tc>
          <w:tcPr>
            <w:tcW w:w="780" w:type="dxa"/>
            <w:vAlign w:val="bottom"/>
            <w:shd w:val="clear" w:color="auto" w:fill="4F81BD"/>
          </w:tcPr>
          <w:p>
            <w:pPr>
              <w:spacing w:after="0"/>
              <w:rPr>
                <w:sz w:val="5"/>
                <w:szCs w:val="5"/>
                <w:color w:val="auto"/>
              </w:rPr>
            </w:pPr>
          </w:p>
        </w:tc>
        <w:tc>
          <w:tcPr>
            <w:tcW w:w="1380" w:type="dxa"/>
            <w:vAlign w:val="bottom"/>
            <w:shd w:val="clear" w:color="auto" w:fill="4F81BD"/>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tbl>
      <w:tblPr>
        <w:tblLayout w:type="fixed"/>
        <w:tblInd w:w="40" w:type="dxa"/>
        <w:tblCellMar>
          <w:top w:w="0" w:type="dxa"/>
          <w:left w:w="0" w:type="dxa"/>
          <w:bottom w:w="0" w:type="dxa"/>
          <w:right w:w="0" w:type="dxa"/>
        </w:tblCellMar>
      </w:tblPr>
      <w:tr>
        <w:trPr>
          <w:trHeight w:val="175"/>
        </w:trPr>
        <w:tc>
          <w:tcPr>
            <w:tcW w:w="3180" w:type="dxa"/>
            <w:vAlign w:val="bottom"/>
          </w:tcPr>
          <w:p>
            <w:pPr>
              <w:spacing w:after="0" w:line="175" w:lineRule="exact"/>
              <w:rPr>
                <w:sz w:val="20"/>
                <w:szCs w:val="20"/>
                <w:color w:val="auto"/>
              </w:rPr>
            </w:pPr>
            <w:r>
              <w:rPr>
                <w:rFonts w:ascii="Arial" w:cs="Arial" w:eastAsia="Arial" w:hAnsi="Arial"/>
                <w:sz w:val="16"/>
                <w:szCs w:val="16"/>
                <w:color w:val="auto"/>
              </w:rPr>
              <w:t>Financial objectives (80% of award)</w:t>
            </w: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9"/>
        </w:trPr>
        <w:tc>
          <w:tcPr>
            <w:tcW w:w="3180" w:type="dxa"/>
            <w:vAlign w:val="bottom"/>
          </w:tcPr>
          <w:p>
            <w:pPr>
              <w:ind w:left="40"/>
              <w:spacing w:after="0"/>
              <w:rPr>
                <w:sz w:val="20"/>
                <w:szCs w:val="20"/>
                <w:color w:val="auto"/>
              </w:rPr>
            </w:pPr>
            <w:r>
              <w:rPr>
                <w:rFonts w:ascii="Arial" w:cs="Arial" w:eastAsia="Arial" w:hAnsi="Arial"/>
                <w:sz w:val="16"/>
                <w:szCs w:val="16"/>
                <w:color w:val="auto"/>
              </w:rPr>
              <w:t>Net sales (millions)</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w w:val="99"/>
              </w:rPr>
              <w:t>18%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$1,311.1</w:t>
            </w:r>
          </w:p>
        </w:tc>
        <w:tc>
          <w:tcPr>
            <w:tcW w:w="1220" w:type="dxa"/>
            <w:vAlign w:val="bottom"/>
          </w:tcPr>
          <w:p>
            <w:pPr>
              <w:jc w:val="center"/>
              <w:ind w:right="59"/>
              <w:spacing w:after="0"/>
              <w:rPr>
                <w:sz w:val="20"/>
                <w:szCs w:val="20"/>
                <w:color w:val="auto"/>
              </w:rPr>
            </w:pPr>
            <w:r>
              <w:rPr>
                <w:rFonts w:ascii="Arial" w:cs="Arial" w:eastAsia="Arial" w:hAnsi="Arial"/>
                <w:sz w:val="16"/>
                <w:szCs w:val="16"/>
                <w:color w:val="auto"/>
                <w:w w:val="99"/>
              </w:rPr>
              <w:t>Not Met</w:t>
            </w:r>
          </w:p>
        </w:tc>
        <w:tc>
          <w:tcPr>
            <w:tcW w:w="880" w:type="dxa"/>
            <w:vAlign w:val="bottom"/>
          </w:tcPr>
          <w:p>
            <w:pPr>
              <w:jc w:val="center"/>
              <w:ind w:left="39"/>
              <w:spacing w:after="0"/>
              <w:rPr>
                <w:sz w:val="20"/>
                <w:szCs w:val="20"/>
                <w:color w:val="auto"/>
              </w:rPr>
            </w:pPr>
            <w:r>
              <w:rPr>
                <w:rFonts w:ascii="Arial" w:cs="Arial" w:eastAsia="Arial" w:hAnsi="Arial"/>
                <w:sz w:val="16"/>
                <w:szCs w:val="16"/>
                <w:color w:val="auto"/>
                <w:w w:val="99"/>
              </w:rPr>
              <w:t>18%</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$1,348.5</w:t>
            </w:r>
          </w:p>
        </w:tc>
        <w:tc>
          <w:tcPr>
            <w:tcW w:w="740" w:type="dxa"/>
            <w:vAlign w:val="bottom"/>
          </w:tcPr>
          <w:p>
            <w:pPr>
              <w:jc w:val="right"/>
              <w:spacing w:after="0"/>
              <w:rPr>
                <w:sz w:val="20"/>
                <w:szCs w:val="20"/>
                <w:color w:val="auto"/>
              </w:rPr>
            </w:pPr>
            <w:r>
              <w:rPr>
                <w:rFonts w:ascii="Arial" w:cs="Arial" w:eastAsia="Arial" w:hAnsi="Arial"/>
                <w:sz w:val="16"/>
                <w:szCs w:val="16"/>
                <w:color w:val="auto"/>
              </w:rPr>
              <w:t>$1,482.1</w:t>
            </w:r>
          </w:p>
        </w:tc>
      </w:tr>
      <w:tr>
        <w:trPr>
          <w:trHeight w:val="163"/>
        </w:trPr>
        <w:tc>
          <w:tcPr>
            <w:tcW w:w="3180" w:type="dxa"/>
            <w:vAlign w:val="bottom"/>
          </w:tcPr>
          <w:p>
            <w:pPr>
              <w:ind w:left="40"/>
              <w:spacing w:after="0" w:line="163" w:lineRule="exact"/>
              <w:rPr>
                <w:sz w:val="20"/>
                <w:szCs w:val="20"/>
                <w:color w:val="auto"/>
              </w:rPr>
            </w:pPr>
            <w:r>
              <w:rPr>
                <w:rFonts w:ascii="Arial" w:cs="Arial" w:eastAsia="Arial" w:hAnsi="Arial"/>
                <w:sz w:val="16"/>
                <w:szCs w:val="16"/>
                <w:color w:val="auto"/>
              </w:rPr>
              <w:t>Non-Gaap diluted earnings per share</w:t>
            </w:r>
          </w:p>
        </w:tc>
        <w:tc>
          <w:tcPr>
            <w:tcW w:w="1000" w:type="dxa"/>
            <w:vAlign w:val="bottom"/>
          </w:tcPr>
          <w:p>
            <w:pPr>
              <w:jc w:val="center"/>
              <w:ind w:left="199"/>
              <w:spacing w:after="0" w:line="163" w:lineRule="exact"/>
              <w:rPr>
                <w:sz w:val="20"/>
                <w:szCs w:val="20"/>
                <w:color w:val="auto"/>
              </w:rPr>
            </w:pPr>
            <w:r>
              <w:rPr>
                <w:rFonts w:ascii="Arial" w:cs="Arial" w:eastAsia="Arial" w:hAnsi="Arial"/>
                <w:sz w:val="16"/>
                <w:szCs w:val="16"/>
                <w:color w:val="auto"/>
                <w:w w:val="99"/>
              </w:rPr>
              <w:t>77%</w:t>
            </w:r>
          </w:p>
        </w:tc>
        <w:tc>
          <w:tcPr>
            <w:tcW w:w="940" w:type="dxa"/>
            <w:vAlign w:val="bottom"/>
          </w:tcPr>
          <w:p>
            <w:pPr>
              <w:jc w:val="right"/>
              <w:ind w:right="39"/>
              <w:spacing w:after="0" w:line="163" w:lineRule="exact"/>
              <w:rPr>
                <w:sz w:val="20"/>
                <w:szCs w:val="20"/>
                <w:color w:val="auto"/>
              </w:rPr>
            </w:pPr>
            <w:r>
              <w:rPr>
                <w:rFonts w:ascii="Arial" w:cs="Arial" w:eastAsia="Arial" w:hAnsi="Arial"/>
                <w:sz w:val="16"/>
                <w:szCs w:val="16"/>
                <w:color w:val="auto"/>
              </w:rPr>
              <w:t>$3.40</w:t>
            </w:r>
          </w:p>
        </w:tc>
        <w:tc>
          <w:tcPr>
            <w:tcW w:w="920" w:type="dxa"/>
            <w:vAlign w:val="bottom"/>
          </w:tcPr>
          <w:p>
            <w:pPr>
              <w:jc w:val="right"/>
              <w:ind w:right="99"/>
              <w:spacing w:after="0" w:line="163" w:lineRule="exact"/>
              <w:rPr>
                <w:sz w:val="20"/>
                <w:szCs w:val="20"/>
                <w:color w:val="auto"/>
              </w:rPr>
            </w:pPr>
            <w:r>
              <w:rPr>
                <w:rFonts w:ascii="Arial" w:cs="Arial" w:eastAsia="Arial" w:hAnsi="Arial"/>
                <w:sz w:val="16"/>
                <w:szCs w:val="16"/>
                <w:color w:val="auto"/>
              </w:rPr>
              <w:t>$1.31</w:t>
            </w:r>
          </w:p>
        </w:tc>
        <w:tc>
          <w:tcPr>
            <w:tcW w:w="1220" w:type="dxa"/>
            <w:vAlign w:val="bottom"/>
          </w:tcPr>
          <w:p>
            <w:pPr>
              <w:jc w:val="center"/>
              <w:ind w:right="59"/>
              <w:spacing w:after="0" w:line="163" w:lineRule="exact"/>
              <w:rPr>
                <w:sz w:val="20"/>
                <w:szCs w:val="20"/>
                <w:color w:val="auto"/>
              </w:rPr>
            </w:pPr>
            <w:r>
              <w:rPr>
                <w:rFonts w:ascii="Arial" w:cs="Arial" w:eastAsia="Arial" w:hAnsi="Arial"/>
                <w:sz w:val="16"/>
                <w:szCs w:val="16"/>
                <w:color w:val="auto"/>
                <w:w w:val="99"/>
              </w:rPr>
              <w:t>Not Met</w:t>
            </w:r>
          </w:p>
        </w:tc>
        <w:tc>
          <w:tcPr>
            <w:tcW w:w="880" w:type="dxa"/>
            <w:vAlign w:val="bottom"/>
          </w:tcPr>
          <w:p>
            <w:pPr>
              <w:jc w:val="center"/>
              <w:ind w:left="39"/>
              <w:spacing w:after="0" w:line="163" w:lineRule="exact"/>
              <w:rPr>
                <w:sz w:val="20"/>
                <w:szCs w:val="20"/>
                <w:color w:val="auto"/>
              </w:rPr>
            </w:pPr>
            <w:r>
              <w:rPr>
                <w:rFonts w:ascii="Arial" w:cs="Arial" w:eastAsia="Arial" w:hAnsi="Arial"/>
                <w:sz w:val="16"/>
                <w:szCs w:val="16"/>
                <w:color w:val="auto"/>
                <w:w w:val="99"/>
              </w:rPr>
              <w:t>77%</w:t>
            </w:r>
          </w:p>
        </w:tc>
        <w:tc>
          <w:tcPr>
            <w:tcW w:w="940" w:type="dxa"/>
            <w:vAlign w:val="bottom"/>
          </w:tcPr>
          <w:p>
            <w:pPr>
              <w:jc w:val="right"/>
              <w:ind w:right="19"/>
              <w:spacing w:after="0" w:line="163" w:lineRule="exact"/>
              <w:rPr>
                <w:sz w:val="20"/>
                <w:szCs w:val="20"/>
                <w:color w:val="auto"/>
              </w:rPr>
            </w:pPr>
            <w:r>
              <w:rPr>
                <w:rFonts w:ascii="Arial" w:cs="Arial" w:eastAsia="Arial" w:hAnsi="Arial"/>
                <w:sz w:val="16"/>
                <w:szCs w:val="16"/>
                <w:color w:val="auto"/>
              </w:rPr>
              <w:t>$1.34</w:t>
            </w:r>
          </w:p>
        </w:tc>
        <w:tc>
          <w:tcPr>
            <w:tcW w:w="740" w:type="dxa"/>
            <w:vAlign w:val="bottom"/>
          </w:tcPr>
          <w:p>
            <w:pPr>
              <w:jc w:val="right"/>
              <w:spacing w:after="0" w:line="163" w:lineRule="exact"/>
              <w:rPr>
                <w:sz w:val="20"/>
                <w:szCs w:val="20"/>
                <w:color w:val="auto"/>
              </w:rPr>
            </w:pPr>
            <w:r>
              <w:rPr>
                <w:rFonts w:ascii="Arial" w:cs="Arial" w:eastAsia="Arial" w:hAnsi="Arial"/>
                <w:sz w:val="16"/>
                <w:szCs w:val="16"/>
                <w:color w:val="auto"/>
              </w:rPr>
              <w:t>$1.22</w:t>
            </w:r>
          </w:p>
        </w:tc>
      </w:tr>
      <w:tr>
        <w:trPr>
          <w:trHeight w:val="290"/>
        </w:trPr>
        <w:tc>
          <w:tcPr>
            <w:tcW w:w="3180" w:type="dxa"/>
            <w:vAlign w:val="bottom"/>
          </w:tcPr>
          <w:p>
            <w:pPr>
              <w:ind w:left="40"/>
              <w:spacing w:after="0"/>
              <w:rPr>
                <w:sz w:val="20"/>
                <w:szCs w:val="20"/>
                <w:color w:val="auto"/>
              </w:rPr>
            </w:pPr>
            <w:r>
              <w:rPr>
                <w:rFonts w:ascii="Arial" w:cs="Arial" w:eastAsia="Arial" w:hAnsi="Arial"/>
                <w:sz w:val="16"/>
                <w:szCs w:val="16"/>
                <w:color w:val="auto"/>
              </w:rPr>
              <w:t xml:space="preserve">CSER </w:t>
            </w:r>
            <w:r>
              <w:rPr>
                <w:rFonts w:ascii="Arial" w:cs="Arial" w:eastAsia="Arial" w:hAnsi="Arial"/>
                <w:sz w:val="21"/>
                <w:szCs w:val="21"/>
                <w:color w:val="auto"/>
                <w:vertAlign w:val="superscript"/>
              </w:rPr>
              <w:t>(1)</w:t>
            </w:r>
          </w:p>
        </w:tc>
        <w:tc>
          <w:tcPr>
            <w:tcW w:w="1000" w:type="dxa"/>
            <w:vAlign w:val="bottom"/>
          </w:tcPr>
          <w:p>
            <w:pPr>
              <w:jc w:val="center"/>
              <w:ind w:left="19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220" w:type="dxa"/>
            <w:vAlign w:val="bottom"/>
          </w:tcPr>
          <w:p>
            <w:pPr>
              <w:jc w:val="center"/>
              <w:ind w:right="59"/>
              <w:spacing w:after="0"/>
              <w:rPr>
                <w:sz w:val="20"/>
                <w:szCs w:val="20"/>
                <w:color w:val="auto"/>
              </w:rPr>
            </w:pPr>
            <w:r>
              <w:rPr>
                <w:rFonts w:ascii="Arial" w:cs="Arial" w:eastAsia="Arial" w:hAnsi="Arial"/>
                <w:sz w:val="16"/>
                <w:szCs w:val="16"/>
                <w:color w:val="auto"/>
              </w:rPr>
              <w:t>Exceeded</w:t>
            </w:r>
          </w:p>
        </w:tc>
        <w:tc>
          <w:tcPr>
            <w:tcW w:w="880" w:type="dxa"/>
            <w:vAlign w:val="bottom"/>
          </w:tcPr>
          <w:p>
            <w:pPr>
              <w:jc w:val="center"/>
              <w:ind w:left="3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Strategic objectives (20%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2025</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Driving additional new products that will increase our net sales and continue to advance the technologies provided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Improving the mix of our product portfolio by increasing the automotive, industrial, and high-end computing business at a faster rate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than Diodes overall.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Driving market share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1431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43125"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i w:val="1"/>
          <w:iCs w:val="1"/>
          <w:color w:val="auto"/>
        </w:rPr>
        <w:t>2024</w:t>
      </w:r>
    </w:p>
    <w:p>
      <w:pPr>
        <w:spacing w:after="0" w:line="19" w:lineRule="exact"/>
        <w:rPr>
          <w:sz w:val="20"/>
          <w:szCs w:val="20"/>
          <w:color w:val="auto"/>
        </w:rPr>
      </w:pPr>
    </w:p>
    <w:p>
      <w:pPr>
        <w:jc w:val="both"/>
        <w:ind w:left="200" w:right="220"/>
        <w:spacing w:after="0" w:line="249" w:lineRule="auto"/>
        <w:rPr>
          <w:sz w:val="20"/>
          <w:szCs w:val="20"/>
          <w:color w:val="auto"/>
        </w:rPr>
      </w:pPr>
      <w:r>
        <w:rPr>
          <w:rFonts w:ascii="Arial" w:cs="Arial" w:eastAsia="Arial" w:hAnsi="Arial"/>
          <w:sz w:val="16"/>
          <w:szCs w:val="16"/>
          <w:color w:val="auto"/>
        </w:rPr>
        <w:t>Meeting and exceeding the 2024 Annual Plan while maintaining momentum during the worldwide economic and supply chain issues towards the Company’s goals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right="440"/>
        <w:spacing w:after="0" w:line="246" w:lineRule="auto"/>
        <w:rPr>
          <w:sz w:val="20"/>
          <w:szCs w:val="20"/>
          <w:color w:val="auto"/>
        </w:rPr>
      </w:pPr>
      <w:r>
        <w:rPr>
          <w:rFonts w:ascii="Arial" w:cs="Arial" w:eastAsia="Arial" w:hAnsi="Arial"/>
          <w:sz w:val="16"/>
          <w:szCs w:val="16"/>
          <w:color w:val="auto"/>
        </w:rPr>
        <w:t>Expanding and improving the Company’s focus on environmental, social, and governance related activities and reporting. Ramping up Diodes product production in the Company’s newer wafer fabrication facility in South Portland, Maine as non-Diodes product production winds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Reducing the Company’s dependence upon its assembly test facilities in China.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60" w:right="220"/>
        <w:spacing w:after="0" w:line="266" w:lineRule="auto"/>
        <w:rPr>
          <w:sz w:val="20"/>
          <w:szCs w:val="20"/>
          <w:color w:val="auto"/>
        </w:rPr>
      </w:pPr>
      <w:r>
        <w:rPr>
          <w:rFonts w:ascii="Arial" w:cs="Arial" w:eastAsia="Arial" w:hAnsi="Arial"/>
          <w:sz w:val="16"/>
          <w:szCs w:val="16"/>
          <w:color w:val="auto"/>
        </w:rPr>
        <w:t>Exceeded Not Met Exceeded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Achieved </w:t>
      </w:r>
      <w:r>
        <w:rPr>
          <w:rFonts w:ascii="Arial" w:cs="Arial" w:eastAsia="Arial" w:hAnsi="Arial"/>
          <w:sz w:val="20"/>
          <w:szCs w:val="20"/>
          <w:color w:val="auto"/>
          <w:vertAlign w:val="superscript"/>
        </w:rPr>
        <w:t>(2)</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Achieved </w:t>
      </w:r>
      <w:r>
        <w:rPr>
          <w:rFonts w:ascii="Arial" w:cs="Arial" w:eastAsia="Arial" w:hAnsi="Arial"/>
          <w:sz w:val="20"/>
          <w:szCs w:val="20"/>
          <w:color w:val="auto"/>
          <w:vertAlign w:val="superscript"/>
        </w:rPr>
        <w:t>(3)</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Achieved </w:t>
      </w:r>
      <w:r>
        <w:rPr>
          <w:rFonts w:ascii="Arial" w:cs="Arial" w:eastAsia="Arial" w:hAnsi="Arial"/>
          <w:sz w:val="20"/>
          <w:szCs w:val="20"/>
          <w:color w:val="auto"/>
          <w:vertAlign w:val="superscript"/>
        </w:rPr>
        <w:t>(4)</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Not met </w:t>
      </w:r>
      <w:r>
        <w:rPr>
          <w:rFonts w:ascii="Arial" w:cs="Arial" w:eastAsia="Arial" w:hAnsi="Arial"/>
          <w:sz w:val="21"/>
          <w:szCs w:val="21"/>
          <w:color w:val="auto"/>
          <w:vertAlign w:val="superscript"/>
        </w:rPr>
        <w:t>(5)</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Achieved </w:t>
      </w:r>
      <w:r>
        <w:rPr>
          <w:rFonts w:ascii="Arial" w:cs="Arial" w:eastAsia="Arial" w:hAnsi="Arial"/>
          <w:sz w:val="20"/>
          <w:szCs w:val="20"/>
          <w:color w:val="auto"/>
          <w:vertAlign w:val="superscript"/>
        </w:rPr>
        <w:t>(6)</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Achieved </w:t>
      </w:r>
      <w:r>
        <w:rPr>
          <w:rFonts w:ascii="Arial" w:cs="Arial" w:eastAsia="Arial" w:hAnsi="Arial"/>
          <w:sz w:val="20"/>
          <w:szCs w:val="20"/>
          <w:color w:val="auto"/>
          <w:vertAlign w:val="superscript"/>
        </w:rPr>
        <w:t>(7)</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Achieved </w:t>
      </w:r>
      <w:r>
        <w:rPr>
          <w:rFonts w:ascii="Arial" w:cs="Arial" w:eastAsia="Arial" w:hAnsi="Arial"/>
          <w:sz w:val="20"/>
          <w:szCs w:val="20"/>
          <w:color w:val="auto"/>
          <w:vertAlign w:val="superscript"/>
        </w:rPr>
        <w:t>(8)</w:t>
      </w:r>
    </w:p>
    <w:p>
      <w:pPr>
        <w:spacing w:after="0" w:line="1" w:lineRule="exact"/>
        <w:rPr>
          <w:sz w:val="20"/>
          <w:szCs w:val="20"/>
          <w:color w:val="auto"/>
        </w:rPr>
      </w:pPr>
    </w:p>
    <w:p>
      <w:pPr>
        <w:sectPr>
          <w:pgSz w:w="11900" w:h="16838" w:orient="portrait"/>
          <w:cols w:equalWidth="0" w:num="2">
            <w:col w:w="9860" w:space="320"/>
            <w:col w:w="1060"/>
          </w:cols>
          <w:pgMar w:left="320" w:top="874" w:right="339" w:bottom="1440" w:gutter="0" w:footer="0" w:header="0"/>
          <w:type w:val="continuous"/>
        </w:sect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 combines the social and environmental scores provided by Institutional Shareholder Services as a CSER measurement. Lower scores are superior.</w:t>
      </w:r>
    </w:p>
    <w:p>
      <w:pPr>
        <w:spacing w:after="0" w:line="5"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 released new products that increased net sales in 2025.</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Revenue for automotive, computing, and industrial, combined, grew faster in 2025 than Diodes revenue.</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 gained market share in 2025 for Analog and Discrete products.</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Company's management did not meet or exceed the 2024 Annual Plan.</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 has expanded its focus on ESG.</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 continues to replace non-Diodes products with Diodes products at SPFAB.</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27"/>
        </w:numPr>
        <w:rPr>
          <w:rFonts w:ascii="Calibri" w:cs="Calibri" w:eastAsia="Calibri" w:hAnsi="Calibri"/>
          <w:sz w:val="14"/>
          <w:szCs w:val="14"/>
          <w:color w:val="auto"/>
        </w:rPr>
      </w:pPr>
      <w:r>
        <w:rPr>
          <w:rFonts w:ascii="Arial" w:cs="Arial" w:eastAsia="Arial" w:hAnsi="Arial"/>
          <w:sz w:val="14"/>
          <w:szCs w:val="14"/>
          <w:color w:val="auto"/>
        </w:rPr>
        <w:t>The Company has reduced and continues to reduce its dependence on it's China assembly and test facilities.</w:t>
      </w:r>
    </w:p>
    <w:p>
      <w:pPr>
        <w:spacing w:after="0" w:line="112"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color w:val="auto"/>
        </w:rPr>
        <w:t>The following payout percentages, as a percent of target opportunity, for 2025 were calculated based upon the weight of each performance objective for 2025 and the results set forth above: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Borders>
              <w:top w:val="single" w:sz="8" w:color="005CA9"/>
            </w:tcBorders>
          </w:tcPr>
          <w:p>
            <w:pPr>
              <w:spacing w:after="0"/>
              <w:rPr>
                <w:sz w:val="20"/>
                <w:szCs w:val="20"/>
                <w:color w:val="auto"/>
              </w:rPr>
            </w:pPr>
            <w:r>
              <w:rPr>
                <w:rFonts w:ascii="Arial" w:cs="Arial" w:eastAsia="Arial" w:hAnsi="Arial"/>
                <w:sz w:val="20"/>
                <w:szCs w:val="20"/>
                <w:b w:val="1"/>
                <w:bCs w:val="1"/>
                <w:color w:val="auto"/>
              </w:rPr>
              <w:t>Performance Objective</w:t>
            </w:r>
          </w:p>
        </w:tc>
        <w:tc>
          <w:tcPr>
            <w:tcW w:w="2720" w:type="dxa"/>
            <w:vAlign w:val="bottom"/>
            <w:tcBorders>
              <w:top w:val="single" w:sz="8" w:color="005CA9"/>
            </w:tcBorders>
          </w:tcPr>
          <w:p>
            <w:pPr>
              <w:ind w:left="660"/>
              <w:spacing w:after="0"/>
              <w:rPr>
                <w:sz w:val="20"/>
                <w:szCs w:val="20"/>
                <w:color w:val="auto"/>
              </w:rPr>
            </w:pPr>
            <w:r>
              <w:rPr>
                <w:rFonts w:ascii="Arial" w:cs="Arial" w:eastAsia="Arial" w:hAnsi="Arial"/>
                <w:sz w:val="20"/>
                <w:szCs w:val="20"/>
                <w:b w:val="1"/>
                <w:bCs w:val="1"/>
                <w:color w:val="auto"/>
              </w:rPr>
              <w:t>% Attained to Target</w:t>
            </w:r>
          </w:p>
        </w:tc>
        <w:tc>
          <w:tcPr>
            <w:tcW w:w="2600" w:type="dxa"/>
            <w:vAlign w:val="bottom"/>
            <w:tcBorders>
              <w:top w:val="single" w:sz="8" w:color="005CA9"/>
            </w:tcBorders>
          </w:tcPr>
          <w:p>
            <w:pPr>
              <w:ind w:left="140"/>
              <w:spacing w:after="0"/>
              <w:rPr>
                <w:sz w:val="20"/>
                <w:szCs w:val="20"/>
                <w:color w:val="auto"/>
              </w:rPr>
            </w:pPr>
            <w:r>
              <w:rPr>
                <w:rFonts w:ascii="Arial" w:cs="Arial" w:eastAsia="Arial" w:hAnsi="Arial"/>
                <w:sz w:val="20"/>
                <w:szCs w:val="20"/>
                <w:b w:val="1"/>
                <w:bCs w:val="1"/>
                <w:color w:val="auto"/>
              </w:rPr>
              <w:t>% Payout to Target</w:t>
            </w:r>
          </w:p>
        </w:tc>
        <w:tc>
          <w:tcPr>
            <w:tcW w:w="2500" w:type="dxa"/>
            <w:vAlign w:val="bottom"/>
            <w:tcBorders>
              <w:top w:val="single" w:sz="8" w:color="005CA9"/>
            </w:tcBorders>
          </w:tcPr>
          <w:p>
            <w:pPr>
              <w:ind w:left="660"/>
              <w:spacing w:after="0"/>
              <w:rPr>
                <w:sz w:val="20"/>
                <w:szCs w:val="20"/>
                <w:color w:val="auto"/>
              </w:rPr>
            </w:pPr>
            <w:r>
              <w:rPr>
                <w:rFonts w:ascii="Arial" w:cs="Arial" w:eastAsia="Arial" w:hAnsi="Arial"/>
                <w:sz w:val="20"/>
                <w:szCs w:val="20"/>
                <w:b w:val="1"/>
                <w:bCs w:val="1"/>
                <w:color w:val="auto"/>
              </w:rPr>
              <w:t>Weight</w:t>
            </w:r>
          </w:p>
        </w:tc>
      </w:tr>
      <w:tr>
        <w:trPr>
          <w:trHeight w:val="68"/>
        </w:trPr>
        <w:tc>
          <w:tcPr>
            <w:tcW w:w="3420" w:type="dxa"/>
            <w:vAlign w:val="bottom"/>
            <w:shd w:val="clear" w:color="auto" w:fill="4F81BD"/>
          </w:tcPr>
          <w:p>
            <w:pPr>
              <w:spacing w:after="0"/>
              <w:rPr>
                <w:sz w:val="5"/>
                <w:szCs w:val="5"/>
                <w:color w:val="auto"/>
              </w:rPr>
            </w:pPr>
          </w:p>
        </w:tc>
        <w:tc>
          <w:tcPr>
            <w:tcW w:w="2720" w:type="dxa"/>
            <w:vAlign w:val="bottom"/>
            <w:shd w:val="clear" w:color="auto" w:fill="4F81BD"/>
          </w:tcPr>
          <w:p>
            <w:pPr>
              <w:spacing w:after="0"/>
              <w:rPr>
                <w:sz w:val="5"/>
                <w:szCs w:val="5"/>
                <w:color w:val="auto"/>
              </w:rPr>
            </w:pPr>
          </w:p>
        </w:tc>
        <w:tc>
          <w:tcPr>
            <w:tcW w:w="2600" w:type="dxa"/>
            <w:vAlign w:val="bottom"/>
            <w:shd w:val="clear" w:color="auto" w:fill="4F81BD"/>
          </w:tcPr>
          <w:p>
            <w:pPr>
              <w:spacing w:after="0"/>
              <w:rPr>
                <w:sz w:val="5"/>
                <w:szCs w:val="5"/>
                <w:color w:val="auto"/>
              </w:rPr>
            </w:pPr>
          </w:p>
        </w:tc>
        <w:tc>
          <w:tcPr>
            <w:tcW w:w="2500" w:type="dxa"/>
            <w:vAlign w:val="bottom"/>
            <w:shd w:val="clear" w:color="auto" w:fill="4F81BD"/>
          </w:tcPr>
          <w:p>
            <w:pPr>
              <w:spacing w:after="0"/>
              <w:rPr>
                <w:sz w:val="5"/>
                <w:szCs w:val="5"/>
                <w:color w:val="auto"/>
              </w:rPr>
            </w:pPr>
          </w:p>
        </w:tc>
      </w:tr>
      <w:tr>
        <w:trPr>
          <w:trHeight w:val="216"/>
        </w:trPr>
        <w:tc>
          <w:tcPr>
            <w:tcW w:w="3420" w:type="dxa"/>
            <w:vAlign w:val="bottom"/>
            <w:shd w:val="clear" w:color="auto" w:fill="CFF0FC"/>
          </w:tcPr>
          <w:p>
            <w:pPr>
              <w:ind w:left="40"/>
              <w:spacing w:after="0" w:line="216" w:lineRule="exact"/>
              <w:rPr>
                <w:sz w:val="20"/>
                <w:szCs w:val="20"/>
                <w:color w:val="auto"/>
              </w:rPr>
            </w:pPr>
            <w:r>
              <w:rPr>
                <w:rFonts w:ascii="Arial" w:cs="Arial" w:eastAsia="Arial" w:hAnsi="Arial"/>
                <w:sz w:val="20"/>
                <w:szCs w:val="20"/>
                <w:color w:val="auto"/>
              </w:rPr>
              <w:t>Financial objective</w:t>
            </w:r>
          </w:p>
        </w:tc>
        <w:tc>
          <w:tcPr>
            <w:tcW w:w="272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2500" w:type="dxa"/>
            <w:vAlign w:val="bottom"/>
            <w:shd w:val="clear" w:color="auto" w:fill="CFF0FC"/>
          </w:tcPr>
          <w:p>
            <w:pPr>
              <w:spacing w:after="0"/>
              <w:rPr>
                <w:sz w:val="18"/>
                <w:szCs w:val="18"/>
                <w:color w:val="auto"/>
              </w:rPr>
            </w:pPr>
          </w:p>
        </w:tc>
      </w:tr>
      <w:tr>
        <w:trPr>
          <w:trHeight w:val="216"/>
        </w:trPr>
        <w:tc>
          <w:tcPr>
            <w:tcW w:w="3420" w:type="dxa"/>
            <w:vAlign w:val="bottom"/>
          </w:tcPr>
          <w:p>
            <w:pPr>
              <w:ind w:left="80"/>
              <w:spacing w:after="0" w:line="216" w:lineRule="exact"/>
              <w:rPr>
                <w:sz w:val="20"/>
                <w:szCs w:val="20"/>
                <w:color w:val="auto"/>
              </w:rPr>
            </w:pPr>
            <w:r>
              <w:rPr>
                <w:rFonts w:ascii="Arial" w:cs="Arial" w:eastAsia="Arial" w:hAnsi="Arial"/>
                <w:sz w:val="20"/>
                <w:szCs w:val="20"/>
                <w:color w:val="auto"/>
              </w:rPr>
              <w:t>Net sales</w:t>
            </w:r>
          </w:p>
        </w:tc>
        <w:tc>
          <w:tcPr>
            <w:tcW w:w="2720" w:type="dxa"/>
            <w:vAlign w:val="bottom"/>
          </w:tcPr>
          <w:p>
            <w:pPr>
              <w:jc w:val="center"/>
              <w:ind w:left="441"/>
              <w:spacing w:after="0" w:line="216" w:lineRule="exact"/>
              <w:rPr>
                <w:sz w:val="20"/>
                <w:szCs w:val="20"/>
                <w:color w:val="auto"/>
              </w:rPr>
            </w:pPr>
            <w:r>
              <w:rPr>
                <w:rFonts w:ascii="Arial" w:cs="Arial" w:eastAsia="Arial" w:hAnsi="Arial"/>
                <w:sz w:val="20"/>
                <w:szCs w:val="20"/>
                <w:color w:val="auto"/>
              </w:rPr>
              <w:t>110</w:t>
            </w:r>
          </w:p>
        </w:tc>
        <w:tc>
          <w:tcPr>
            <w:tcW w:w="2600" w:type="dxa"/>
            <w:vAlign w:val="bottom"/>
          </w:tcPr>
          <w:p>
            <w:pPr>
              <w:jc w:val="center"/>
              <w:ind w:right="421"/>
              <w:spacing w:after="0" w:line="216" w:lineRule="exact"/>
              <w:rPr>
                <w:sz w:val="20"/>
                <w:szCs w:val="20"/>
                <w:color w:val="auto"/>
              </w:rPr>
            </w:pPr>
            <w:r>
              <w:rPr>
                <w:rFonts w:ascii="Arial" w:cs="Arial" w:eastAsia="Arial" w:hAnsi="Arial"/>
                <w:sz w:val="20"/>
                <w:szCs w:val="20"/>
                <w:color w:val="auto"/>
                <w:w w:val="95"/>
              </w:rPr>
              <w:t>150</w:t>
            </w:r>
          </w:p>
        </w:tc>
        <w:tc>
          <w:tcPr>
            <w:tcW w:w="2500" w:type="dxa"/>
            <w:vAlign w:val="bottom"/>
          </w:tcPr>
          <w:p>
            <w:pPr>
              <w:jc w:val="center"/>
              <w:ind w:right="401"/>
              <w:spacing w:after="0" w:line="216" w:lineRule="exact"/>
              <w:rPr>
                <w:sz w:val="20"/>
                <w:szCs w:val="20"/>
                <w:color w:val="auto"/>
              </w:rPr>
            </w:pPr>
            <w:r>
              <w:rPr>
                <w:rFonts w:ascii="Arial" w:cs="Arial" w:eastAsia="Arial" w:hAnsi="Arial"/>
                <w:sz w:val="20"/>
                <w:szCs w:val="20"/>
                <w:color w:val="auto"/>
                <w:w w:val="99"/>
              </w:rPr>
              <w:t>14%</w:t>
            </w:r>
          </w:p>
        </w:tc>
      </w:tr>
      <w:tr>
        <w:trPr>
          <w:trHeight w:val="216"/>
        </w:trPr>
        <w:tc>
          <w:tcPr>
            <w:tcW w:w="3420" w:type="dxa"/>
            <w:vAlign w:val="bottom"/>
            <w:shd w:val="clear" w:color="auto" w:fill="CFF0FC"/>
          </w:tcPr>
          <w:p>
            <w:pPr>
              <w:ind w:left="80"/>
              <w:spacing w:after="0" w:line="216" w:lineRule="exact"/>
              <w:rPr>
                <w:sz w:val="20"/>
                <w:szCs w:val="20"/>
                <w:color w:val="auto"/>
              </w:rPr>
            </w:pPr>
            <w:r>
              <w:rPr>
                <w:rFonts w:ascii="Arial" w:cs="Arial" w:eastAsia="Arial" w:hAnsi="Arial"/>
                <w:sz w:val="20"/>
                <w:szCs w:val="20"/>
                <w:color w:val="auto"/>
              </w:rPr>
              <w:t>Non-GAAP earnings per share</w:t>
            </w:r>
          </w:p>
        </w:tc>
        <w:tc>
          <w:tcPr>
            <w:tcW w:w="2720" w:type="dxa"/>
            <w:vAlign w:val="bottom"/>
            <w:shd w:val="clear" w:color="auto" w:fill="CFF0FC"/>
          </w:tcPr>
          <w:p>
            <w:pPr>
              <w:jc w:val="center"/>
              <w:ind w:left="441"/>
              <w:spacing w:after="0" w:line="216" w:lineRule="exact"/>
              <w:rPr>
                <w:sz w:val="20"/>
                <w:szCs w:val="20"/>
                <w:color w:val="auto"/>
              </w:rPr>
            </w:pPr>
            <w:r>
              <w:rPr>
                <w:rFonts w:ascii="Arial" w:cs="Arial" w:eastAsia="Arial" w:hAnsi="Arial"/>
                <w:sz w:val="20"/>
                <w:szCs w:val="20"/>
                <w:color w:val="auto"/>
                <w:w w:val="98"/>
              </w:rPr>
              <w:t>91</w:t>
            </w:r>
          </w:p>
        </w:tc>
        <w:tc>
          <w:tcPr>
            <w:tcW w:w="2600" w:type="dxa"/>
            <w:vAlign w:val="bottom"/>
            <w:shd w:val="clear" w:color="auto" w:fill="CFF0FC"/>
          </w:tcPr>
          <w:p>
            <w:pPr>
              <w:jc w:val="center"/>
              <w:ind w:right="441"/>
              <w:spacing w:after="0" w:line="216" w:lineRule="exact"/>
              <w:rPr>
                <w:sz w:val="20"/>
                <w:szCs w:val="20"/>
                <w:color w:val="auto"/>
              </w:rPr>
            </w:pPr>
            <w:r>
              <w:rPr>
                <w:rFonts w:ascii="Arial" w:cs="Arial" w:eastAsia="Arial" w:hAnsi="Arial"/>
                <w:sz w:val="20"/>
                <w:szCs w:val="20"/>
                <w:color w:val="auto"/>
                <w:w w:val="98"/>
              </w:rPr>
              <w:t>78</w:t>
            </w:r>
          </w:p>
        </w:tc>
        <w:tc>
          <w:tcPr>
            <w:tcW w:w="2500" w:type="dxa"/>
            <w:vAlign w:val="bottom"/>
            <w:shd w:val="clear" w:color="auto" w:fill="CFF0FC"/>
          </w:tcPr>
          <w:p>
            <w:pPr>
              <w:jc w:val="center"/>
              <w:ind w:right="401"/>
              <w:spacing w:after="0" w:line="216" w:lineRule="exact"/>
              <w:rPr>
                <w:sz w:val="20"/>
                <w:szCs w:val="20"/>
                <w:color w:val="auto"/>
              </w:rPr>
            </w:pPr>
            <w:r>
              <w:rPr>
                <w:rFonts w:ascii="Arial" w:cs="Arial" w:eastAsia="Arial" w:hAnsi="Arial"/>
                <w:sz w:val="20"/>
                <w:szCs w:val="20"/>
                <w:color w:val="auto"/>
                <w:w w:val="99"/>
              </w:rPr>
              <w:t>62%</w:t>
            </w:r>
          </w:p>
        </w:tc>
      </w:tr>
      <w:tr>
        <w:trPr>
          <w:trHeight w:val="216"/>
        </w:trPr>
        <w:tc>
          <w:tcPr>
            <w:tcW w:w="3420" w:type="dxa"/>
            <w:vAlign w:val="bottom"/>
          </w:tcPr>
          <w:p>
            <w:pPr>
              <w:ind w:left="80"/>
              <w:spacing w:after="0" w:line="216" w:lineRule="exact"/>
              <w:rPr>
                <w:sz w:val="20"/>
                <w:szCs w:val="20"/>
                <w:color w:val="auto"/>
              </w:rPr>
            </w:pPr>
            <w:r>
              <w:rPr>
                <w:rFonts w:ascii="Arial" w:cs="Arial" w:eastAsia="Arial" w:hAnsi="Arial"/>
                <w:sz w:val="20"/>
                <w:szCs w:val="20"/>
                <w:color w:val="auto"/>
              </w:rPr>
              <w:t>CSER</w:t>
            </w:r>
          </w:p>
        </w:tc>
        <w:tc>
          <w:tcPr>
            <w:tcW w:w="2720" w:type="dxa"/>
            <w:vAlign w:val="bottom"/>
          </w:tcPr>
          <w:p>
            <w:pPr>
              <w:jc w:val="center"/>
              <w:ind w:left="441"/>
              <w:spacing w:after="0" w:line="216" w:lineRule="exact"/>
              <w:rPr>
                <w:sz w:val="20"/>
                <w:szCs w:val="20"/>
                <w:color w:val="auto"/>
              </w:rPr>
            </w:pPr>
            <w:r>
              <w:rPr>
                <w:rFonts w:ascii="Arial" w:cs="Arial" w:eastAsia="Arial" w:hAnsi="Arial"/>
                <w:sz w:val="20"/>
                <w:szCs w:val="20"/>
                <w:color w:val="auto"/>
              </w:rPr>
              <w:t>120</w:t>
            </w:r>
          </w:p>
        </w:tc>
        <w:tc>
          <w:tcPr>
            <w:tcW w:w="2600" w:type="dxa"/>
            <w:vAlign w:val="bottom"/>
          </w:tcPr>
          <w:p>
            <w:pPr>
              <w:jc w:val="center"/>
              <w:ind w:right="421"/>
              <w:spacing w:after="0" w:line="216" w:lineRule="exact"/>
              <w:rPr>
                <w:sz w:val="20"/>
                <w:szCs w:val="20"/>
                <w:color w:val="auto"/>
              </w:rPr>
            </w:pPr>
            <w:r>
              <w:rPr>
                <w:rFonts w:ascii="Arial" w:cs="Arial" w:eastAsia="Arial" w:hAnsi="Arial"/>
                <w:sz w:val="20"/>
                <w:szCs w:val="20"/>
                <w:color w:val="auto"/>
                <w:w w:val="95"/>
              </w:rPr>
              <w:t>200</w:t>
            </w:r>
          </w:p>
        </w:tc>
        <w:tc>
          <w:tcPr>
            <w:tcW w:w="2500" w:type="dxa"/>
            <w:vAlign w:val="bottom"/>
          </w:tcPr>
          <w:p>
            <w:pPr>
              <w:jc w:val="center"/>
              <w:ind w:right="401"/>
              <w:spacing w:after="0" w:line="216" w:lineRule="exact"/>
              <w:rPr>
                <w:sz w:val="20"/>
                <w:szCs w:val="20"/>
                <w:color w:val="auto"/>
              </w:rPr>
            </w:pPr>
            <w:r>
              <w:rPr>
                <w:rFonts w:ascii="Arial" w:cs="Arial" w:eastAsia="Arial" w:hAnsi="Arial"/>
                <w:sz w:val="20"/>
                <w:szCs w:val="20"/>
                <w:color w:val="auto"/>
                <w:w w:val="96"/>
              </w:rPr>
              <w:t>4%</w:t>
            </w:r>
          </w:p>
        </w:tc>
      </w:tr>
      <w:tr>
        <w:trPr>
          <w:trHeight w:val="216"/>
        </w:trPr>
        <w:tc>
          <w:tcPr>
            <w:tcW w:w="3420" w:type="dxa"/>
            <w:vAlign w:val="bottom"/>
            <w:tcBorders>
              <w:bottom w:val="single" w:sz="8" w:color="005CA9"/>
            </w:tcBorders>
            <w:shd w:val="clear" w:color="auto" w:fill="CFF0FC"/>
          </w:tcPr>
          <w:p>
            <w:pPr>
              <w:ind w:left="40"/>
              <w:spacing w:after="0" w:line="216" w:lineRule="exact"/>
              <w:rPr>
                <w:sz w:val="20"/>
                <w:szCs w:val="20"/>
                <w:color w:val="auto"/>
              </w:rPr>
            </w:pPr>
            <w:r>
              <w:rPr>
                <w:rFonts w:ascii="Arial" w:cs="Arial" w:eastAsia="Arial" w:hAnsi="Arial"/>
                <w:sz w:val="20"/>
                <w:szCs w:val="20"/>
                <w:color w:val="auto"/>
              </w:rPr>
              <w:t>Strategic objectives</w:t>
            </w:r>
          </w:p>
        </w:tc>
        <w:tc>
          <w:tcPr>
            <w:tcW w:w="2720" w:type="dxa"/>
            <w:vAlign w:val="bottom"/>
            <w:tcBorders>
              <w:bottom w:val="single" w:sz="8" w:color="005CA9"/>
            </w:tcBorders>
            <w:shd w:val="clear" w:color="auto" w:fill="CFF0FC"/>
          </w:tcPr>
          <w:p>
            <w:pPr>
              <w:jc w:val="center"/>
              <w:ind w:left="441"/>
              <w:spacing w:after="0" w:line="216" w:lineRule="exact"/>
              <w:rPr>
                <w:sz w:val="20"/>
                <w:szCs w:val="20"/>
                <w:color w:val="auto"/>
              </w:rPr>
            </w:pPr>
            <w:r>
              <w:rPr>
                <w:rFonts w:ascii="Arial" w:cs="Arial" w:eastAsia="Arial" w:hAnsi="Arial"/>
                <w:sz w:val="20"/>
                <w:szCs w:val="20"/>
                <w:color w:val="auto"/>
                <w:w w:val="89"/>
              </w:rPr>
              <w:t>—</w:t>
            </w:r>
          </w:p>
        </w:tc>
        <w:tc>
          <w:tcPr>
            <w:tcW w:w="2600" w:type="dxa"/>
            <w:vAlign w:val="bottom"/>
            <w:tcBorders>
              <w:bottom w:val="single" w:sz="8" w:color="005CA9"/>
            </w:tcBorders>
            <w:shd w:val="clear" w:color="auto" w:fill="CFF0FC"/>
          </w:tcPr>
          <w:p>
            <w:pPr>
              <w:jc w:val="center"/>
              <w:ind w:right="441"/>
              <w:spacing w:after="0" w:line="216" w:lineRule="exact"/>
              <w:rPr>
                <w:sz w:val="20"/>
                <w:szCs w:val="20"/>
                <w:color w:val="auto"/>
              </w:rPr>
            </w:pPr>
            <w:r>
              <w:rPr>
                <w:rFonts w:ascii="Arial" w:cs="Arial" w:eastAsia="Arial" w:hAnsi="Arial"/>
                <w:sz w:val="20"/>
                <w:szCs w:val="20"/>
                <w:color w:val="auto"/>
                <w:w w:val="98"/>
              </w:rPr>
              <w:t>88</w:t>
            </w:r>
          </w:p>
        </w:tc>
        <w:tc>
          <w:tcPr>
            <w:tcW w:w="2500" w:type="dxa"/>
            <w:vAlign w:val="bottom"/>
            <w:tcBorders>
              <w:bottom w:val="single" w:sz="8" w:color="005CA9"/>
            </w:tcBorders>
            <w:shd w:val="clear" w:color="auto" w:fill="CFF0FC"/>
          </w:tcPr>
          <w:p>
            <w:pPr>
              <w:jc w:val="center"/>
              <w:ind w:right="401"/>
              <w:spacing w:after="0" w:line="216" w:lineRule="exact"/>
              <w:rPr>
                <w:sz w:val="20"/>
                <w:szCs w:val="20"/>
                <w:color w:val="auto"/>
              </w:rPr>
            </w:pPr>
            <w:r>
              <w:rPr>
                <w:rFonts w:ascii="Arial" w:cs="Arial" w:eastAsia="Arial" w:hAnsi="Arial"/>
                <w:sz w:val="20"/>
                <w:szCs w:val="20"/>
                <w:color w:val="auto"/>
                <w:w w:val="99"/>
              </w:rPr>
              <w:t>20%</w:t>
            </w:r>
          </w:p>
        </w:tc>
      </w:tr>
    </w:tbl>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fiscal 2024 and 2025, each financial objective (</w:t>
      </w:r>
      <w:r>
        <w:rPr>
          <w:rFonts w:ascii="Arial" w:cs="Arial" w:eastAsia="Arial" w:hAnsi="Arial"/>
          <w:sz w:val="20"/>
          <w:szCs w:val="20"/>
          <w:i w:val="1"/>
          <w:iCs w:val="1"/>
          <w:color w:val="auto"/>
        </w:rPr>
        <w:t>i.e.</w:t>
      </w:r>
      <w:r>
        <w:rPr>
          <w:rFonts w:ascii="Arial" w:cs="Arial" w:eastAsia="Arial" w:hAnsi="Arial"/>
          <w:sz w:val="20"/>
          <w:szCs w:val="20"/>
          <w:color w:val="auto"/>
        </w:rPr>
        <w:t>, net sales, Non-GAAP diluted earnings per share and CSER) was established after consideration by the Compensation Committee to ensure that the performance targets establish challenging goals and thereby align the interests of our executives with the interests of our stockholders.</w:t>
      </w:r>
    </w:p>
    <w:p>
      <w:pPr>
        <w:spacing w:after="0" w:line="6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late 2024, the Compensation Committee reviewed the design of our annual incentive plan for 2025. For 2025, the Compensation Committee set the bonus target for the CEO and President at 85% of annual salary, and the bonus target for all other executives at 70% of salary. No changes were made to the financial objectives, the strategic objectives, or the relative weight of the financial objectives as compared to the strategic objectives. The weighting of the Non-GAAP diluted earnings per share financial metric will continue to be 77% to emphasize profitability, the weighting of net sales will be 18%, and CSER will be 5%. The Compensation Committee feels these measures reflect the Company’s longer-term goal of achieving a 40% gross margin and the increased focus on corporate governance. Due to the sensitivity of earnings per share and net sales forecasts and the correlation of earnings per share to our stock price, the 2026 targets are not being disclosed at this time. However, the targets will be disclosed at the end of the performance period along with the achievement levels against such targets.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2"/>
          <w:szCs w:val="22"/>
          <w:b w:val="1"/>
          <w:bCs w:val="1"/>
          <w:color w:val="005CA9"/>
        </w:rPr>
        <w:t>Long-Term Incentive (LTI) Plan</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Under the Company's 2022 Plan, the Company may grant any type of equity award whose value is derived from the value of the Common Stock of the Company, including, but not limited to, shares of Common Stock, stock options, stock appreciation rights (“SARs”), restricted stock units (“RSUs”), performance stock units (“PSUs”), and restricted stock. Equity awards encourage our NEOs to execute on longer-term financial goals that drive stockholder value creation and support our retention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31115</wp:posOffset>
            </wp:positionV>
            <wp:extent cx="4225925" cy="779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259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February 2025, the Committee granted long-term incentive (“LTI”) awards under the 2022 Plan to certain executive officers. Each LTI award consisted of (1) restricted stock units (“RSUs”) which vest over four years and (2) performance stock units (“PSUs”) which contain a performance-based vesting condition under which the PSUs will vest upon the Company achieving a cumulative 3-year Non-GAAP operating income target for 2025-2027.</w:t>
      </w: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December 2025, the Compensation Committee reviewed the design of our LTI plan. No changes were made to the structure of the plan compared to 2025, except for a change to the 3-year Non-GAAP operating income target for 2026-2028.</w:t>
      </w:r>
    </w:p>
    <w:p>
      <w:pPr>
        <w:spacing w:after="0" w:line="20" w:lineRule="exact"/>
        <w:rPr>
          <w:sz w:val="20"/>
          <w:szCs w:val="20"/>
          <w:color w:val="auto"/>
        </w:rPr>
      </w:pPr>
    </w:p>
    <w:p>
      <w:pPr>
        <w:jc w:val="both"/>
        <w:spacing w:after="0" w:line="230" w:lineRule="exact"/>
        <w:rPr>
          <w:sz w:val="20"/>
          <w:szCs w:val="20"/>
          <w:color w:val="auto"/>
        </w:rPr>
      </w:pPr>
      <w:r>
        <w:rPr>
          <w:rFonts w:ascii="Arial" w:cs="Arial" w:eastAsia="Arial" w:hAnsi="Arial"/>
          <w:sz w:val="20"/>
          <w:szCs w:val="20"/>
          <w:color w:val="auto"/>
        </w:rPr>
        <w:t>For PSU awards granted in fiscal 2023, 2024, and 2025, each year a 3-year cumulative operating income goal is set as a target. It is not adjusted for market changes or company performance throughout the 3-year period. For the 2023</w:t>
      </w:r>
      <w:r>
        <w:rPr>
          <w:rFonts w:ascii="MS PGothic" w:cs="MS PGothic" w:eastAsia="MS PGothic" w:hAnsi="MS PGothic"/>
          <w:sz w:val="20"/>
          <w:szCs w:val="20"/>
          <w:color w:val="auto"/>
        </w:rPr>
        <w:t>‐</w:t>
      </w:r>
      <w:r>
        <w:rPr>
          <w:rFonts w:ascii="Arial" w:cs="Arial" w:eastAsia="Arial" w:hAnsi="Arial"/>
          <w:sz w:val="20"/>
          <w:szCs w:val="20"/>
          <w:color w:val="auto"/>
        </w:rPr>
        <w:t>2025 award cycle, the Compensation Committee chose a GAAP operating income target of $1.2 billion, with actual results being $336.5 million. With this target not being met there was no vesting of the 2023 awards.</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chart illustrates the structure of the plan for 2023, 2024, and 2025. The structure of the LTI awards is the same for the CEO and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26670</wp:posOffset>
            </wp:positionV>
            <wp:extent cx="5923280" cy="2486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2328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LTI Plan Structure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Borders>
              <w:bottom w:val="single" w:sz="8" w:color="005CA9"/>
              <w:right w:val="single" w:sz="8" w:color="005CA9"/>
            </w:tcBorders>
            <w:shd w:val="clear" w:color="auto" w:fill="005CA9"/>
          </w:tcPr>
          <w:p>
            <w:pPr>
              <w:spacing w:after="0"/>
              <w:rPr>
                <w:sz w:val="19"/>
                <w:szCs w:val="19"/>
                <w:color w:val="auto"/>
              </w:rPr>
            </w:pPr>
          </w:p>
        </w:tc>
        <w:tc>
          <w:tcPr>
            <w:tcW w:w="1960" w:type="dxa"/>
            <w:vAlign w:val="bottom"/>
            <w:tcBorders>
              <w:top w:val="single" w:sz="8" w:color="005CA9"/>
              <w:bottom w:val="single" w:sz="8" w:color="005CA9"/>
              <w:right w:val="single" w:sz="8" w:color="005CA9"/>
            </w:tcBorders>
            <w:shd w:val="clear" w:color="auto" w:fill="D9EEFF"/>
          </w:tcPr>
          <w:p>
            <w:pPr>
              <w:jc w:val="center"/>
              <w:spacing w:after="0" w:line="220" w:lineRule="exact"/>
              <w:rPr>
                <w:sz w:val="20"/>
                <w:szCs w:val="20"/>
                <w:color w:val="auto"/>
              </w:rPr>
            </w:pPr>
            <w:r>
              <w:rPr>
                <w:rFonts w:ascii="Arial" w:cs="Arial" w:eastAsia="Arial" w:hAnsi="Arial"/>
                <w:sz w:val="20"/>
                <w:szCs w:val="20"/>
                <w:b w:val="1"/>
                <w:bCs w:val="1"/>
                <w:color w:val="auto"/>
                <w:w w:val="99"/>
              </w:rPr>
              <w:t>Weighting</w:t>
            </w:r>
          </w:p>
        </w:tc>
        <w:tc>
          <w:tcPr>
            <w:tcW w:w="5120" w:type="dxa"/>
            <w:vAlign w:val="bottom"/>
            <w:tcBorders>
              <w:top w:val="single" w:sz="8" w:color="005CA9"/>
              <w:bottom w:val="single" w:sz="8" w:color="005CA9"/>
              <w:right w:val="single" w:sz="8" w:color="005CA9"/>
            </w:tcBorders>
            <w:shd w:val="clear" w:color="auto" w:fill="D9EEFF"/>
          </w:tcPr>
          <w:p>
            <w:pPr>
              <w:ind w:left="1820"/>
              <w:spacing w:after="0" w:line="220" w:lineRule="exact"/>
              <w:rPr>
                <w:sz w:val="20"/>
                <w:szCs w:val="20"/>
                <w:color w:val="auto"/>
              </w:rPr>
            </w:pPr>
            <w:r>
              <w:rPr>
                <w:rFonts w:ascii="Arial" w:cs="Arial" w:eastAsia="Arial" w:hAnsi="Arial"/>
                <w:sz w:val="20"/>
                <w:szCs w:val="20"/>
                <w:b w:val="1"/>
                <w:bCs w:val="1"/>
                <w:color w:val="auto"/>
              </w:rPr>
              <w:t>Equity Vehicles</w:t>
            </w:r>
          </w:p>
        </w:tc>
        <w:tc>
          <w:tcPr>
            <w:tcW w:w="4120" w:type="dxa"/>
            <w:vAlign w:val="bottom"/>
            <w:tcBorders>
              <w:top w:val="single" w:sz="8" w:color="005CA9"/>
              <w:bottom w:val="single" w:sz="8" w:color="005CA9"/>
              <w:right w:val="single" w:sz="8" w:color="005CA9"/>
            </w:tcBorders>
            <w:shd w:val="clear" w:color="auto" w:fill="D9EEFF"/>
          </w:tcPr>
          <w:p>
            <w:pPr>
              <w:jc w:val="center"/>
              <w:spacing w:after="0" w:line="220" w:lineRule="exact"/>
              <w:rPr>
                <w:sz w:val="20"/>
                <w:szCs w:val="20"/>
                <w:color w:val="auto"/>
              </w:rPr>
            </w:pPr>
            <w:r>
              <w:rPr>
                <w:rFonts w:ascii="Arial" w:cs="Arial" w:eastAsia="Arial" w:hAnsi="Arial"/>
                <w:sz w:val="20"/>
                <w:szCs w:val="20"/>
                <w:b w:val="1"/>
                <w:bCs w:val="1"/>
                <w:color w:val="auto"/>
                <w:w w:val="99"/>
              </w:rPr>
              <w:t>Metrics</w:t>
            </w:r>
          </w:p>
        </w:tc>
        <w:tc>
          <w:tcPr>
            <w:tcW w:w="0" w:type="dxa"/>
            <w:vAlign w:val="bottom"/>
          </w:tcPr>
          <w:p>
            <w:pPr>
              <w:spacing w:after="0"/>
              <w:rPr>
                <w:sz w:val="1"/>
                <w:szCs w:val="1"/>
                <w:color w:val="auto"/>
              </w:rPr>
            </w:pPr>
          </w:p>
        </w:tc>
      </w:tr>
      <w:tr>
        <w:trPr>
          <w:trHeight w:val="208"/>
        </w:trPr>
        <w:tc>
          <w:tcPr>
            <w:tcW w:w="40" w:type="dxa"/>
            <w:vAlign w:val="bottom"/>
            <w:tcBorders>
              <w:right w:val="single" w:sz="8" w:color="005CA9"/>
            </w:tcBorders>
            <w:shd w:val="clear" w:color="auto" w:fill="005CA9"/>
          </w:tcPr>
          <w:p>
            <w:pPr>
              <w:spacing w:after="0"/>
              <w:rPr>
                <w:sz w:val="18"/>
                <w:szCs w:val="18"/>
                <w:color w:val="auto"/>
              </w:rPr>
            </w:pPr>
          </w:p>
        </w:tc>
        <w:tc>
          <w:tcPr>
            <w:tcW w:w="1960" w:type="dxa"/>
            <w:vAlign w:val="bottom"/>
            <w:tcBorders>
              <w:right w:val="single" w:sz="8" w:color="005CA9"/>
            </w:tcBorders>
          </w:tcPr>
          <w:p>
            <w:pPr>
              <w:spacing w:after="0"/>
              <w:rPr>
                <w:sz w:val="18"/>
                <w:szCs w:val="18"/>
                <w:color w:val="auto"/>
              </w:rPr>
            </w:pPr>
          </w:p>
        </w:tc>
        <w:tc>
          <w:tcPr>
            <w:tcW w:w="5120" w:type="dxa"/>
            <w:vAlign w:val="bottom"/>
            <w:tcBorders>
              <w:right w:val="single" w:sz="8" w:color="005CA9"/>
            </w:tcBorders>
          </w:tcPr>
          <w:p>
            <w:pPr>
              <w:spacing w:after="0"/>
              <w:rPr>
                <w:sz w:val="18"/>
                <w:szCs w:val="18"/>
                <w:color w:val="auto"/>
              </w:rPr>
            </w:pPr>
          </w:p>
        </w:tc>
        <w:tc>
          <w:tcPr>
            <w:tcW w:w="4120" w:type="dxa"/>
            <w:vAlign w:val="bottom"/>
            <w:tcBorders>
              <w:right w:val="single" w:sz="8" w:color="005CA9"/>
            </w:tcBorders>
          </w:tcPr>
          <w:p>
            <w:pPr>
              <w:jc w:val="center"/>
              <w:spacing w:after="0" w:line="207" w:lineRule="exact"/>
              <w:rPr>
                <w:sz w:val="20"/>
                <w:szCs w:val="20"/>
                <w:color w:val="auto"/>
              </w:rPr>
            </w:pPr>
            <w:r>
              <w:rPr>
                <w:rFonts w:ascii="Arial" w:cs="Arial" w:eastAsia="Arial" w:hAnsi="Arial"/>
                <w:sz w:val="20"/>
                <w:szCs w:val="20"/>
                <w:color w:val="auto"/>
              </w:rPr>
              <w:t>For  the  2023</w:t>
            </w:r>
            <w:r>
              <w:rPr>
                <w:rFonts w:ascii="MS PGothic" w:cs="MS PGothic" w:eastAsia="MS PGothic" w:hAnsi="MS PGothic"/>
                <w:sz w:val="20"/>
                <w:szCs w:val="20"/>
                <w:color w:val="auto"/>
              </w:rPr>
              <w:t>‐</w:t>
            </w:r>
            <w:r>
              <w:rPr>
                <w:rFonts w:ascii="Arial" w:cs="Arial" w:eastAsia="Arial" w:hAnsi="Arial"/>
                <w:sz w:val="20"/>
                <w:szCs w:val="20"/>
                <w:color w:val="auto"/>
              </w:rPr>
              <w:t>2025  award  cycle,  the</w:t>
            </w:r>
          </w:p>
        </w:tc>
        <w:tc>
          <w:tcPr>
            <w:tcW w:w="0" w:type="dxa"/>
            <w:vAlign w:val="bottom"/>
          </w:tcPr>
          <w:p>
            <w:pPr>
              <w:spacing w:after="0"/>
              <w:rPr>
                <w:sz w:val="1"/>
                <w:szCs w:val="1"/>
                <w:color w:val="auto"/>
              </w:rPr>
            </w:pPr>
          </w:p>
        </w:tc>
      </w:tr>
      <w:tr>
        <w:trPr>
          <w:trHeight w:val="292"/>
        </w:trPr>
        <w:tc>
          <w:tcPr>
            <w:tcW w:w="40" w:type="dxa"/>
            <w:vAlign w:val="bottom"/>
            <w:tcBorders>
              <w:right w:val="single" w:sz="8" w:color="005CA9"/>
            </w:tcBorders>
            <w:shd w:val="clear" w:color="auto" w:fill="005CA9"/>
          </w:tcPr>
          <w:p>
            <w:pPr>
              <w:spacing w:after="0"/>
              <w:rPr>
                <w:sz w:val="24"/>
                <w:szCs w:val="24"/>
                <w:color w:val="auto"/>
              </w:rPr>
            </w:pPr>
          </w:p>
        </w:tc>
        <w:tc>
          <w:tcPr>
            <w:tcW w:w="1960" w:type="dxa"/>
            <w:vAlign w:val="bottom"/>
            <w:tcBorders>
              <w:right w:val="single" w:sz="8" w:color="005CA9"/>
            </w:tcBorders>
          </w:tcPr>
          <w:p>
            <w:pPr>
              <w:spacing w:after="0"/>
              <w:rPr>
                <w:sz w:val="24"/>
                <w:szCs w:val="24"/>
                <w:color w:val="auto"/>
              </w:rPr>
            </w:pPr>
          </w:p>
        </w:tc>
        <w:tc>
          <w:tcPr>
            <w:tcW w:w="5120" w:type="dxa"/>
            <w:vAlign w:val="bottom"/>
            <w:tcBorders>
              <w:right w:val="single" w:sz="8" w:color="005CA9"/>
            </w:tcBorders>
          </w:tcPr>
          <w:p>
            <w:pPr>
              <w:ind w:left="60"/>
              <w:spacing w:after="0"/>
              <w:rPr>
                <w:sz w:val="20"/>
                <w:szCs w:val="20"/>
                <w:color w:val="auto"/>
              </w:rPr>
            </w:pPr>
            <w:r>
              <w:rPr>
                <w:rFonts w:ascii="Arial" w:cs="Arial" w:eastAsia="Arial" w:hAnsi="Arial"/>
                <w:sz w:val="20"/>
                <w:szCs w:val="20"/>
                <w:b w:val="1"/>
                <w:bCs w:val="1"/>
                <w:color w:val="auto"/>
              </w:rPr>
              <w:t xml:space="preserve">Performance-Based Stock Units: </w:t>
            </w:r>
            <w:r>
              <w:rPr>
                <w:rFonts w:ascii="Arial" w:cs="Arial" w:eastAsia="Arial" w:hAnsi="Arial"/>
                <w:sz w:val="20"/>
                <w:szCs w:val="20"/>
                <w:color w:val="auto"/>
              </w:rPr>
              <w:t>Vest according to</w:t>
            </w:r>
          </w:p>
        </w:tc>
        <w:tc>
          <w:tcPr>
            <w:tcW w:w="4120" w:type="dxa"/>
            <w:vAlign w:val="bottom"/>
            <w:tcBorders>
              <w:right w:val="single" w:sz="8" w:color="005CA9"/>
            </w:tcBorders>
          </w:tcPr>
          <w:p>
            <w:pPr>
              <w:jc w:val="center"/>
              <w:spacing w:after="0"/>
              <w:rPr>
                <w:sz w:val="20"/>
                <w:szCs w:val="20"/>
                <w:color w:val="auto"/>
              </w:rPr>
            </w:pPr>
            <w:r>
              <w:rPr>
                <w:rFonts w:ascii="Arial" w:cs="Arial" w:eastAsia="Arial" w:hAnsi="Arial"/>
                <w:sz w:val="20"/>
                <w:szCs w:val="20"/>
                <w:color w:val="auto"/>
              </w:rPr>
              <w:t>Compensation  Committee  chose  a  GAAP</w:t>
            </w:r>
          </w:p>
        </w:tc>
        <w:tc>
          <w:tcPr>
            <w:tcW w:w="0" w:type="dxa"/>
            <w:vAlign w:val="bottom"/>
          </w:tcPr>
          <w:p>
            <w:pPr>
              <w:spacing w:after="0"/>
              <w:rPr>
                <w:sz w:val="1"/>
                <w:szCs w:val="1"/>
                <w:color w:val="auto"/>
              </w:rPr>
            </w:pPr>
          </w:p>
        </w:tc>
      </w:tr>
      <w:tr>
        <w:trPr>
          <w:trHeight w:val="140"/>
        </w:trPr>
        <w:tc>
          <w:tcPr>
            <w:tcW w:w="40" w:type="dxa"/>
            <w:vAlign w:val="bottom"/>
            <w:tcBorders>
              <w:right w:val="single" w:sz="8" w:color="005CA9"/>
            </w:tcBorders>
            <w:shd w:val="clear" w:color="auto" w:fill="005CA9"/>
          </w:tcPr>
          <w:p>
            <w:pPr>
              <w:spacing w:after="0"/>
              <w:rPr>
                <w:sz w:val="12"/>
                <w:szCs w:val="12"/>
                <w:color w:val="auto"/>
              </w:rPr>
            </w:pPr>
          </w:p>
        </w:tc>
        <w:tc>
          <w:tcPr>
            <w:tcW w:w="1960" w:type="dxa"/>
            <w:vAlign w:val="bottom"/>
            <w:tcBorders>
              <w:right w:val="single" w:sz="8" w:color="005CA9"/>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5120" w:type="dxa"/>
            <w:vAlign w:val="bottom"/>
            <w:tcBorders>
              <w:right w:val="single" w:sz="8" w:color="005CA9"/>
            </w:tcBorders>
            <w:vMerge w:val="restart"/>
          </w:tcPr>
          <w:p>
            <w:pPr>
              <w:ind w:left="60"/>
              <w:spacing w:after="0" w:line="230" w:lineRule="exact"/>
              <w:rPr>
                <w:sz w:val="20"/>
                <w:szCs w:val="20"/>
                <w:color w:val="auto"/>
              </w:rPr>
            </w:pPr>
            <w:r>
              <w:rPr>
                <w:rFonts w:ascii="Arial" w:cs="Arial" w:eastAsia="Arial" w:hAnsi="Arial"/>
                <w:sz w:val="20"/>
                <w:szCs w:val="20"/>
                <w:color w:val="auto"/>
              </w:rPr>
              <w:t>actual performance compared to pre-established, three</w:t>
            </w:r>
            <w:r>
              <w:rPr>
                <w:rFonts w:ascii="MS PGothic" w:cs="MS PGothic" w:eastAsia="MS PGothic" w:hAnsi="MS PGothic"/>
                <w:sz w:val="20"/>
                <w:szCs w:val="20"/>
                <w:color w:val="auto"/>
              </w:rPr>
              <w:t>‐</w:t>
            </w:r>
          </w:p>
        </w:tc>
        <w:tc>
          <w:tcPr>
            <w:tcW w:w="4120" w:type="dxa"/>
            <w:vAlign w:val="bottom"/>
            <w:tcBorders>
              <w:right w:val="single" w:sz="8" w:color="005CA9"/>
            </w:tcBorders>
          </w:tcPr>
          <w:p>
            <w:pPr>
              <w:jc w:val="center"/>
              <w:spacing w:after="0" w:line="141" w:lineRule="exact"/>
              <w:rPr>
                <w:sz w:val="20"/>
                <w:szCs w:val="20"/>
                <w:color w:val="auto"/>
              </w:rPr>
            </w:pPr>
            <w:r>
              <w:rPr>
                <w:rFonts w:ascii="Arial" w:cs="Arial" w:eastAsia="Arial" w:hAnsi="Arial"/>
                <w:sz w:val="16"/>
                <w:szCs w:val="16"/>
                <w:color w:val="auto"/>
              </w:rPr>
              <w:t>operating income target of $1.2 billion; with</w:t>
            </w:r>
          </w:p>
        </w:tc>
        <w:tc>
          <w:tcPr>
            <w:tcW w:w="0" w:type="dxa"/>
            <w:vAlign w:val="bottom"/>
          </w:tcPr>
          <w:p>
            <w:pPr>
              <w:spacing w:after="0"/>
              <w:rPr>
                <w:sz w:val="1"/>
                <w:szCs w:val="1"/>
                <w:color w:val="auto"/>
              </w:rPr>
            </w:pPr>
          </w:p>
        </w:tc>
      </w:tr>
      <w:tr>
        <w:trPr>
          <w:trHeight w:val="197"/>
        </w:trPr>
        <w:tc>
          <w:tcPr>
            <w:tcW w:w="40" w:type="dxa"/>
            <w:vAlign w:val="bottom"/>
            <w:tcBorders>
              <w:right w:val="single" w:sz="8" w:color="005CA9"/>
            </w:tcBorders>
            <w:shd w:val="clear" w:color="auto" w:fill="005CA9"/>
          </w:tcPr>
          <w:p>
            <w:pPr>
              <w:spacing w:after="0"/>
              <w:rPr>
                <w:sz w:val="17"/>
                <w:szCs w:val="17"/>
                <w:color w:val="auto"/>
              </w:rPr>
            </w:pPr>
          </w:p>
        </w:tc>
        <w:tc>
          <w:tcPr>
            <w:tcW w:w="1960" w:type="dxa"/>
            <w:vAlign w:val="bottom"/>
            <w:tcBorders>
              <w:right w:val="single" w:sz="8" w:color="005CA9"/>
            </w:tcBorders>
            <w:vMerge w:val="continue"/>
          </w:tcPr>
          <w:p>
            <w:pPr>
              <w:spacing w:after="0"/>
              <w:rPr>
                <w:sz w:val="17"/>
                <w:szCs w:val="17"/>
                <w:color w:val="auto"/>
              </w:rPr>
            </w:pPr>
          </w:p>
        </w:tc>
        <w:tc>
          <w:tcPr>
            <w:tcW w:w="5120" w:type="dxa"/>
            <w:vAlign w:val="bottom"/>
            <w:tcBorders>
              <w:right w:val="single" w:sz="8" w:color="005CA9"/>
            </w:tcBorders>
            <w:vMerge w:val="continue"/>
          </w:tcPr>
          <w:p>
            <w:pPr>
              <w:spacing w:after="0"/>
              <w:rPr>
                <w:sz w:val="17"/>
                <w:szCs w:val="17"/>
                <w:color w:val="auto"/>
              </w:rPr>
            </w:pPr>
          </w:p>
        </w:tc>
        <w:tc>
          <w:tcPr>
            <w:tcW w:w="4120" w:type="dxa"/>
            <w:vAlign w:val="bottom"/>
            <w:tcBorders>
              <w:right w:val="single" w:sz="8" w:color="005CA9"/>
            </w:tcBorders>
          </w:tcPr>
          <w:p>
            <w:pPr>
              <w:jc w:val="center"/>
              <w:spacing w:after="0" w:line="197" w:lineRule="exact"/>
              <w:rPr>
                <w:sz w:val="20"/>
                <w:szCs w:val="20"/>
                <w:color w:val="auto"/>
              </w:rPr>
            </w:pPr>
            <w:r>
              <w:rPr>
                <w:rFonts w:ascii="Arial" w:cs="Arial" w:eastAsia="Arial" w:hAnsi="Arial"/>
                <w:sz w:val="20"/>
                <w:szCs w:val="20"/>
                <w:color w:val="auto"/>
              </w:rPr>
              <w:t>actual results being $336.5 million. With this</w:t>
            </w:r>
          </w:p>
        </w:tc>
        <w:tc>
          <w:tcPr>
            <w:tcW w:w="0" w:type="dxa"/>
            <w:vAlign w:val="bottom"/>
          </w:tcPr>
          <w:p>
            <w:pPr>
              <w:spacing w:after="0"/>
              <w:rPr>
                <w:sz w:val="1"/>
                <w:szCs w:val="1"/>
                <w:color w:val="auto"/>
              </w:rPr>
            </w:pPr>
          </w:p>
        </w:tc>
      </w:tr>
      <w:tr>
        <w:trPr>
          <w:trHeight w:val="235"/>
        </w:trPr>
        <w:tc>
          <w:tcPr>
            <w:tcW w:w="40" w:type="dxa"/>
            <w:vAlign w:val="bottom"/>
            <w:tcBorders>
              <w:right w:val="single" w:sz="8" w:color="005CA9"/>
            </w:tcBorders>
            <w:shd w:val="clear" w:color="auto" w:fill="005CA9"/>
          </w:tcPr>
          <w:p>
            <w:pPr>
              <w:spacing w:after="0"/>
              <w:rPr>
                <w:sz w:val="20"/>
                <w:szCs w:val="20"/>
                <w:color w:val="auto"/>
              </w:rPr>
            </w:pPr>
          </w:p>
        </w:tc>
        <w:tc>
          <w:tcPr>
            <w:tcW w:w="1960" w:type="dxa"/>
            <w:vAlign w:val="bottom"/>
            <w:tcBorders>
              <w:right w:val="single" w:sz="8" w:color="005CA9"/>
            </w:tcBorders>
          </w:tcPr>
          <w:p>
            <w:pPr>
              <w:spacing w:after="0"/>
              <w:rPr>
                <w:sz w:val="20"/>
                <w:szCs w:val="20"/>
                <w:color w:val="auto"/>
              </w:rPr>
            </w:pPr>
          </w:p>
        </w:tc>
        <w:tc>
          <w:tcPr>
            <w:tcW w:w="5120" w:type="dxa"/>
            <w:vAlign w:val="bottom"/>
            <w:tcBorders>
              <w:right w:val="single" w:sz="8" w:color="005CA9"/>
            </w:tcBorders>
          </w:tcPr>
          <w:p>
            <w:pPr>
              <w:ind w:left="60"/>
              <w:spacing w:after="0" w:line="216" w:lineRule="exact"/>
              <w:rPr>
                <w:sz w:val="20"/>
                <w:szCs w:val="20"/>
                <w:color w:val="auto"/>
              </w:rPr>
            </w:pPr>
            <w:r>
              <w:rPr>
                <w:rFonts w:ascii="Arial" w:cs="Arial" w:eastAsia="Arial" w:hAnsi="Arial"/>
                <w:sz w:val="20"/>
                <w:szCs w:val="20"/>
                <w:color w:val="auto"/>
              </w:rPr>
              <w:t>year absolute financial performance targets.</w:t>
            </w:r>
          </w:p>
        </w:tc>
        <w:tc>
          <w:tcPr>
            <w:tcW w:w="4120" w:type="dxa"/>
            <w:vAlign w:val="bottom"/>
            <w:tcBorders>
              <w:right w:val="single" w:sz="8" w:color="005CA9"/>
            </w:tcBorders>
          </w:tcPr>
          <w:p>
            <w:pPr>
              <w:jc w:val="center"/>
              <w:spacing w:after="0"/>
              <w:rPr>
                <w:sz w:val="20"/>
                <w:szCs w:val="20"/>
                <w:color w:val="auto"/>
              </w:rPr>
            </w:pPr>
            <w:r>
              <w:rPr>
                <w:rFonts w:ascii="Arial" w:cs="Arial" w:eastAsia="Arial" w:hAnsi="Arial"/>
                <w:sz w:val="20"/>
                <w:szCs w:val="20"/>
                <w:color w:val="auto"/>
                <w:w w:val="99"/>
              </w:rPr>
              <w:t>target was not being met there was no vesting</w:t>
            </w:r>
          </w:p>
        </w:tc>
        <w:tc>
          <w:tcPr>
            <w:tcW w:w="0" w:type="dxa"/>
            <w:vAlign w:val="bottom"/>
          </w:tcPr>
          <w:p>
            <w:pPr>
              <w:spacing w:after="0"/>
              <w:rPr>
                <w:sz w:val="1"/>
                <w:szCs w:val="1"/>
                <w:color w:val="auto"/>
              </w:rPr>
            </w:pPr>
          </w:p>
        </w:tc>
      </w:tr>
      <w:tr>
        <w:trPr>
          <w:trHeight w:val="238"/>
        </w:trPr>
        <w:tc>
          <w:tcPr>
            <w:tcW w:w="40" w:type="dxa"/>
            <w:vAlign w:val="bottom"/>
            <w:tcBorders>
              <w:bottom w:val="single" w:sz="8" w:color="005CA9"/>
              <w:right w:val="single" w:sz="8" w:color="005CA9"/>
            </w:tcBorders>
            <w:shd w:val="clear" w:color="auto" w:fill="005CA9"/>
          </w:tcPr>
          <w:p>
            <w:pPr>
              <w:spacing w:after="0"/>
              <w:rPr>
                <w:sz w:val="20"/>
                <w:szCs w:val="20"/>
                <w:color w:val="auto"/>
              </w:rPr>
            </w:pPr>
          </w:p>
        </w:tc>
        <w:tc>
          <w:tcPr>
            <w:tcW w:w="1960" w:type="dxa"/>
            <w:vAlign w:val="bottom"/>
            <w:tcBorders>
              <w:bottom w:val="single" w:sz="8" w:color="005CA9"/>
              <w:right w:val="single" w:sz="8" w:color="005CA9"/>
            </w:tcBorders>
          </w:tcPr>
          <w:p>
            <w:pPr>
              <w:spacing w:after="0"/>
              <w:rPr>
                <w:sz w:val="20"/>
                <w:szCs w:val="20"/>
                <w:color w:val="auto"/>
              </w:rPr>
            </w:pPr>
          </w:p>
        </w:tc>
        <w:tc>
          <w:tcPr>
            <w:tcW w:w="5120" w:type="dxa"/>
            <w:vAlign w:val="bottom"/>
            <w:tcBorders>
              <w:bottom w:val="single" w:sz="8" w:color="005CA9"/>
              <w:right w:val="single" w:sz="8" w:color="005CA9"/>
            </w:tcBorders>
          </w:tcPr>
          <w:p>
            <w:pPr>
              <w:spacing w:after="0"/>
              <w:rPr>
                <w:sz w:val="20"/>
                <w:szCs w:val="20"/>
                <w:color w:val="auto"/>
              </w:rPr>
            </w:pPr>
          </w:p>
        </w:tc>
        <w:tc>
          <w:tcPr>
            <w:tcW w:w="4120" w:type="dxa"/>
            <w:vAlign w:val="bottom"/>
            <w:tcBorders>
              <w:bottom w:val="single" w:sz="8" w:color="005CA9"/>
              <w:right w:val="single" w:sz="8" w:color="005CA9"/>
            </w:tcBorders>
          </w:tcPr>
          <w:p>
            <w:pPr>
              <w:ind w:left="40"/>
              <w:spacing w:after="0"/>
              <w:rPr>
                <w:sz w:val="20"/>
                <w:szCs w:val="20"/>
                <w:color w:val="auto"/>
              </w:rPr>
            </w:pPr>
            <w:r>
              <w:rPr>
                <w:rFonts w:ascii="Arial" w:cs="Arial" w:eastAsia="Arial" w:hAnsi="Arial"/>
                <w:sz w:val="20"/>
                <w:szCs w:val="20"/>
                <w:color w:val="auto"/>
              </w:rPr>
              <w:t>of the 2023 awards.</w:t>
            </w:r>
          </w:p>
        </w:tc>
        <w:tc>
          <w:tcPr>
            <w:tcW w:w="0" w:type="dxa"/>
            <w:vAlign w:val="bottom"/>
          </w:tcPr>
          <w:p>
            <w:pPr>
              <w:spacing w:after="0"/>
              <w:rPr>
                <w:sz w:val="1"/>
                <w:szCs w:val="1"/>
                <w:color w:val="auto"/>
              </w:rPr>
            </w:pPr>
          </w:p>
        </w:tc>
      </w:tr>
      <w:tr>
        <w:trPr>
          <w:trHeight w:val="183"/>
        </w:trPr>
        <w:tc>
          <w:tcPr>
            <w:tcW w:w="40" w:type="dxa"/>
            <w:vAlign w:val="bottom"/>
            <w:tcBorders>
              <w:right w:val="single" w:sz="8" w:color="005CA9"/>
            </w:tcBorders>
            <w:shd w:val="clear" w:color="auto" w:fill="005CA9"/>
          </w:tcPr>
          <w:p>
            <w:pPr>
              <w:spacing w:after="0"/>
              <w:rPr>
                <w:sz w:val="15"/>
                <w:szCs w:val="15"/>
                <w:color w:val="auto"/>
              </w:rPr>
            </w:pPr>
          </w:p>
        </w:tc>
        <w:tc>
          <w:tcPr>
            <w:tcW w:w="1960" w:type="dxa"/>
            <w:vAlign w:val="bottom"/>
            <w:tcBorders>
              <w:right w:val="single" w:sz="8" w:color="005CA9"/>
            </w:tcBorders>
            <w:shd w:val="clear" w:color="auto" w:fill="D9EEFF"/>
          </w:tcPr>
          <w:p>
            <w:pPr>
              <w:spacing w:after="0"/>
              <w:rPr>
                <w:sz w:val="15"/>
                <w:szCs w:val="15"/>
                <w:color w:val="auto"/>
              </w:rPr>
            </w:pPr>
          </w:p>
        </w:tc>
        <w:tc>
          <w:tcPr>
            <w:tcW w:w="5120" w:type="dxa"/>
            <w:vAlign w:val="bottom"/>
            <w:tcBorders>
              <w:right w:val="single" w:sz="8" w:color="005CA9"/>
            </w:tcBorders>
            <w:shd w:val="clear" w:color="auto" w:fill="D9EEFF"/>
          </w:tcPr>
          <w:p>
            <w:pPr>
              <w:ind w:left="60"/>
              <w:spacing w:after="0" w:line="183" w:lineRule="exact"/>
              <w:rPr>
                <w:sz w:val="20"/>
                <w:szCs w:val="20"/>
                <w:color w:val="auto"/>
              </w:rPr>
            </w:pPr>
            <w:r>
              <w:rPr>
                <w:rFonts w:ascii="Arial" w:cs="Arial" w:eastAsia="Arial" w:hAnsi="Arial"/>
                <w:sz w:val="20"/>
                <w:szCs w:val="20"/>
                <w:b w:val="1"/>
                <w:bCs w:val="1"/>
                <w:color w:val="auto"/>
              </w:rPr>
              <w:t xml:space="preserve">Time-Based Restricted Stock Units: </w:t>
            </w:r>
            <w:r>
              <w:rPr>
                <w:rFonts w:ascii="Arial" w:cs="Arial" w:eastAsia="Arial" w:hAnsi="Arial"/>
                <w:sz w:val="20"/>
                <w:szCs w:val="20"/>
                <w:color w:val="auto"/>
              </w:rPr>
              <w:t>Vest ratably over</w:t>
            </w:r>
          </w:p>
        </w:tc>
        <w:tc>
          <w:tcPr>
            <w:tcW w:w="4120" w:type="dxa"/>
            <w:vAlign w:val="bottom"/>
            <w:tcBorders>
              <w:right w:val="single" w:sz="8" w:color="005CA9"/>
            </w:tcBorders>
            <w:shd w:val="clear" w:color="auto" w:fill="D9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005CA9"/>
            </w:tcBorders>
            <w:shd w:val="clear" w:color="auto" w:fill="005CA9"/>
          </w:tcPr>
          <w:p>
            <w:pPr>
              <w:spacing w:after="0"/>
              <w:rPr>
                <w:sz w:val="21"/>
                <w:szCs w:val="21"/>
                <w:color w:val="auto"/>
              </w:rPr>
            </w:pPr>
          </w:p>
        </w:tc>
        <w:tc>
          <w:tcPr>
            <w:tcW w:w="1960" w:type="dxa"/>
            <w:vAlign w:val="bottom"/>
            <w:tcBorders>
              <w:right w:val="single" w:sz="8" w:color="005CA9"/>
            </w:tcBorders>
            <w:shd w:val="clear" w:color="auto" w:fill="D9EEFF"/>
          </w:tcPr>
          <w:p>
            <w:pPr>
              <w:jc w:val="center"/>
              <w:spacing w:after="0"/>
              <w:rPr>
                <w:sz w:val="20"/>
                <w:szCs w:val="20"/>
                <w:color w:val="auto"/>
              </w:rPr>
            </w:pPr>
            <w:r>
              <w:rPr>
                <w:rFonts w:ascii="Arial" w:cs="Arial" w:eastAsia="Arial" w:hAnsi="Arial"/>
                <w:sz w:val="20"/>
                <w:szCs w:val="20"/>
                <w:color w:val="auto"/>
                <w:w w:val="99"/>
              </w:rPr>
              <w:t>50%</w:t>
            </w:r>
          </w:p>
        </w:tc>
        <w:tc>
          <w:tcPr>
            <w:tcW w:w="5120" w:type="dxa"/>
            <w:vAlign w:val="bottom"/>
            <w:tcBorders>
              <w:right w:val="single" w:sz="8" w:color="005CA9"/>
            </w:tcBorders>
            <w:shd w:val="clear" w:color="auto" w:fill="D9EEFF"/>
          </w:tcPr>
          <w:p>
            <w:pPr>
              <w:ind w:left="60"/>
              <w:spacing w:after="0" w:line="230" w:lineRule="exact"/>
              <w:rPr>
                <w:sz w:val="20"/>
                <w:szCs w:val="20"/>
                <w:color w:val="auto"/>
              </w:rPr>
            </w:pPr>
            <w:r>
              <w:rPr>
                <w:rFonts w:ascii="Arial" w:cs="Arial" w:eastAsia="Arial" w:hAnsi="Arial"/>
                <w:sz w:val="20"/>
                <w:szCs w:val="20"/>
                <w:color w:val="auto"/>
              </w:rPr>
              <w:t>a four</w:t>
            </w:r>
            <w:r>
              <w:rPr>
                <w:rFonts w:ascii="MS PGothic" w:cs="MS PGothic" w:eastAsia="MS PGothic" w:hAnsi="MS PGothic"/>
                <w:sz w:val="20"/>
                <w:szCs w:val="20"/>
                <w:color w:val="auto"/>
              </w:rPr>
              <w:t>‐</w:t>
            </w:r>
            <w:r>
              <w:rPr>
                <w:rFonts w:ascii="Arial" w:cs="Arial" w:eastAsia="Arial" w:hAnsi="Arial"/>
                <w:sz w:val="20"/>
                <w:szCs w:val="20"/>
                <w:color w:val="auto"/>
              </w:rPr>
              <w:t>year period (</w:t>
            </w:r>
            <w:r>
              <w:rPr>
                <w:rFonts w:ascii="Arial" w:cs="Arial" w:eastAsia="Arial" w:hAnsi="Arial"/>
                <w:sz w:val="20"/>
                <w:szCs w:val="20"/>
                <w:i w:val="1"/>
                <w:iCs w:val="1"/>
                <w:color w:val="auto"/>
              </w:rPr>
              <w:t>i.e.</w:t>
            </w:r>
            <w:r>
              <w:rPr>
                <w:rFonts w:ascii="Arial" w:cs="Arial" w:eastAsia="Arial" w:hAnsi="Arial"/>
                <w:sz w:val="20"/>
                <w:szCs w:val="20"/>
                <w:color w:val="auto"/>
              </w:rPr>
              <w:t>, 25% on each anniversary of the</w:t>
            </w:r>
          </w:p>
        </w:tc>
        <w:tc>
          <w:tcPr>
            <w:tcW w:w="4120" w:type="dxa"/>
            <w:vAlign w:val="bottom"/>
            <w:tcBorders>
              <w:right w:val="single" w:sz="8" w:color="005CA9"/>
            </w:tcBorders>
            <w:shd w:val="clear" w:color="auto" w:fill="D9EEFF"/>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8"/>
        </w:trPr>
        <w:tc>
          <w:tcPr>
            <w:tcW w:w="40" w:type="dxa"/>
            <w:vAlign w:val="bottom"/>
            <w:tcBorders>
              <w:bottom w:val="single" w:sz="8" w:color="005CA9"/>
              <w:right w:val="single" w:sz="8" w:color="005CA9"/>
            </w:tcBorders>
            <w:shd w:val="clear" w:color="auto" w:fill="005CA9"/>
          </w:tcPr>
          <w:p>
            <w:pPr>
              <w:spacing w:after="0"/>
              <w:rPr>
                <w:sz w:val="22"/>
                <w:szCs w:val="22"/>
                <w:color w:val="auto"/>
              </w:rPr>
            </w:pPr>
          </w:p>
        </w:tc>
        <w:tc>
          <w:tcPr>
            <w:tcW w:w="1960" w:type="dxa"/>
            <w:vAlign w:val="bottom"/>
            <w:tcBorders>
              <w:bottom w:val="single" w:sz="8" w:color="005CA9"/>
              <w:right w:val="single" w:sz="8" w:color="005CA9"/>
            </w:tcBorders>
            <w:shd w:val="clear" w:color="auto" w:fill="D9EEFF"/>
          </w:tcPr>
          <w:p>
            <w:pPr>
              <w:spacing w:after="0"/>
              <w:rPr>
                <w:sz w:val="22"/>
                <w:szCs w:val="22"/>
                <w:color w:val="auto"/>
              </w:rPr>
            </w:pPr>
          </w:p>
        </w:tc>
        <w:tc>
          <w:tcPr>
            <w:tcW w:w="5120" w:type="dxa"/>
            <w:vAlign w:val="bottom"/>
            <w:tcBorders>
              <w:bottom w:val="single" w:sz="8" w:color="005CA9"/>
              <w:right w:val="single" w:sz="8" w:color="005CA9"/>
            </w:tcBorders>
            <w:shd w:val="clear" w:color="auto" w:fill="D9EEFF"/>
          </w:tcPr>
          <w:p>
            <w:pPr>
              <w:ind w:left="60"/>
              <w:spacing w:after="0"/>
              <w:rPr>
                <w:sz w:val="20"/>
                <w:szCs w:val="20"/>
                <w:color w:val="auto"/>
              </w:rPr>
            </w:pPr>
            <w:r>
              <w:rPr>
                <w:rFonts w:ascii="Arial" w:cs="Arial" w:eastAsia="Arial" w:hAnsi="Arial"/>
                <w:sz w:val="20"/>
                <w:szCs w:val="20"/>
                <w:color w:val="auto"/>
              </w:rPr>
              <w:t>award).</w:t>
            </w:r>
          </w:p>
        </w:tc>
        <w:tc>
          <w:tcPr>
            <w:tcW w:w="4120" w:type="dxa"/>
            <w:vAlign w:val="bottom"/>
            <w:tcBorders>
              <w:bottom w:val="single" w:sz="8" w:color="005CA9"/>
              <w:right w:val="single" w:sz="8" w:color="005CA9"/>
            </w:tcBorders>
            <w:shd w:val="clear" w:color="auto" w:fill="D9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316865</wp:posOffset>
            </wp:positionV>
            <wp:extent cx="6172200" cy="18948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actual amount of performance-based awards that are earned and vest will be driven by the achievement of the performance metrics at the end of the three-year performance period relative to our three-year absolute performance goals: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FFFFFF"/>
        </w:rPr>
        <w:t>Annual Incentives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-139065</wp:posOffset>
            </wp:positionV>
            <wp:extent cx="4989195"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89195" cy="3003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FFFFFF"/>
        </w:rPr>
        <w:t>Financial and Strategic Performance &amp; Payout Ranges</w:t>
      </w:r>
    </w:p>
    <w:p>
      <w:pPr>
        <w:spacing w:after="0" w:line="3" w:lineRule="exact"/>
        <w:rPr>
          <w:sz w:val="20"/>
          <w:szCs w:val="20"/>
          <w:color w:val="auto"/>
        </w:rPr>
      </w:pPr>
    </w:p>
    <w:tbl>
      <w:tblPr>
        <w:tblLayout w:type="fixed"/>
        <w:tblInd w:w="1710" w:type="dxa"/>
        <w:tblCellMar>
          <w:top w:w="0" w:type="dxa"/>
          <w:left w:w="0" w:type="dxa"/>
          <w:bottom w:w="0" w:type="dxa"/>
          <w:right w:w="0" w:type="dxa"/>
        </w:tblCellMar>
      </w:tblPr>
      <w:tr>
        <w:trPr>
          <w:trHeight w:val="237"/>
        </w:trPr>
        <w:tc>
          <w:tcPr>
            <w:tcW w:w="5120" w:type="dxa"/>
            <w:vAlign w:val="bottom"/>
            <w:tcBorders>
              <w:left w:val="single" w:sz="8" w:color="005CA9"/>
              <w:bottom w:val="single" w:sz="8" w:color="005CA9"/>
              <w:right w:val="single" w:sz="8" w:color="005CA9"/>
            </w:tcBorders>
            <w:shd w:val="clear" w:color="auto" w:fill="D9EEFF"/>
          </w:tcPr>
          <w:p>
            <w:pPr>
              <w:ind w:left="60"/>
              <w:spacing w:after="0"/>
              <w:rPr>
                <w:sz w:val="20"/>
                <w:szCs w:val="20"/>
                <w:color w:val="auto"/>
              </w:rPr>
            </w:pPr>
            <w:r>
              <w:rPr>
                <w:rFonts w:ascii="Arial" w:cs="Arial" w:eastAsia="Arial" w:hAnsi="Arial"/>
                <w:sz w:val="20"/>
                <w:szCs w:val="20"/>
                <w:b w:val="1"/>
                <w:bCs w:val="1"/>
                <w:color w:val="auto"/>
              </w:rPr>
              <w:t>Performance Level</w:t>
            </w:r>
          </w:p>
        </w:tc>
        <w:tc>
          <w:tcPr>
            <w:tcW w:w="2740" w:type="dxa"/>
            <w:vAlign w:val="bottom"/>
            <w:tcBorders>
              <w:bottom w:val="single" w:sz="8" w:color="005CA9"/>
              <w:right w:val="single" w:sz="8" w:color="005CA9"/>
            </w:tcBorders>
            <w:shd w:val="clear" w:color="auto" w:fill="D9EEFF"/>
          </w:tcPr>
          <w:p>
            <w:pPr>
              <w:ind w:left="20"/>
              <w:spacing w:after="0"/>
              <w:rPr>
                <w:sz w:val="20"/>
                <w:szCs w:val="20"/>
                <w:color w:val="auto"/>
              </w:rPr>
            </w:pPr>
            <w:r>
              <w:rPr>
                <w:rFonts w:ascii="Arial" w:cs="Arial" w:eastAsia="Arial" w:hAnsi="Arial"/>
                <w:sz w:val="20"/>
                <w:szCs w:val="20"/>
                <w:b w:val="1"/>
                <w:bCs w:val="1"/>
                <w:color w:val="auto"/>
              </w:rPr>
              <w:t>Range of Payout*</w:t>
            </w:r>
          </w:p>
        </w:tc>
      </w:tr>
      <w:tr>
        <w:trPr>
          <w:trHeight w:val="223"/>
        </w:trPr>
        <w:tc>
          <w:tcPr>
            <w:tcW w:w="5120" w:type="dxa"/>
            <w:vAlign w:val="bottom"/>
            <w:tcBorders>
              <w:left w:val="single" w:sz="8" w:color="005CA9"/>
              <w:bottom w:val="single" w:sz="8" w:color="005CA9"/>
              <w:right w:val="single" w:sz="8" w:color="005CA9"/>
            </w:tcBorders>
          </w:tcPr>
          <w:p>
            <w:pPr>
              <w:ind w:left="60"/>
              <w:spacing w:after="0" w:line="216" w:lineRule="exact"/>
              <w:rPr>
                <w:sz w:val="20"/>
                <w:szCs w:val="20"/>
                <w:color w:val="auto"/>
              </w:rPr>
            </w:pPr>
            <w:r>
              <w:rPr>
                <w:rFonts w:ascii="Arial" w:cs="Arial" w:eastAsia="Arial" w:hAnsi="Arial"/>
                <w:sz w:val="20"/>
                <w:szCs w:val="20"/>
                <w:color w:val="auto"/>
              </w:rPr>
              <w:t>Below 80% of Target</w:t>
            </w:r>
          </w:p>
        </w:tc>
        <w:tc>
          <w:tcPr>
            <w:tcW w:w="2740" w:type="dxa"/>
            <w:vAlign w:val="bottom"/>
            <w:tcBorders>
              <w:bottom w:val="single" w:sz="8" w:color="005CA9"/>
              <w:right w:val="single" w:sz="8" w:color="005CA9"/>
            </w:tcBorders>
          </w:tcPr>
          <w:p>
            <w:pPr>
              <w:ind w:left="20"/>
              <w:spacing w:after="0" w:line="216" w:lineRule="exact"/>
              <w:rPr>
                <w:sz w:val="20"/>
                <w:szCs w:val="20"/>
                <w:color w:val="auto"/>
              </w:rPr>
            </w:pPr>
            <w:r>
              <w:rPr>
                <w:rFonts w:ascii="Arial" w:cs="Arial" w:eastAsia="Arial" w:hAnsi="Arial"/>
                <w:sz w:val="20"/>
                <w:szCs w:val="20"/>
                <w:color w:val="auto"/>
              </w:rPr>
              <w:t>0% payout</w:t>
            </w:r>
          </w:p>
        </w:tc>
      </w:tr>
      <w:tr>
        <w:trPr>
          <w:trHeight w:val="223"/>
        </w:trPr>
        <w:tc>
          <w:tcPr>
            <w:tcW w:w="5120" w:type="dxa"/>
            <w:vAlign w:val="bottom"/>
            <w:tcBorders>
              <w:left w:val="single" w:sz="8" w:color="005CA9"/>
              <w:bottom w:val="single" w:sz="8" w:color="005CA9"/>
              <w:right w:val="single" w:sz="8" w:color="005CA9"/>
            </w:tcBorders>
            <w:shd w:val="clear" w:color="auto" w:fill="D9EEFF"/>
          </w:tcPr>
          <w:p>
            <w:pPr>
              <w:ind w:left="60"/>
              <w:spacing w:after="0" w:line="216" w:lineRule="exact"/>
              <w:rPr>
                <w:sz w:val="20"/>
                <w:szCs w:val="20"/>
                <w:color w:val="auto"/>
              </w:rPr>
            </w:pPr>
            <w:r>
              <w:rPr>
                <w:rFonts w:ascii="Arial" w:cs="Arial" w:eastAsia="Arial" w:hAnsi="Arial"/>
                <w:sz w:val="20"/>
                <w:szCs w:val="20"/>
                <w:color w:val="auto"/>
              </w:rPr>
              <w:t>From 80% to 100% of Target</w:t>
            </w:r>
          </w:p>
        </w:tc>
        <w:tc>
          <w:tcPr>
            <w:tcW w:w="2740" w:type="dxa"/>
            <w:vAlign w:val="bottom"/>
            <w:tcBorders>
              <w:bottom w:val="single" w:sz="8" w:color="005CA9"/>
              <w:right w:val="single" w:sz="8" w:color="005CA9"/>
            </w:tcBorders>
            <w:shd w:val="clear" w:color="auto" w:fill="D9EEFF"/>
          </w:tcPr>
          <w:p>
            <w:pPr>
              <w:ind w:left="20"/>
              <w:spacing w:after="0" w:line="216" w:lineRule="exact"/>
              <w:rPr>
                <w:sz w:val="20"/>
                <w:szCs w:val="20"/>
                <w:color w:val="auto"/>
              </w:rPr>
            </w:pPr>
            <w:r>
              <w:rPr>
                <w:rFonts w:ascii="Arial" w:cs="Arial" w:eastAsia="Arial" w:hAnsi="Arial"/>
                <w:sz w:val="20"/>
                <w:szCs w:val="20"/>
                <w:color w:val="auto"/>
              </w:rPr>
              <w:t>50% to 100% payout</w:t>
            </w:r>
          </w:p>
        </w:tc>
      </w:tr>
      <w:tr>
        <w:trPr>
          <w:trHeight w:val="223"/>
        </w:trPr>
        <w:tc>
          <w:tcPr>
            <w:tcW w:w="5120" w:type="dxa"/>
            <w:vAlign w:val="bottom"/>
            <w:tcBorders>
              <w:left w:val="single" w:sz="8" w:color="005CA9"/>
              <w:bottom w:val="single" w:sz="8" w:color="005CA9"/>
              <w:right w:val="single" w:sz="8" w:color="005CA9"/>
            </w:tcBorders>
          </w:tcPr>
          <w:p>
            <w:pPr>
              <w:ind w:left="60"/>
              <w:spacing w:after="0" w:line="216" w:lineRule="exact"/>
              <w:rPr>
                <w:sz w:val="20"/>
                <w:szCs w:val="20"/>
                <w:color w:val="auto"/>
              </w:rPr>
            </w:pPr>
            <w:r>
              <w:rPr>
                <w:rFonts w:ascii="Arial" w:cs="Arial" w:eastAsia="Arial" w:hAnsi="Arial"/>
                <w:sz w:val="20"/>
                <w:szCs w:val="20"/>
                <w:color w:val="auto"/>
              </w:rPr>
              <w:t>From 100% to 120% of Target</w:t>
            </w:r>
          </w:p>
        </w:tc>
        <w:tc>
          <w:tcPr>
            <w:tcW w:w="2740" w:type="dxa"/>
            <w:vAlign w:val="bottom"/>
            <w:tcBorders>
              <w:bottom w:val="single" w:sz="8" w:color="005CA9"/>
              <w:right w:val="single" w:sz="8" w:color="005CA9"/>
            </w:tcBorders>
          </w:tcPr>
          <w:p>
            <w:pPr>
              <w:ind w:left="20"/>
              <w:spacing w:after="0" w:line="216" w:lineRule="exact"/>
              <w:rPr>
                <w:sz w:val="20"/>
                <w:szCs w:val="20"/>
                <w:color w:val="auto"/>
              </w:rPr>
            </w:pPr>
            <w:r>
              <w:rPr>
                <w:rFonts w:ascii="Arial" w:cs="Arial" w:eastAsia="Arial" w:hAnsi="Arial"/>
                <w:sz w:val="20"/>
                <w:szCs w:val="20"/>
                <w:color w:val="auto"/>
              </w:rPr>
              <w:t>100% to 200% payout</w:t>
            </w:r>
          </w:p>
        </w:tc>
      </w:tr>
      <w:tr>
        <w:trPr>
          <w:trHeight w:val="237"/>
        </w:trPr>
        <w:tc>
          <w:tcPr>
            <w:tcW w:w="5120" w:type="dxa"/>
            <w:vAlign w:val="bottom"/>
            <w:tcBorders>
              <w:left w:val="single" w:sz="8" w:color="005CA9"/>
              <w:bottom w:val="single" w:sz="8" w:color="005CA9"/>
              <w:right w:val="single" w:sz="8" w:color="005CA9"/>
            </w:tcBorders>
            <w:shd w:val="clear" w:color="auto" w:fill="D9EEFF"/>
          </w:tcPr>
          <w:p>
            <w:pPr>
              <w:ind w:left="60"/>
              <w:spacing w:after="0"/>
              <w:rPr>
                <w:sz w:val="20"/>
                <w:szCs w:val="20"/>
                <w:color w:val="auto"/>
              </w:rPr>
            </w:pPr>
            <w:r>
              <w:rPr>
                <w:rFonts w:ascii="Arial" w:cs="Arial" w:eastAsia="Arial" w:hAnsi="Arial"/>
                <w:sz w:val="20"/>
                <w:szCs w:val="20"/>
                <w:color w:val="auto"/>
              </w:rPr>
              <w:t>Above 120% of Target</w:t>
            </w:r>
          </w:p>
        </w:tc>
        <w:tc>
          <w:tcPr>
            <w:tcW w:w="2740" w:type="dxa"/>
            <w:vAlign w:val="bottom"/>
            <w:tcBorders>
              <w:bottom w:val="single" w:sz="8" w:color="005CA9"/>
              <w:right w:val="single" w:sz="8" w:color="005CA9"/>
            </w:tcBorders>
            <w:shd w:val="clear" w:color="auto" w:fill="D9EEFF"/>
          </w:tcPr>
          <w:p>
            <w:pPr>
              <w:ind w:left="20"/>
              <w:spacing w:after="0"/>
              <w:rPr>
                <w:sz w:val="20"/>
                <w:szCs w:val="20"/>
                <w:color w:val="auto"/>
              </w:rPr>
            </w:pPr>
            <w:r>
              <w:rPr>
                <w:rFonts w:ascii="Arial" w:cs="Arial" w:eastAsia="Arial" w:hAnsi="Arial"/>
                <w:sz w:val="20"/>
                <w:szCs w:val="20"/>
                <w:color w:val="auto"/>
              </w:rPr>
              <w:t>200% payout (capped)</w:t>
            </w:r>
          </w:p>
        </w:tc>
      </w:tr>
    </w:tbl>
    <w:p>
      <w:pPr>
        <w:jc w:val="right"/>
        <w:ind w:right="3020"/>
        <w:spacing w:after="0"/>
        <w:rPr>
          <w:sz w:val="20"/>
          <w:szCs w:val="20"/>
          <w:color w:val="auto"/>
        </w:rPr>
      </w:pPr>
      <w:r>
        <w:rPr>
          <w:rFonts w:ascii="Arial" w:cs="Arial" w:eastAsia="Arial" w:hAnsi="Arial"/>
          <w:sz w:val="16"/>
          <w:szCs w:val="16"/>
          <w:color w:val="auto"/>
        </w:rPr>
        <w:t>*Performance between 80% and 100% of Target and between 100% and</w:t>
      </w:r>
    </w:p>
    <w:p>
      <w:pPr>
        <w:spacing w:after="0" w:line="7" w:lineRule="exact"/>
        <w:rPr>
          <w:sz w:val="20"/>
          <w:szCs w:val="20"/>
          <w:color w:val="auto"/>
        </w:rPr>
      </w:pPr>
    </w:p>
    <w:p>
      <w:pPr>
        <w:jc w:val="right"/>
        <w:ind w:right="3060"/>
        <w:spacing w:after="0"/>
        <w:rPr>
          <w:sz w:val="20"/>
          <w:szCs w:val="20"/>
          <w:color w:val="auto"/>
        </w:rPr>
      </w:pPr>
      <w:r>
        <w:rPr>
          <w:rFonts w:ascii="Arial" w:cs="Arial" w:eastAsia="Arial" w:hAnsi="Arial"/>
          <w:sz w:val="16"/>
          <w:szCs w:val="16"/>
          <w:color w:val="auto"/>
        </w:rPr>
        <w:t>120% of Target is interpolated between the end points identified above.</w:t>
      </w:r>
    </w:p>
    <w:p>
      <w:pPr>
        <w:spacing w:after="0" w:line="27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Compensation Committee believes that both performance-based and time-based awards are appropriate equity vehicles for a portion of long-term incentive compensation for the Company’s executive officers because both such awards align executive officers’ interests with the interests of stockholders by focusing executive officers on long-term Company performance. The value of these awards increases if the Company’s stock price increases, and the value of these awards decreases if the stock price declines. Time-based awards also serve to retain executive officers because they provide executive officers some economic value (if time-based vesting requirements are met) regardless of stock price changes. Performance-based awards encourage NEOs to achieve the specific pre-determined performance objectives selected by the Compensation Committee.</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39" w:name="page40"/>
    <w:bookmarkEnd w:id="39"/>
    <w:p>
      <w:pPr>
        <w:jc w:val="both"/>
        <w:ind w:right="20"/>
        <w:spacing w:after="0" w:line="241" w:lineRule="auto"/>
        <w:rPr>
          <w:sz w:val="20"/>
          <w:szCs w:val="20"/>
          <w:color w:val="auto"/>
        </w:rPr>
      </w:pPr>
      <w:r>
        <w:rPr>
          <w:rFonts w:ascii="Arial" w:cs="Arial" w:eastAsia="Arial" w:hAnsi="Arial"/>
          <w:sz w:val="20"/>
          <w:szCs w:val="20"/>
          <w:color w:val="auto"/>
        </w:rPr>
        <w:t>The Compensation Committee’s policy is to grant equity awards annually in recognition of each executive officer's current and potential contributions to the Company. To encourage retention, stock option and restricted stock awards are subject to a four-year time-based vesting requirement in addition to any performance-based vesting requirement.</w:t>
      </w:r>
    </w:p>
    <w:p>
      <w:pPr>
        <w:spacing w:after="0" w:line="6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determining equity awards in 2023, 2024, and 2025, the Compensation Committee first reviewed the NEOs’ equity awards in light of the executive compensation philosophy that the total compensation (</w:t>
      </w:r>
      <w:r>
        <w:rPr>
          <w:rFonts w:ascii="Arial" w:cs="Arial" w:eastAsia="Arial" w:hAnsi="Arial"/>
          <w:sz w:val="20"/>
          <w:szCs w:val="20"/>
          <w:i w:val="1"/>
          <w:iCs w:val="1"/>
          <w:color w:val="auto"/>
        </w:rPr>
        <w:t>i.e.</w:t>
      </w:r>
      <w:r>
        <w:rPr>
          <w:rFonts w:ascii="Arial" w:cs="Arial" w:eastAsia="Arial" w:hAnsi="Arial"/>
          <w:sz w:val="20"/>
          <w:szCs w:val="20"/>
          <w:color w:val="auto"/>
        </w:rPr>
        <w:t>, the aggregate of all cash and equity awards) of the NEOs and all other executive officers should be competitive with the total compensation paid to executive officers with comparable duties paid by similarly sized companies in the semiconductor industry. The number of RSU and PSU awards is adjusted to reflect the Company’s stock price at the time the award is granted. The Compensation Committee noted that in 2025, management focused on:</w:t>
      </w:r>
    </w:p>
    <w:p>
      <w:pPr>
        <w:spacing w:after="0" w:line="64" w:lineRule="exact"/>
        <w:rPr>
          <w:sz w:val="20"/>
          <w:szCs w:val="20"/>
          <w:color w:val="auto"/>
        </w:rPr>
      </w:pPr>
    </w:p>
    <w:p>
      <w:pPr>
        <w:ind w:left="1020" w:right="20" w:hanging="503"/>
        <w:spacing w:after="0" w:line="256" w:lineRule="auto"/>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Driving new products that will increase the Company's revenue and continue to advance the technologies the Company provides its customers;</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Improving the product mix of the Company's product portfolio through increases in the automotive, industrial, and high-end computing businesses at a higher growth rate than Diodes overall; and</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28"/>
        </w:numPr>
        <w:rPr>
          <w:rFonts w:ascii="Times New Roman" w:cs="Times New Roman" w:eastAsia="Times New Roman" w:hAnsi="Times New Roman"/>
          <w:sz w:val="20"/>
          <w:szCs w:val="20"/>
          <w:color w:val="auto"/>
        </w:rPr>
      </w:pPr>
      <w:r>
        <w:rPr>
          <w:rFonts w:ascii="Arial" w:cs="Arial" w:eastAsia="Arial" w:hAnsi="Arial"/>
          <w:sz w:val="20"/>
          <w:szCs w:val="20"/>
          <w:color w:val="auto"/>
        </w:rPr>
        <w:t>Driving market share gains, qualifying technologies, and products internally that allow the Company to increase internal factory loadings.</w:t>
      </w:r>
    </w:p>
    <w:p>
      <w:pPr>
        <w:spacing w:after="0" w:line="4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Compensation Committee then reviewed each NEO’s personal performance and contribution to the Company. When doing its review, the Compensation Committee believes that target compensation should be competitive with that being offered to individuals with comparable roles in semiconductor companies with which we compete for talent. This is done to ensure we employ the best people to lead to our success. The Compensation Committee reviews the allocation between cash and non-cash components of the NEO’s compensation, and the size, term and value of the awards made in prior years. The Compensation Committee believes that each NEO made meaningful contributions in each area of his or her responsibilities to the growth and profitability of the Company. The Compensation Committee believes that it has appropriately valued the cash awards and equity awards granted in 2023, 2024, and 2025 consistent with the Company’s compensation objectives and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COMPENSATION REVIEW PROCESS</w:t>
      </w:r>
    </w:p>
    <w:p>
      <w:pPr>
        <w:spacing w:after="0" w:line="6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Board of Directors has delegated to the Compensation Committee the authority to approve all compensation and awards to NEOs. When making individual compensation decisions for NEOs, the Compensation Committee takes many factors into account, including the performance of the Company as a whole, the current market conditions, the executive officer’s experience, responsibilities, management abilities and job performance, and pay levels for similar positions at comparable companies. The Compensation Committee does not assign any particular formula or weight to the foregoing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Compensation Committee has ultimate authority, including delegated authority over all aspects of NEO compensation, including the base salary for each NEO and the overall compensation of the Chief Executive Officer.</w:t>
      </w:r>
    </w:p>
    <w:p>
      <w:pPr>
        <w:spacing w:after="0" w:line="4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The Role of the Compensation Committee </w:t>
      </w:r>
      <w:r>
        <w:rPr>
          <w:rFonts w:ascii="Arial" w:cs="Arial" w:eastAsia="Arial" w:hAnsi="Arial"/>
          <w:sz w:val="20"/>
          <w:szCs w:val="20"/>
          <w:color w:val="auto"/>
        </w:rPr>
        <w:t>The Compensation Committee determines the compensation for the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including the NEOs. The Compensation Committee meets in an executive session at the beginning of each fiscal year to:</w:t>
      </w:r>
    </w:p>
    <w:p>
      <w:pPr>
        <w:spacing w:after="0" w:line="62"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20"/>
          <w:szCs w:val="20"/>
          <w:color w:val="auto"/>
        </w:rPr>
      </w:pPr>
      <w:r>
        <w:rPr>
          <w:rFonts w:ascii="Arial" w:cs="Arial" w:eastAsia="Arial" w:hAnsi="Arial"/>
          <w:sz w:val="20"/>
          <w:szCs w:val="20"/>
          <w:color w:val="auto"/>
        </w:rPr>
        <w:t>Evaluate the performance of the NEOs and all other executive officers during the prior fiscal year;</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20"/>
          <w:szCs w:val="20"/>
          <w:color w:val="auto"/>
        </w:rPr>
      </w:pPr>
      <w:r>
        <w:rPr>
          <w:rFonts w:ascii="Arial" w:cs="Arial" w:eastAsia="Arial" w:hAnsi="Arial"/>
          <w:sz w:val="20"/>
          <w:szCs w:val="20"/>
          <w:color w:val="auto"/>
        </w:rPr>
        <w:t>Determine their final annual bonuses, if any, for the prior fiscal year;</w:t>
      </w:r>
    </w:p>
    <w:p>
      <w:pPr>
        <w:spacing w:after="0" w:line="106" w:lineRule="exact"/>
        <w:rPr>
          <w:rFonts w:ascii="Times New Roman" w:cs="Times New Roman" w:eastAsia="Times New Roman" w:hAnsi="Times New Roman"/>
          <w:sz w:val="20"/>
          <w:szCs w:val="20"/>
          <w:color w:val="auto"/>
        </w:rPr>
      </w:pPr>
    </w:p>
    <w:p>
      <w:pPr>
        <w:ind w:left="760" w:right="20" w:hanging="378"/>
        <w:spacing w:after="0" w:line="256" w:lineRule="auto"/>
        <w:tabs>
          <w:tab w:leader="none" w:pos="760" w:val="left"/>
        </w:tabs>
        <w:numPr>
          <w:ilvl w:val="0"/>
          <w:numId w:val="29"/>
        </w:numPr>
        <w:rPr>
          <w:rFonts w:ascii="Times New Roman" w:cs="Times New Roman" w:eastAsia="Times New Roman" w:hAnsi="Times New Roman"/>
          <w:sz w:val="20"/>
          <w:szCs w:val="20"/>
          <w:color w:val="auto"/>
        </w:rPr>
      </w:pPr>
      <w:r>
        <w:rPr>
          <w:rFonts w:ascii="Arial" w:cs="Arial" w:eastAsia="Arial" w:hAnsi="Arial"/>
          <w:sz w:val="20"/>
          <w:szCs w:val="20"/>
          <w:color w:val="auto"/>
        </w:rPr>
        <w:t>Determine the threshold, target and maximum bonus opportunity for the current fiscal year for each executive officer as a percentage of base salary, the performance objectives and the formula for computing the bonus; and</w:t>
      </w:r>
    </w:p>
    <w:p>
      <w:pPr>
        <w:spacing w:after="0" w:line="48" w:lineRule="exact"/>
        <w:rPr>
          <w:rFonts w:ascii="Times New Roman" w:cs="Times New Roman" w:eastAsia="Times New Roman" w:hAnsi="Times New Roman"/>
          <w:sz w:val="20"/>
          <w:szCs w:val="20"/>
          <w:color w:val="auto"/>
        </w:rPr>
      </w:pPr>
    </w:p>
    <w:p>
      <w:pPr>
        <w:ind w:left="760" w:right="20" w:hanging="378"/>
        <w:spacing w:after="0" w:line="256" w:lineRule="auto"/>
        <w:tabs>
          <w:tab w:leader="none" w:pos="760" w:val="left"/>
        </w:tabs>
        <w:numPr>
          <w:ilvl w:val="0"/>
          <w:numId w:val="29"/>
        </w:numPr>
        <w:rPr>
          <w:rFonts w:ascii="Times New Roman" w:cs="Times New Roman" w:eastAsia="Times New Roman" w:hAnsi="Times New Roman"/>
          <w:sz w:val="20"/>
          <w:szCs w:val="20"/>
          <w:color w:val="auto"/>
        </w:rPr>
      </w:pPr>
      <w:r>
        <w:rPr>
          <w:rFonts w:ascii="Arial" w:cs="Arial" w:eastAsia="Arial" w:hAnsi="Arial"/>
          <w:sz w:val="20"/>
          <w:szCs w:val="20"/>
          <w:color w:val="auto"/>
        </w:rPr>
        <w:t>Determine the mix of stock options, restricted shares and/or restricted stock units to be granted in the current year, the portion of such equity compensation that will be time-vested or performance-based, and the performance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At the end of each fiscal year, the Compensation Committee:</w:t>
      </w:r>
    </w:p>
    <w:p>
      <w:pPr>
        <w:spacing w:after="0" w:line="94"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Certifies satisfaction of the performance objectives; and</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Determines the annual bonuses, if any, for all executive officers for such fiscal year.</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Compensation Committee may meet from time to time during the year to assess the adequacy of the Company’s compensation for all executive officers.</w:t>
      </w:r>
    </w:p>
    <w:p>
      <w:pPr>
        <w:spacing w:after="0" w:line="45"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The Role of Management </w:t>
      </w:r>
      <w:r>
        <w:rPr>
          <w:rFonts w:ascii="Arial" w:cs="Arial" w:eastAsia="Arial" w:hAnsi="Arial"/>
          <w:sz w:val="20"/>
          <w:szCs w:val="20"/>
          <w:color w:val="auto"/>
        </w:rPr>
        <w:t>The Compensation Committee discusses with, and takes into consideration, the recommendations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CEO concerning the annual evaluation of the executive officers, except for matters related to his own evaluation and compensation. The CEO has a role in determining executive compensation because he evaluates employee performance, recommends performance goals and objectives, and recommends salary levels, bonuses, and incentive awards of the executive officers, other than himself.</w:t>
      </w:r>
    </w:p>
    <w:p>
      <w:pPr>
        <w:spacing w:after="0" w:line="6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b w:val="1"/>
          <w:bCs w:val="1"/>
          <w:color w:val="auto"/>
        </w:rPr>
        <w:t xml:space="preserve">The Role of the Independent Consultant </w:t>
      </w:r>
      <w:r>
        <w:rPr>
          <w:rFonts w:ascii="Arial" w:cs="Arial" w:eastAsia="Arial" w:hAnsi="Arial"/>
          <w:sz w:val="20"/>
          <w:szCs w:val="20"/>
          <w:color w:val="auto"/>
        </w:rPr>
        <w:t>To gain a perspective on external pay levels, emerging practices and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changes, our Compensation Committee from time to time engages outside executive compensation consultants that are independent under the SEC and NASDAQ Stock Market rules to provide benchmark and survey information and advise the Compensation Committee as it conducts its review of our executive compensation programs. The Compensation Committee retained PG in April 2025. PG advised the Compensation Committee as to the composition of our 2025 Peer Group and compared our 2026 projected executive target compensation to the respective Peer Group. PG each was selected by and reported directly to the Compensation Committee. The individuals at PG who provided the compensation consulting services to the Compensation Committee have provided no other services to the Company or its subsidiaries.</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Committee’s reason for updating the benchmarking/survey information at least every three years as opposed to every year is that the Compensation Committee does not believe that the executive compensation benchmark or the comparable companies are likely to have significant changes over just a one or two year period.</w:t>
      </w:r>
    </w:p>
    <w:p>
      <w:pPr>
        <w:spacing w:after="0" w:line="6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accordance with its charter, the Compensation Committee analyzed whether the work of PG as a compensation consultant has raised any conflict of interest, taking into consideration the following factors: (i) the provision of other services to the Company by PG; (ii) the amount of fees from the Company paid to PG as a percentage of the firm’s total revenue; (iii) PG’s policies and procedures that are designed to prevent conflicts of interest; (iv) any business or personal relationship of PG or the individual compensation advisors employed by the firm with an executive officer of the Company; (v) any business or personal relationship of the individual compensation advisors with any member of the Compensation Committee; and (vi) any stock of the Company owned by PG or the individual compensation advisors employed by the firm. The Compensation Committee has determined based on its analysis of the above factors, that the work of PG and the individual compensation advisors employed by PG as compensation consultants to the Company has not created a conflict of interest.</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38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1" w:name="page42"/>
    <w:bookmarkEnd w:id="41"/>
    <w:p>
      <w:pPr>
        <w:ind w:right="20"/>
        <w:spacing w:after="0" w:line="259" w:lineRule="auto"/>
        <w:rPr>
          <w:sz w:val="20"/>
          <w:szCs w:val="20"/>
          <w:color w:val="auto"/>
        </w:rPr>
      </w:pPr>
      <w:r>
        <w:rPr>
          <w:rFonts w:ascii="Arial" w:cs="Arial" w:eastAsia="Arial" w:hAnsi="Arial"/>
          <w:sz w:val="20"/>
          <w:szCs w:val="20"/>
          <w:b w:val="1"/>
          <w:bCs w:val="1"/>
          <w:color w:val="auto"/>
        </w:rPr>
        <w:t xml:space="preserve">Selection of Peer Group </w:t>
      </w:r>
      <w:r>
        <w:rPr>
          <w:rFonts w:ascii="Arial" w:cs="Arial" w:eastAsia="Arial" w:hAnsi="Arial"/>
          <w:sz w:val="20"/>
          <w:szCs w:val="20"/>
          <w:color w:val="auto"/>
        </w:rPr>
        <w:t>The Compensation Committee reviews data concerning the pay practices among semiconductor</w:t>
      </w:r>
      <w:r>
        <w:rPr>
          <w:rFonts w:ascii="Arial" w:cs="Arial" w:eastAsia="Arial" w:hAnsi="Arial"/>
          <w:sz w:val="20"/>
          <w:szCs w:val="20"/>
          <w:b w:val="1"/>
          <w:bCs w:val="1"/>
          <w:color w:val="auto"/>
        </w:rPr>
        <w:t xml:space="preserve"> </w:t>
      </w:r>
      <w:r>
        <w:rPr>
          <w:rFonts w:ascii="Arial" w:cs="Arial" w:eastAsia="Arial" w:hAnsi="Arial"/>
          <w:sz w:val="20"/>
          <w:szCs w:val="20"/>
          <w:color w:val="auto"/>
        </w:rPr>
        <w:t>companies of similar size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Based on the review undertaken in 2025 by PG, other than eliminating Infinera Corporation (acquired by Nokia Corporation),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Company’s peer group remained unchanged and currently consists of the following companies (the “2025 Peer Group”):</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4320" w:type="dxa"/>
            <w:vAlign w:val="bottom"/>
            <w:tcBorders>
              <w:bottom w:val="single" w:sz="8" w:color="005CA9"/>
            </w:tcBorders>
          </w:tcPr>
          <w:p>
            <w:pPr>
              <w:spacing w:after="0"/>
              <w:rPr>
                <w:sz w:val="2"/>
                <w:szCs w:val="2"/>
                <w:color w:val="auto"/>
              </w:rPr>
            </w:pPr>
          </w:p>
        </w:tc>
        <w:tc>
          <w:tcPr>
            <w:tcW w:w="6920" w:type="dxa"/>
            <w:vAlign w:val="bottom"/>
            <w:tcBorders>
              <w:bottom w:val="single" w:sz="8" w:color="005CA9"/>
            </w:tcBorders>
          </w:tcPr>
          <w:p>
            <w:pPr>
              <w:spacing w:after="0"/>
              <w:rPr>
                <w:sz w:val="2"/>
                <w:szCs w:val="2"/>
                <w:color w:val="auto"/>
              </w:rPr>
            </w:pPr>
          </w:p>
        </w:tc>
      </w:tr>
      <w:tr>
        <w:trPr>
          <w:trHeight w:val="230"/>
        </w:trPr>
        <w:tc>
          <w:tcPr>
            <w:tcW w:w="4320" w:type="dxa"/>
            <w:vAlign w:val="bottom"/>
            <w:tcBorders>
              <w:bottom w:val="single" w:sz="8" w:color="005CA9"/>
            </w:tcBorders>
          </w:tcPr>
          <w:p>
            <w:pPr>
              <w:spacing w:after="0"/>
              <w:rPr>
                <w:sz w:val="20"/>
                <w:szCs w:val="20"/>
                <w:color w:val="auto"/>
              </w:rPr>
            </w:pPr>
          </w:p>
        </w:tc>
        <w:tc>
          <w:tcPr>
            <w:tcW w:w="6920" w:type="dxa"/>
            <w:vAlign w:val="bottom"/>
            <w:tcBorders>
              <w:bottom w:val="single" w:sz="8" w:color="005CA9"/>
            </w:tcBorders>
          </w:tcPr>
          <w:p>
            <w:pPr>
              <w:ind w:left="660"/>
              <w:spacing w:after="0" w:line="210" w:lineRule="exact"/>
              <w:rPr>
                <w:sz w:val="20"/>
                <w:szCs w:val="20"/>
                <w:color w:val="auto"/>
              </w:rPr>
            </w:pPr>
            <w:r>
              <w:rPr>
                <w:rFonts w:ascii="Arial" w:cs="Arial" w:eastAsia="Arial" w:hAnsi="Arial"/>
                <w:sz w:val="18"/>
                <w:szCs w:val="18"/>
                <w:b w:val="1"/>
                <w:bCs w:val="1"/>
                <w:color w:val="auto"/>
              </w:rPr>
              <w:t xml:space="preserve">Peer Group </w:t>
            </w:r>
            <w:r>
              <w:rPr>
                <w:rFonts w:ascii="Arial" w:cs="Arial" w:eastAsia="Arial" w:hAnsi="Arial"/>
                <w:sz w:val="24"/>
                <w:szCs w:val="24"/>
                <w:b w:val="1"/>
                <w:bCs w:val="1"/>
                <w:color w:val="auto"/>
                <w:vertAlign w:val="superscript"/>
              </w:rPr>
              <w:t>(1)</w:t>
            </w:r>
          </w:p>
        </w:tc>
      </w:tr>
      <w:tr>
        <w:trPr>
          <w:trHeight w:val="216"/>
        </w:trPr>
        <w:tc>
          <w:tcPr>
            <w:tcW w:w="4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Alpha and Omega Semiconductor Limited</w:t>
            </w:r>
          </w:p>
        </w:tc>
        <w:tc>
          <w:tcPr>
            <w:tcW w:w="6920" w:type="dxa"/>
            <w:vAlign w:val="bottom"/>
            <w:shd w:val="clear" w:color="auto" w:fill="CFF0FC"/>
          </w:tcPr>
          <w:p>
            <w:pPr>
              <w:ind w:left="1120"/>
              <w:spacing w:after="0" w:line="216" w:lineRule="exact"/>
              <w:rPr>
                <w:sz w:val="20"/>
                <w:szCs w:val="20"/>
                <w:color w:val="auto"/>
              </w:rPr>
            </w:pPr>
            <w:r>
              <w:rPr>
                <w:rFonts w:ascii="Arial" w:cs="Arial" w:eastAsia="Arial" w:hAnsi="Arial"/>
                <w:sz w:val="20"/>
                <w:szCs w:val="20"/>
                <w:color w:val="auto"/>
              </w:rPr>
              <w:t>Monolithic Power Systems, Inc.</w:t>
            </w:r>
          </w:p>
        </w:tc>
      </w:tr>
      <w:tr>
        <w:trPr>
          <w:trHeight w:val="216"/>
        </w:trPr>
        <w:tc>
          <w:tcPr>
            <w:tcW w:w="4320" w:type="dxa"/>
            <w:vAlign w:val="bottom"/>
          </w:tcPr>
          <w:p>
            <w:pPr>
              <w:spacing w:after="0" w:line="216" w:lineRule="exact"/>
              <w:rPr>
                <w:sz w:val="20"/>
                <w:szCs w:val="20"/>
                <w:color w:val="auto"/>
              </w:rPr>
            </w:pPr>
            <w:r>
              <w:rPr>
                <w:rFonts w:ascii="Arial" w:cs="Arial" w:eastAsia="Arial" w:hAnsi="Arial"/>
                <w:sz w:val="20"/>
                <w:szCs w:val="20"/>
                <w:color w:val="auto"/>
              </w:rPr>
              <w:t>Cirrus Logic, Inc.</w:t>
            </w:r>
          </w:p>
        </w:tc>
        <w:tc>
          <w:tcPr>
            <w:tcW w:w="6920" w:type="dxa"/>
            <w:vAlign w:val="bottom"/>
          </w:tcPr>
          <w:p>
            <w:pPr>
              <w:ind w:left="1120"/>
              <w:spacing w:after="0" w:line="216" w:lineRule="exact"/>
              <w:rPr>
                <w:sz w:val="20"/>
                <w:szCs w:val="20"/>
                <w:color w:val="auto"/>
              </w:rPr>
            </w:pPr>
            <w:r>
              <w:rPr>
                <w:rFonts w:ascii="Arial" w:cs="Arial" w:eastAsia="Arial" w:hAnsi="Arial"/>
                <w:sz w:val="20"/>
                <w:szCs w:val="20"/>
                <w:color w:val="auto"/>
              </w:rPr>
              <w:t>Qorvo, Inc.</w:t>
            </w:r>
          </w:p>
        </w:tc>
      </w:tr>
      <w:tr>
        <w:trPr>
          <w:trHeight w:val="216"/>
        </w:trPr>
        <w:tc>
          <w:tcPr>
            <w:tcW w:w="4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Coherent</w:t>
            </w:r>
          </w:p>
        </w:tc>
        <w:tc>
          <w:tcPr>
            <w:tcW w:w="6920" w:type="dxa"/>
            <w:vAlign w:val="bottom"/>
            <w:shd w:val="clear" w:color="auto" w:fill="CFF0FC"/>
          </w:tcPr>
          <w:p>
            <w:pPr>
              <w:ind w:left="1120"/>
              <w:spacing w:after="0" w:line="216" w:lineRule="exact"/>
              <w:rPr>
                <w:sz w:val="20"/>
                <w:szCs w:val="20"/>
                <w:color w:val="auto"/>
              </w:rPr>
            </w:pPr>
            <w:r>
              <w:rPr>
                <w:rFonts w:ascii="Arial" w:cs="Arial" w:eastAsia="Arial" w:hAnsi="Arial"/>
                <w:sz w:val="20"/>
                <w:szCs w:val="20"/>
                <w:color w:val="auto"/>
              </w:rPr>
              <w:t>Semtech Corporation</w:t>
            </w:r>
          </w:p>
        </w:tc>
      </w:tr>
      <w:tr>
        <w:trPr>
          <w:trHeight w:val="216"/>
        </w:trPr>
        <w:tc>
          <w:tcPr>
            <w:tcW w:w="4320" w:type="dxa"/>
            <w:vAlign w:val="bottom"/>
          </w:tcPr>
          <w:p>
            <w:pPr>
              <w:spacing w:after="0" w:line="216" w:lineRule="exact"/>
              <w:rPr>
                <w:sz w:val="20"/>
                <w:szCs w:val="20"/>
                <w:color w:val="auto"/>
              </w:rPr>
            </w:pPr>
            <w:r>
              <w:rPr>
                <w:rFonts w:ascii="Arial" w:cs="Arial" w:eastAsia="Arial" w:hAnsi="Arial"/>
                <w:sz w:val="20"/>
                <w:szCs w:val="20"/>
                <w:color w:val="auto"/>
              </w:rPr>
              <w:t>Littelfuse, Inc.</w:t>
            </w:r>
          </w:p>
        </w:tc>
        <w:tc>
          <w:tcPr>
            <w:tcW w:w="6920" w:type="dxa"/>
            <w:vAlign w:val="bottom"/>
          </w:tcPr>
          <w:p>
            <w:pPr>
              <w:ind w:left="1120"/>
              <w:spacing w:after="0" w:line="216" w:lineRule="exact"/>
              <w:rPr>
                <w:sz w:val="20"/>
                <w:szCs w:val="20"/>
                <w:color w:val="auto"/>
              </w:rPr>
            </w:pPr>
            <w:r>
              <w:rPr>
                <w:rFonts w:ascii="Arial" w:cs="Arial" w:eastAsia="Arial" w:hAnsi="Arial"/>
                <w:sz w:val="20"/>
                <w:szCs w:val="20"/>
                <w:color w:val="auto"/>
              </w:rPr>
              <w:t>Silicon Laboratories Inc.</w:t>
            </w:r>
          </w:p>
        </w:tc>
      </w:tr>
      <w:tr>
        <w:trPr>
          <w:trHeight w:val="216"/>
        </w:trPr>
        <w:tc>
          <w:tcPr>
            <w:tcW w:w="4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Marvell Technology Incorporated</w:t>
            </w:r>
          </w:p>
        </w:tc>
        <w:tc>
          <w:tcPr>
            <w:tcW w:w="6920" w:type="dxa"/>
            <w:vAlign w:val="bottom"/>
            <w:shd w:val="clear" w:color="auto" w:fill="CFF0FC"/>
          </w:tcPr>
          <w:p>
            <w:pPr>
              <w:ind w:left="1120"/>
              <w:spacing w:after="0" w:line="216" w:lineRule="exact"/>
              <w:rPr>
                <w:sz w:val="20"/>
                <w:szCs w:val="20"/>
                <w:color w:val="auto"/>
              </w:rPr>
            </w:pPr>
            <w:r>
              <w:rPr>
                <w:rFonts w:ascii="Arial" w:cs="Arial" w:eastAsia="Arial" w:hAnsi="Arial"/>
                <w:sz w:val="20"/>
                <w:szCs w:val="20"/>
                <w:color w:val="auto"/>
              </w:rPr>
              <w:t>Skyworks Solutions, Inc.</w:t>
            </w:r>
          </w:p>
        </w:tc>
      </w:tr>
      <w:tr>
        <w:trPr>
          <w:trHeight w:val="216"/>
        </w:trPr>
        <w:tc>
          <w:tcPr>
            <w:tcW w:w="4320" w:type="dxa"/>
            <w:vAlign w:val="bottom"/>
          </w:tcPr>
          <w:p>
            <w:pPr>
              <w:spacing w:after="0" w:line="216" w:lineRule="exact"/>
              <w:rPr>
                <w:sz w:val="20"/>
                <w:szCs w:val="20"/>
                <w:color w:val="auto"/>
              </w:rPr>
            </w:pPr>
            <w:r>
              <w:rPr>
                <w:rFonts w:ascii="Arial" w:cs="Arial" w:eastAsia="Arial" w:hAnsi="Arial"/>
                <w:sz w:val="20"/>
                <w:szCs w:val="20"/>
                <w:color w:val="auto"/>
              </w:rPr>
              <w:t>Maxlinear</w:t>
            </w:r>
          </w:p>
        </w:tc>
        <w:tc>
          <w:tcPr>
            <w:tcW w:w="6920" w:type="dxa"/>
            <w:vAlign w:val="bottom"/>
          </w:tcPr>
          <w:p>
            <w:pPr>
              <w:ind w:left="1120"/>
              <w:spacing w:after="0" w:line="216" w:lineRule="exact"/>
              <w:rPr>
                <w:sz w:val="20"/>
                <w:szCs w:val="20"/>
                <w:color w:val="auto"/>
              </w:rPr>
            </w:pPr>
            <w:r>
              <w:rPr>
                <w:rFonts w:ascii="Arial" w:cs="Arial" w:eastAsia="Arial" w:hAnsi="Arial"/>
                <w:sz w:val="20"/>
                <w:szCs w:val="20"/>
                <w:color w:val="auto"/>
              </w:rPr>
              <w:t>Synaptics Incorporated</w:t>
            </w:r>
          </w:p>
        </w:tc>
      </w:tr>
      <w:tr>
        <w:trPr>
          <w:trHeight w:val="216"/>
        </w:trPr>
        <w:tc>
          <w:tcPr>
            <w:tcW w:w="4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Microchip Technology Incorporated</w:t>
            </w:r>
          </w:p>
        </w:tc>
        <w:tc>
          <w:tcPr>
            <w:tcW w:w="6920" w:type="dxa"/>
            <w:vAlign w:val="bottom"/>
            <w:shd w:val="clear" w:color="auto" w:fill="CFF0FC"/>
          </w:tcPr>
          <w:p>
            <w:pPr>
              <w:ind w:left="1120"/>
              <w:spacing w:after="0" w:line="216" w:lineRule="exact"/>
              <w:rPr>
                <w:sz w:val="20"/>
                <w:szCs w:val="20"/>
                <w:color w:val="auto"/>
              </w:rPr>
            </w:pPr>
            <w:r>
              <w:rPr>
                <w:rFonts w:ascii="Arial" w:cs="Arial" w:eastAsia="Arial" w:hAnsi="Arial"/>
                <w:sz w:val="20"/>
                <w:szCs w:val="20"/>
                <w:color w:val="auto"/>
              </w:rPr>
              <w:t>Vishay Intertechnology, Inc.</w:t>
            </w:r>
          </w:p>
        </w:tc>
      </w:tr>
      <w:tr>
        <w:trPr>
          <w:trHeight w:val="223"/>
        </w:trPr>
        <w:tc>
          <w:tcPr>
            <w:tcW w:w="4320" w:type="dxa"/>
            <w:vAlign w:val="bottom"/>
            <w:tcBorders>
              <w:bottom w:val="single" w:sz="8" w:color="005CA9"/>
            </w:tcBorders>
          </w:tcPr>
          <w:p>
            <w:pPr>
              <w:spacing w:after="0" w:line="216" w:lineRule="exact"/>
              <w:rPr>
                <w:sz w:val="20"/>
                <w:szCs w:val="20"/>
                <w:color w:val="auto"/>
              </w:rPr>
            </w:pPr>
            <w:r>
              <w:rPr>
                <w:rFonts w:ascii="Arial" w:cs="Arial" w:eastAsia="Arial" w:hAnsi="Arial"/>
                <w:sz w:val="20"/>
                <w:szCs w:val="20"/>
                <w:color w:val="auto"/>
              </w:rPr>
              <w:t>MKS Instruments</w:t>
            </w:r>
          </w:p>
        </w:tc>
        <w:tc>
          <w:tcPr>
            <w:tcW w:w="6920" w:type="dxa"/>
            <w:vAlign w:val="bottom"/>
            <w:tcBorders>
              <w:bottom w:val="single" w:sz="8" w:color="005CA9"/>
            </w:tcBorders>
          </w:tcPr>
          <w:p>
            <w:pPr>
              <w:ind w:left="1120"/>
              <w:spacing w:after="0" w:line="216" w:lineRule="exact"/>
              <w:rPr>
                <w:sz w:val="20"/>
                <w:szCs w:val="20"/>
                <w:color w:val="auto"/>
              </w:rPr>
            </w:pPr>
            <w:r>
              <w:rPr>
                <w:rFonts w:ascii="Arial" w:cs="Arial" w:eastAsia="Arial" w:hAnsi="Arial"/>
                <w:sz w:val="20"/>
                <w:szCs w:val="20"/>
                <w:color w:val="auto"/>
              </w:rPr>
              <w:t>Wolfspeed, Inc.</w:t>
            </w:r>
          </w:p>
        </w:tc>
      </w:tr>
    </w:tbl>
    <w:p>
      <w:pPr>
        <w:spacing w:after="0" w:line="4" w:lineRule="exact"/>
        <w:rPr>
          <w:sz w:val="20"/>
          <w:szCs w:val="20"/>
          <w:color w:val="auto"/>
        </w:rPr>
      </w:pPr>
    </w:p>
    <w:p>
      <w:pPr>
        <w:ind w:left="300" w:right="340" w:hanging="292"/>
        <w:spacing w:after="0" w:line="270" w:lineRule="auto"/>
        <w:tabs>
          <w:tab w:leader="none" w:pos="300" w:val="left"/>
        </w:tabs>
        <w:numPr>
          <w:ilvl w:val="0"/>
          <w:numId w:val="31"/>
        </w:numPr>
        <w:rPr>
          <w:rFonts w:ascii="Calibri" w:cs="Calibri" w:eastAsia="Calibri" w:hAnsi="Calibri"/>
          <w:sz w:val="14"/>
          <w:szCs w:val="14"/>
          <w:color w:val="auto"/>
        </w:rPr>
      </w:pPr>
      <w:r>
        <w:rPr>
          <w:rFonts w:ascii="Arial" w:cs="Arial" w:eastAsia="Arial" w:hAnsi="Arial"/>
          <w:sz w:val="14"/>
          <w:szCs w:val="14"/>
          <w:color w:val="auto"/>
        </w:rPr>
        <w:t>For the 2025 Peer Group, the median revenue as reported in the most recently available Annual Report on Form 10-K filed with the SEC was $2.6 billion. For the year-ended December 31, 2025, the Company's revenue was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39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2" w:name="page43"/>
    <w:bookmarkEnd w:id="42"/>
    <w:p>
      <w:pPr>
        <w:spacing w:after="0"/>
        <w:rPr>
          <w:sz w:val="20"/>
          <w:szCs w:val="20"/>
          <w:color w:val="auto"/>
        </w:rPr>
      </w:pPr>
      <w:r>
        <w:rPr>
          <w:rFonts w:ascii="Arial" w:cs="Arial" w:eastAsia="Arial" w:hAnsi="Arial"/>
          <w:sz w:val="25"/>
          <w:szCs w:val="25"/>
          <w:b w:val="1"/>
          <w:bCs w:val="1"/>
          <w:color w:val="005CA9"/>
        </w:rPr>
        <w:t>ADDITIONAL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Executive officers are entitled to reimbursement for all reasonable and documented business expenses and paid time off in accordance with the Company’s policies (which are also applicable to all employees). Certain executive officers are also provided additional executive benefits and perquisites. For fiscal 2025, the Company provided the following benefits and perquisites to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280" w:type="dxa"/>
            <w:vAlign w:val="bottom"/>
            <w:tcBorders>
              <w:bottom w:val="single" w:sz="8" w:color="005CA9"/>
            </w:tcBorders>
          </w:tcPr>
          <w:p>
            <w:pPr>
              <w:ind w:left="40"/>
              <w:spacing w:after="0"/>
              <w:rPr>
                <w:sz w:val="20"/>
                <w:szCs w:val="20"/>
                <w:color w:val="auto"/>
              </w:rPr>
            </w:pPr>
            <w:r>
              <w:rPr>
                <w:rFonts w:ascii="Arial" w:cs="Arial" w:eastAsia="Arial" w:hAnsi="Arial"/>
                <w:sz w:val="20"/>
                <w:szCs w:val="20"/>
                <w:b w:val="1"/>
                <w:bCs w:val="1"/>
                <w:color w:val="auto"/>
              </w:rPr>
              <w:t>Benefit</w:t>
            </w:r>
          </w:p>
        </w:tc>
        <w:tc>
          <w:tcPr>
            <w:tcW w:w="200" w:type="dxa"/>
            <w:vAlign w:val="bottom"/>
            <w:tcBorders>
              <w:bottom w:val="single" w:sz="8" w:color="005CA9"/>
            </w:tcBorders>
          </w:tcPr>
          <w:p>
            <w:pPr>
              <w:spacing w:after="0"/>
              <w:rPr>
                <w:sz w:val="24"/>
                <w:szCs w:val="24"/>
                <w:color w:val="auto"/>
              </w:rPr>
            </w:pPr>
          </w:p>
        </w:tc>
        <w:tc>
          <w:tcPr>
            <w:tcW w:w="7760" w:type="dxa"/>
            <w:vAlign w:val="bottom"/>
            <w:tcBorders>
              <w:bottom w:val="single" w:sz="8" w:color="005CA9"/>
            </w:tcBorders>
          </w:tcPr>
          <w:p>
            <w:pPr>
              <w:ind w:left="4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07"/>
        </w:trPr>
        <w:tc>
          <w:tcPr>
            <w:tcW w:w="3280" w:type="dxa"/>
            <w:vAlign w:val="bottom"/>
            <w:shd w:val="clear" w:color="auto" w:fill="CFF0FC"/>
          </w:tcPr>
          <w:p>
            <w:pPr>
              <w:ind w:left="40"/>
              <w:spacing w:after="0" w:line="207" w:lineRule="exact"/>
              <w:rPr>
                <w:sz w:val="20"/>
                <w:szCs w:val="20"/>
                <w:color w:val="auto"/>
              </w:rPr>
            </w:pPr>
            <w:r>
              <w:rPr>
                <w:rFonts w:ascii="Arial" w:cs="Arial" w:eastAsia="Arial" w:hAnsi="Arial"/>
                <w:sz w:val="20"/>
                <w:szCs w:val="20"/>
                <w:b w:val="1"/>
                <w:bCs w:val="1"/>
                <w:color w:val="auto"/>
              </w:rPr>
              <w:t>Automobile Allowance</w:t>
            </w:r>
          </w:p>
        </w:tc>
        <w:tc>
          <w:tcPr>
            <w:tcW w:w="200" w:type="dxa"/>
            <w:vAlign w:val="bottom"/>
            <w:shd w:val="clear" w:color="auto" w:fill="CFF0FC"/>
          </w:tcPr>
          <w:p>
            <w:pPr>
              <w:ind w:left="80"/>
              <w:spacing w:after="0" w:line="207" w:lineRule="exact"/>
              <w:rPr>
                <w:sz w:val="20"/>
                <w:szCs w:val="20"/>
                <w:color w:val="auto"/>
              </w:rPr>
            </w:pPr>
            <w:r>
              <w:rPr>
                <w:rFonts w:ascii="Times New Roman" w:cs="Times New Roman" w:eastAsia="Times New Roman" w:hAnsi="Times New Roman"/>
                <w:sz w:val="20"/>
                <w:szCs w:val="20"/>
                <w:color w:val="auto"/>
              </w:rPr>
              <w:t>•</w:t>
            </w:r>
          </w:p>
        </w:tc>
        <w:tc>
          <w:tcPr>
            <w:tcW w:w="7760" w:type="dxa"/>
            <w:vAlign w:val="bottom"/>
            <w:shd w:val="clear" w:color="auto" w:fill="CFF0FC"/>
          </w:tcPr>
          <w:p>
            <w:pPr>
              <w:ind w:left="100"/>
              <w:spacing w:after="0" w:line="207" w:lineRule="exact"/>
              <w:rPr>
                <w:sz w:val="20"/>
                <w:szCs w:val="20"/>
                <w:color w:val="auto"/>
              </w:rPr>
            </w:pPr>
            <w:r>
              <w:rPr>
                <w:rFonts w:ascii="Arial" w:cs="Arial" w:eastAsia="Arial" w:hAnsi="Arial"/>
                <w:sz w:val="20"/>
                <w:szCs w:val="20"/>
                <w:color w:val="auto"/>
              </w:rPr>
              <w:t>$1,000 - $1,300 per month for certain C-Level Executives</w:t>
            </w:r>
          </w:p>
        </w:tc>
        <w:tc>
          <w:tcPr>
            <w:tcW w:w="0" w:type="dxa"/>
            <w:vAlign w:val="bottom"/>
          </w:tcPr>
          <w:p>
            <w:pPr>
              <w:spacing w:after="0"/>
              <w:rPr>
                <w:sz w:val="1"/>
                <w:szCs w:val="1"/>
                <w:color w:val="auto"/>
              </w:rPr>
            </w:pPr>
          </w:p>
        </w:tc>
      </w:tr>
      <w:tr>
        <w:trPr>
          <w:trHeight w:val="252"/>
        </w:trPr>
        <w:tc>
          <w:tcPr>
            <w:tcW w:w="3280" w:type="dxa"/>
            <w:vAlign w:val="bottom"/>
            <w:shd w:val="clear" w:color="auto" w:fill="CFF0FC"/>
          </w:tcPr>
          <w:p>
            <w:pPr>
              <w:spacing w:after="0"/>
              <w:rPr>
                <w:sz w:val="21"/>
                <w:szCs w:val="21"/>
                <w:color w:val="auto"/>
              </w:rPr>
            </w:pPr>
          </w:p>
        </w:tc>
        <w:tc>
          <w:tcPr>
            <w:tcW w:w="79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$600 per month for the Senior Vice President of Worldwide Sales</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20"/>
                <w:szCs w:val="20"/>
                <w:b w:val="1"/>
                <w:bCs w:val="1"/>
                <w:color w:val="auto"/>
              </w:rPr>
              <w:t>Health Insurance</w:t>
            </w: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rPr>
                <w:sz w:val="20"/>
                <w:szCs w:val="20"/>
                <w:color w:val="auto"/>
              </w:rPr>
            </w:pPr>
            <w:r>
              <w:rPr>
                <w:rFonts w:ascii="Arial" w:cs="Arial" w:eastAsia="Arial" w:hAnsi="Arial"/>
                <w:sz w:val="20"/>
                <w:szCs w:val="20"/>
                <w:color w:val="auto"/>
              </w:rPr>
              <w:t>Corporate group insurance</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Dental Insurance</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Corporate group insurance</w:t>
            </w:r>
          </w:p>
        </w:tc>
        <w:tc>
          <w:tcPr>
            <w:tcW w:w="0" w:type="dxa"/>
            <w:vAlign w:val="bottom"/>
          </w:tcPr>
          <w:p>
            <w:pPr>
              <w:spacing w:after="0"/>
              <w:rPr>
                <w:sz w:val="1"/>
                <w:szCs w:val="1"/>
                <w:color w:val="auto"/>
              </w:rPr>
            </w:pPr>
          </w:p>
        </w:tc>
      </w:tr>
      <w:tr>
        <w:trPr>
          <w:trHeight w:val="230"/>
        </w:trPr>
        <w:tc>
          <w:tcPr>
            <w:tcW w:w="3280" w:type="dxa"/>
            <w:vAlign w:val="bottom"/>
          </w:tcPr>
          <w:p>
            <w:pPr>
              <w:ind w:left="40"/>
              <w:spacing w:after="0"/>
              <w:rPr>
                <w:sz w:val="20"/>
                <w:szCs w:val="20"/>
                <w:color w:val="auto"/>
              </w:rPr>
            </w:pPr>
            <w:r>
              <w:rPr>
                <w:rFonts w:ascii="Arial" w:cs="Arial" w:eastAsia="Arial" w:hAnsi="Arial"/>
                <w:sz w:val="20"/>
                <w:szCs w:val="20"/>
                <w:b w:val="1"/>
                <w:bCs w:val="1"/>
                <w:color w:val="auto"/>
              </w:rPr>
              <w:t>Vision Insurance</w:t>
            </w: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rPr>
                <w:sz w:val="20"/>
                <w:szCs w:val="20"/>
                <w:color w:val="auto"/>
              </w:rPr>
            </w:pPr>
            <w:r>
              <w:rPr>
                <w:rFonts w:ascii="Arial" w:cs="Arial" w:eastAsia="Arial" w:hAnsi="Arial"/>
                <w:sz w:val="20"/>
                <w:szCs w:val="20"/>
                <w:color w:val="auto"/>
              </w:rPr>
              <w:t>Corporate group insurance</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Employee Assistance Program</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Corporate employee assistance program</w:t>
            </w:r>
          </w:p>
        </w:tc>
        <w:tc>
          <w:tcPr>
            <w:tcW w:w="0" w:type="dxa"/>
            <w:vAlign w:val="bottom"/>
          </w:tcPr>
          <w:p>
            <w:pPr>
              <w:spacing w:after="0"/>
              <w:rPr>
                <w:sz w:val="1"/>
                <w:szCs w:val="1"/>
                <w:color w:val="auto"/>
              </w:rPr>
            </w:pPr>
          </w:p>
        </w:tc>
      </w:tr>
      <w:tr>
        <w:trPr>
          <w:trHeight w:val="194"/>
        </w:trPr>
        <w:tc>
          <w:tcPr>
            <w:tcW w:w="3280" w:type="dxa"/>
            <w:vAlign w:val="bottom"/>
          </w:tcPr>
          <w:p>
            <w:pPr>
              <w:ind w:left="40"/>
              <w:spacing w:after="0" w:line="194" w:lineRule="exact"/>
              <w:rPr>
                <w:sz w:val="20"/>
                <w:szCs w:val="20"/>
                <w:color w:val="auto"/>
              </w:rPr>
            </w:pPr>
            <w:r>
              <w:rPr>
                <w:rFonts w:ascii="Arial" w:cs="Arial" w:eastAsia="Arial" w:hAnsi="Arial"/>
                <w:sz w:val="20"/>
                <w:szCs w:val="20"/>
                <w:b w:val="1"/>
                <w:bCs w:val="1"/>
                <w:color w:val="auto"/>
              </w:rPr>
              <w:t>Retirement Plans</w:t>
            </w:r>
          </w:p>
        </w:tc>
        <w:tc>
          <w:tcPr>
            <w:tcW w:w="200" w:type="dxa"/>
            <w:vAlign w:val="bottom"/>
          </w:tcPr>
          <w:p>
            <w:pPr>
              <w:ind w:left="80"/>
              <w:spacing w:after="0" w:line="194" w:lineRule="exact"/>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line="194" w:lineRule="exact"/>
              <w:rPr>
                <w:sz w:val="20"/>
                <w:szCs w:val="20"/>
                <w:color w:val="auto"/>
              </w:rPr>
            </w:pPr>
            <w:r>
              <w:rPr>
                <w:rFonts w:ascii="Arial" w:cs="Arial" w:eastAsia="Arial" w:hAnsi="Arial"/>
                <w:sz w:val="20"/>
                <w:szCs w:val="20"/>
                <w:color w:val="auto"/>
              </w:rPr>
              <w:t>401(k) Plan matching contributions of $1 for every $2 contributed by the participant up</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rPr>
              <w:t>to  6%  (3%  maximum  matching)  of  the  participant’s  eligible  payroll  (subject  to</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rPr>
              <w:t>regulations of the Internal Revenue Service).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rPr>
              <w:t>Discretionary 401(k) contribution, the amount of which is to be determined each year.</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Arial" w:cs="Arial" w:eastAsia="Arial" w:hAnsi="Arial"/>
                <w:sz w:val="20"/>
                <w:szCs w:val="20"/>
                <w:color w:val="auto"/>
              </w:rPr>
              <w:t>For 2025, no discretionary contributions were made.</w:t>
            </w:r>
          </w:p>
        </w:tc>
        <w:tc>
          <w:tcPr>
            <w:tcW w:w="0" w:type="dxa"/>
            <w:vAlign w:val="bottom"/>
          </w:tcPr>
          <w:p>
            <w:pPr>
              <w:spacing w:after="0"/>
              <w:rPr>
                <w:sz w:val="1"/>
                <w:szCs w:val="1"/>
                <w:color w:val="auto"/>
              </w:rPr>
            </w:pPr>
          </w:p>
        </w:tc>
      </w:tr>
      <w:tr>
        <w:trPr>
          <w:trHeight w:val="207"/>
        </w:trPr>
        <w:tc>
          <w:tcPr>
            <w:tcW w:w="3280" w:type="dxa"/>
            <w:vAlign w:val="bottom"/>
            <w:shd w:val="clear" w:color="auto" w:fill="CFF0FC"/>
          </w:tcPr>
          <w:p>
            <w:pPr>
              <w:ind w:left="40"/>
              <w:spacing w:after="0" w:line="207" w:lineRule="exact"/>
              <w:rPr>
                <w:sz w:val="20"/>
                <w:szCs w:val="20"/>
                <w:color w:val="auto"/>
              </w:rPr>
            </w:pPr>
            <w:r>
              <w:rPr>
                <w:rFonts w:ascii="Arial" w:cs="Arial" w:eastAsia="Arial" w:hAnsi="Arial"/>
                <w:sz w:val="20"/>
                <w:szCs w:val="20"/>
                <w:b w:val="1"/>
                <w:bCs w:val="1"/>
                <w:color w:val="auto"/>
              </w:rPr>
              <w:t>Deferred Compensation Plan</w:t>
            </w:r>
          </w:p>
        </w:tc>
        <w:tc>
          <w:tcPr>
            <w:tcW w:w="200" w:type="dxa"/>
            <w:vAlign w:val="bottom"/>
            <w:shd w:val="clear" w:color="auto" w:fill="CFF0FC"/>
          </w:tcPr>
          <w:p>
            <w:pPr>
              <w:ind w:left="80"/>
              <w:spacing w:after="0" w:line="207" w:lineRule="exact"/>
              <w:rPr>
                <w:sz w:val="20"/>
                <w:szCs w:val="20"/>
                <w:color w:val="auto"/>
              </w:rPr>
            </w:pPr>
            <w:r>
              <w:rPr>
                <w:rFonts w:ascii="Times New Roman" w:cs="Times New Roman" w:eastAsia="Times New Roman" w:hAnsi="Times New Roman"/>
                <w:sz w:val="20"/>
                <w:szCs w:val="20"/>
                <w:color w:val="auto"/>
              </w:rPr>
              <w:t>•</w:t>
            </w:r>
          </w:p>
        </w:tc>
        <w:tc>
          <w:tcPr>
            <w:tcW w:w="7760" w:type="dxa"/>
            <w:vAlign w:val="bottom"/>
            <w:shd w:val="clear" w:color="auto" w:fill="CFF0FC"/>
          </w:tcPr>
          <w:p>
            <w:pPr>
              <w:ind w:left="100"/>
              <w:spacing w:after="0" w:line="207" w:lineRule="exact"/>
              <w:rPr>
                <w:sz w:val="20"/>
                <w:szCs w:val="20"/>
                <w:color w:val="auto"/>
              </w:rPr>
            </w:pPr>
            <w:r>
              <w:rPr>
                <w:rFonts w:ascii="Arial" w:cs="Arial" w:eastAsia="Arial" w:hAnsi="Arial"/>
                <w:sz w:val="20"/>
                <w:szCs w:val="20"/>
                <w:color w:val="auto"/>
                <w:w w:val="98"/>
              </w:rPr>
              <w:t>Defer receipt of a portion of salary, cash bonus, equity or other specified compensation.</w:t>
            </w:r>
          </w:p>
        </w:tc>
        <w:tc>
          <w:tcPr>
            <w:tcW w:w="0" w:type="dxa"/>
            <w:vAlign w:val="bottom"/>
          </w:tcPr>
          <w:p>
            <w:pPr>
              <w:spacing w:after="0"/>
              <w:rPr>
                <w:sz w:val="1"/>
                <w:szCs w:val="1"/>
                <w:color w:val="auto"/>
              </w:rPr>
            </w:pPr>
          </w:p>
        </w:tc>
      </w:tr>
      <w:tr>
        <w:trPr>
          <w:trHeight w:val="217"/>
        </w:trPr>
        <w:tc>
          <w:tcPr>
            <w:tcW w:w="3280" w:type="dxa"/>
            <w:vAlign w:val="bottom"/>
            <w:shd w:val="clear" w:color="auto" w:fill="CFF0FC"/>
          </w:tcPr>
          <w:p>
            <w:pPr>
              <w:spacing w:after="0"/>
              <w:rPr>
                <w:sz w:val="18"/>
                <w:szCs w:val="18"/>
                <w:color w:val="auto"/>
              </w:rPr>
            </w:pPr>
          </w:p>
        </w:tc>
        <w:tc>
          <w:tcPr>
            <w:tcW w:w="7960" w:type="dxa"/>
            <w:vAlign w:val="bottom"/>
            <w:gridSpan w:val="2"/>
            <w:shd w:val="clear" w:color="auto" w:fill="CFF0FC"/>
          </w:tcPr>
          <w:p>
            <w:pPr>
              <w:ind w:left="80"/>
              <w:spacing w:after="0" w:line="217" w:lineRule="exact"/>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Discretionary  contribution  made  by  the  Company.  For  2025,  no  discretionary</w:t>
            </w:r>
          </w:p>
        </w:tc>
        <w:tc>
          <w:tcPr>
            <w:tcW w:w="0" w:type="dxa"/>
            <w:vAlign w:val="bottom"/>
          </w:tcPr>
          <w:p>
            <w:pPr>
              <w:spacing w:after="0"/>
              <w:rPr>
                <w:sz w:val="1"/>
                <w:szCs w:val="1"/>
                <w:color w:val="auto"/>
              </w:rPr>
            </w:pPr>
          </w:p>
        </w:tc>
      </w:tr>
      <w:tr>
        <w:trPr>
          <w:trHeight w:val="238"/>
        </w:trPr>
        <w:tc>
          <w:tcPr>
            <w:tcW w:w="3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7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contributions were made.</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20"/>
                <w:szCs w:val="20"/>
                <w:b w:val="1"/>
                <w:bCs w:val="1"/>
                <w:color w:val="auto"/>
              </w:rPr>
              <w:t>Life Insurance</w:t>
            </w: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rPr>
                <w:sz w:val="20"/>
                <w:szCs w:val="20"/>
                <w:color w:val="auto"/>
              </w:rPr>
            </w:pPr>
            <w:r>
              <w:rPr>
                <w:rFonts w:ascii="Arial" w:cs="Arial" w:eastAsia="Arial" w:hAnsi="Arial"/>
                <w:sz w:val="20"/>
                <w:szCs w:val="20"/>
                <w:color w:val="auto"/>
              </w:rPr>
              <w:t>Corporate group life insurance in the amount of $700,000</w:t>
            </w:r>
          </w:p>
        </w:tc>
        <w:tc>
          <w:tcPr>
            <w:tcW w:w="0" w:type="dxa"/>
            <w:vAlign w:val="bottom"/>
          </w:tcPr>
          <w:p>
            <w:pPr>
              <w:spacing w:after="0"/>
              <w:rPr>
                <w:sz w:val="1"/>
                <w:szCs w:val="1"/>
                <w:color w:val="auto"/>
              </w:rPr>
            </w:pPr>
          </w:p>
        </w:tc>
      </w:tr>
      <w:tr>
        <w:trPr>
          <w:trHeight w:val="192"/>
        </w:trPr>
        <w:tc>
          <w:tcPr>
            <w:tcW w:w="3280" w:type="dxa"/>
            <w:vAlign w:val="bottom"/>
            <w:shd w:val="clear" w:color="auto" w:fill="CFF0FC"/>
          </w:tcPr>
          <w:p>
            <w:pPr>
              <w:ind w:left="40"/>
              <w:spacing w:after="0" w:line="192" w:lineRule="exact"/>
              <w:rPr>
                <w:sz w:val="20"/>
                <w:szCs w:val="20"/>
                <w:color w:val="auto"/>
              </w:rPr>
            </w:pPr>
            <w:r>
              <w:rPr>
                <w:rFonts w:ascii="Arial" w:cs="Arial" w:eastAsia="Arial" w:hAnsi="Arial"/>
                <w:sz w:val="20"/>
                <w:szCs w:val="20"/>
                <w:b w:val="1"/>
                <w:bCs w:val="1"/>
                <w:color w:val="auto"/>
              </w:rPr>
              <w:t>Accidental Death and</w:t>
            </w:r>
          </w:p>
        </w:tc>
        <w:tc>
          <w:tcPr>
            <w:tcW w:w="200" w:type="dxa"/>
            <w:vAlign w:val="bottom"/>
            <w:shd w:val="clear" w:color="auto" w:fill="CFF0FC"/>
          </w:tcPr>
          <w:p>
            <w:pPr>
              <w:ind w:left="80"/>
              <w:spacing w:after="0" w:line="192" w:lineRule="exact"/>
              <w:rPr>
                <w:sz w:val="20"/>
                <w:szCs w:val="20"/>
                <w:color w:val="auto"/>
              </w:rPr>
            </w:pPr>
            <w:r>
              <w:rPr>
                <w:rFonts w:ascii="Times New Roman" w:cs="Times New Roman" w:eastAsia="Times New Roman" w:hAnsi="Times New Roman"/>
                <w:sz w:val="20"/>
                <w:szCs w:val="20"/>
                <w:color w:val="auto"/>
              </w:rPr>
              <w:t>•</w:t>
            </w:r>
          </w:p>
        </w:tc>
        <w:tc>
          <w:tcPr>
            <w:tcW w:w="7760" w:type="dxa"/>
            <w:vAlign w:val="bottom"/>
            <w:shd w:val="clear" w:color="auto" w:fill="CFF0FC"/>
          </w:tcPr>
          <w:p>
            <w:pPr>
              <w:ind w:left="100"/>
              <w:spacing w:after="0" w:line="192" w:lineRule="exact"/>
              <w:rPr>
                <w:sz w:val="20"/>
                <w:szCs w:val="20"/>
                <w:color w:val="auto"/>
              </w:rPr>
            </w:pPr>
            <w:r>
              <w:rPr>
                <w:rFonts w:ascii="Arial" w:cs="Arial" w:eastAsia="Arial" w:hAnsi="Arial"/>
                <w:sz w:val="20"/>
                <w:szCs w:val="20"/>
                <w:color w:val="auto"/>
              </w:rPr>
              <w:t>Insured in the amount of $700,000</w:t>
            </w:r>
          </w:p>
        </w:tc>
        <w:tc>
          <w:tcPr>
            <w:tcW w:w="0" w:type="dxa"/>
            <w:vAlign w:val="bottom"/>
          </w:tcPr>
          <w:p>
            <w:pPr>
              <w:spacing w:after="0"/>
              <w:rPr>
                <w:sz w:val="1"/>
                <w:szCs w:val="1"/>
                <w:color w:val="auto"/>
              </w:rPr>
            </w:pPr>
          </w:p>
        </w:tc>
      </w:tr>
      <w:tr>
        <w:trPr>
          <w:trHeight w:val="240"/>
        </w:trPr>
        <w:tc>
          <w:tcPr>
            <w:tcW w:w="3280" w:type="dxa"/>
            <w:vAlign w:val="bottom"/>
            <w:shd w:val="clear" w:color="auto" w:fill="CFF0FC"/>
          </w:tcPr>
          <w:p>
            <w:pPr>
              <w:ind w:left="40"/>
              <w:spacing w:after="0"/>
              <w:rPr>
                <w:sz w:val="20"/>
                <w:szCs w:val="20"/>
                <w:color w:val="auto"/>
              </w:rPr>
            </w:pPr>
            <w:r>
              <w:rPr>
                <w:rFonts w:ascii="Arial" w:cs="Arial" w:eastAsia="Arial" w:hAnsi="Arial"/>
                <w:sz w:val="20"/>
                <w:szCs w:val="20"/>
                <w:b w:val="1"/>
                <w:bCs w:val="1"/>
                <w:color w:val="auto"/>
              </w:rPr>
              <w:t>Dismemberment</w:t>
            </w:r>
          </w:p>
        </w:tc>
        <w:tc>
          <w:tcPr>
            <w:tcW w:w="200" w:type="dxa"/>
            <w:vAlign w:val="bottom"/>
            <w:shd w:val="clear" w:color="auto" w:fill="CFF0FC"/>
          </w:tcPr>
          <w:p>
            <w:pPr>
              <w:spacing w:after="0"/>
              <w:rPr>
                <w:sz w:val="20"/>
                <w:szCs w:val="20"/>
                <w:color w:val="auto"/>
              </w:rPr>
            </w:pPr>
          </w:p>
        </w:tc>
        <w:tc>
          <w:tcPr>
            <w:tcW w:w="77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80" w:type="dxa"/>
            <w:vAlign w:val="bottom"/>
          </w:tcPr>
          <w:p>
            <w:pPr>
              <w:ind w:left="40"/>
              <w:spacing w:after="0" w:line="192" w:lineRule="exact"/>
              <w:rPr>
                <w:sz w:val="20"/>
                <w:szCs w:val="20"/>
                <w:color w:val="auto"/>
              </w:rPr>
            </w:pPr>
            <w:r>
              <w:rPr>
                <w:rFonts w:ascii="Arial" w:cs="Arial" w:eastAsia="Arial" w:hAnsi="Arial"/>
                <w:sz w:val="20"/>
                <w:szCs w:val="20"/>
                <w:b w:val="1"/>
                <w:bCs w:val="1"/>
                <w:color w:val="auto"/>
              </w:rPr>
              <w:t>Business Travel Accident</w:t>
            </w:r>
          </w:p>
        </w:tc>
        <w:tc>
          <w:tcPr>
            <w:tcW w:w="200" w:type="dxa"/>
            <w:vAlign w:val="bottom"/>
          </w:tcPr>
          <w:p>
            <w:pPr>
              <w:ind w:left="80"/>
              <w:spacing w:after="0" w:line="192" w:lineRule="exact"/>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line="192" w:lineRule="exact"/>
              <w:rPr>
                <w:sz w:val="20"/>
                <w:szCs w:val="20"/>
                <w:color w:val="auto"/>
              </w:rPr>
            </w:pPr>
            <w:r>
              <w:rPr>
                <w:rFonts w:ascii="Arial" w:cs="Arial" w:eastAsia="Arial" w:hAnsi="Arial"/>
                <w:sz w:val="20"/>
                <w:szCs w:val="20"/>
                <w:color w:val="auto"/>
              </w:rPr>
              <w:t>$1,000,000 for accidental death and dismemberment</w:t>
            </w:r>
          </w:p>
        </w:tc>
        <w:tc>
          <w:tcPr>
            <w:tcW w:w="0" w:type="dxa"/>
            <w:vAlign w:val="bottom"/>
          </w:tcPr>
          <w:p>
            <w:pPr>
              <w:spacing w:after="0"/>
              <w:rPr>
                <w:sz w:val="1"/>
                <w:szCs w:val="1"/>
                <w:color w:val="auto"/>
              </w:rPr>
            </w:pPr>
          </w:p>
        </w:tc>
      </w:tr>
      <w:tr>
        <w:trPr>
          <w:trHeight w:val="244"/>
        </w:trPr>
        <w:tc>
          <w:tcPr>
            <w:tcW w:w="3280" w:type="dxa"/>
            <w:vAlign w:val="bottom"/>
          </w:tcPr>
          <w:p>
            <w:pPr>
              <w:ind w:left="40"/>
              <w:spacing w:after="0"/>
              <w:rPr>
                <w:sz w:val="20"/>
                <w:szCs w:val="20"/>
                <w:color w:val="auto"/>
              </w:rPr>
            </w:pPr>
            <w:r>
              <w:rPr>
                <w:rFonts w:ascii="Arial" w:cs="Arial" w:eastAsia="Arial" w:hAnsi="Arial"/>
                <w:sz w:val="20"/>
                <w:szCs w:val="20"/>
                <w:b w:val="1"/>
                <w:bCs w:val="1"/>
                <w:color w:val="auto"/>
              </w:rPr>
              <w:t>Insurance</w:t>
            </w: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rPr>
                <w:sz w:val="20"/>
                <w:szCs w:val="20"/>
                <w:color w:val="auto"/>
              </w:rPr>
            </w:pPr>
            <w:r>
              <w:rPr>
                <w:rFonts w:ascii="Arial" w:cs="Arial" w:eastAsia="Arial" w:hAnsi="Arial"/>
                <w:sz w:val="20"/>
                <w:szCs w:val="20"/>
                <w:color w:val="auto"/>
              </w:rPr>
              <w:t>$500,000 for permanent total disability</w:t>
            </w:r>
          </w:p>
        </w:tc>
        <w:tc>
          <w:tcPr>
            <w:tcW w:w="0" w:type="dxa"/>
            <w:vAlign w:val="bottom"/>
          </w:tcPr>
          <w:p>
            <w:pPr>
              <w:spacing w:after="0"/>
              <w:rPr>
                <w:sz w:val="1"/>
                <w:szCs w:val="1"/>
                <w:color w:val="auto"/>
              </w:rPr>
            </w:pPr>
          </w:p>
        </w:tc>
      </w:tr>
      <w:tr>
        <w:trPr>
          <w:trHeight w:val="252"/>
        </w:trPr>
        <w:tc>
          <w:tcPr>
            <w:tcW w:w="3280" w:type="dxa"/>
            <w:vAlign w:val="bottom"/>
          </w:tcPr>
          <w:p>
            <w:pPr>
              <w:spacing w:after="0"/>
              <w:rPr>
                <w:sz w:val="21"/>
                <w:szCs w:val="21"/>
                <w:color w:val="auto"/>
              </w:rPr>
            </w:pP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$500 per week for up to 52 weeks of accident total disability</w:t>
            </w:r>
          </w:p>
        </w:tc>
        <w:tc>
          <w:tcPr>
            <w:tcW w:w="0" w:type="dxa"/>
            <w:vAlign w:val="bottom"/>
          </w:tcPr>
          <w:p>
            <w:pPr>
              <w:spacing w:after="0"/>
              <w:rPr>
                <w:sz w:val="1"/>
                <w:szCs w:val="1"/>
                <w:color w:val="auto"/>
              </w:rPr>
            </w:pPr>
          </w:p>
        </w:tc>
      </w:tr>
      <w:tr>
        <w:trPr>
          <w:trHeight w:val="194"/>
        </w:trPr>
        <w:tc>
          <w:tcPr>
            <w:tcW w:w="3280" w:type="dxa"/>
            <w:vAlign w:val="bottom"/>
            <w:shd w:val="clear" w:color="auto" w:fill="CFF0FC"/>
          </w:tcPr>
          <w:p>
            <w:pPr>
              <w:ind w:left="40"/>
              <w:spacing w:after="0" w:line="194" w:lineRule="exact"/>
              <w:rPr>
                <w:sz w:val="20"/>
                <w:szCs w:val="20"/>
                <w:color w:val="auto"/>
              </w:rPr>
            </w:pPr>
            <w:r>
              <w:rPr>
                <w:rFonts w:ascii="Arial" w:cs="Arial" w:eastAsia="Arial" w:hAnsi="Arial"/>
                <w:sz w:val="20"/>
                <w:szCs w:val="20"/>
                <w:b w:val="1"/>
                <w:bCs w:val="1"/>
                <w:color w:val="auto"/>
              </w:rPr>
              <w:t>Short-Term Disability Insurance</w:t>
            </w:r>
          </w:p>
        </w:tc>
        <w:tc>
          <w:tcPr>
            <w:tcW w:w="200" w:type="dxa"/>
            <w:vAlign w:val="bottom"/>
            <w:shd w:val="clear" w:color="auto" w:fill="CFF0FC"/>
          </w:tcPr>
          <w:p>
            <w:pPr>
              <w:ind w:left="80"/>
              <w:spacing w:after="0" w:line="194" w:lineRule="exact"/>
              <w:rPr>
                <w:sz w:val="20"/>
                <w:szCs w:val="20"/>
                <w:color w:val="auto"/>
              </w:rPr>
            </w:pPr>
            <w:r>
              <w:rPr>
                <w:rFonts w:ascii="Times New Roman" w:cs="Times New Roman" w:eastAsia="Times New Roman" w:hAnsi="Times New Roman"/>
                <w:sz w:val="20"/>
                <w:szCs w:val="20"/>
                <w:color w:val="auto"/>
              </w:rPr>
              <w:t>•</w:t>
            </w:r>
          </w:p>
        </w:tc>
        <w:tc>
          <w:tcPr>
            <w:tcW w:w="776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After elimination period of seven days, 66-2/3% of weekly earnings are paid to a</w:t>
            </w:r>
          </w:p>
        </w:tc>
        <w:tc>
          <w:tcPr>
            <w:tcW w:w="0" w:type="dxa"/>
            <w:vAlign w:val="bottom"/>
          </w:tcPr>
          <w:p>
            <w:pPr>
              <w:spacing w:after="0"/>
              <w:rPr>
                <w:sz w:val="1"/>
                <w:szCs w:val="1"/>
                <w:color w:val="auto"/>
              </w:rPr>
            </w:pPr>
          </w:p>
        </w:tc>
      </w:tr>
      <w:tr>
        <w:trPr>
          <w:trHeight w:val="238"/>
        </w:trPr>
        <w:tc>
          <w:tcPr>
            <w:tcW w:w="3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7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maximum of $3,750 per week.</w:t>
            </w:r>
          </w:p>
        </w:tc>
        <w:tc>
          <w:tcPr>
            <w:tcW w:w="0" w:type="dxa"/>
            <w:vAlign w:val="bottom"/>
          </w:tcPr>
          <w:p>
            <w:pPr>
              <w:spacing w:after="0"/>
              <w:rPr>
                <w:sz w:val="1"/>
                <w:szCs w:val="1"/>
                <w:color w:val="auto"/>
              </w:rPr>
            </w:pPr>
          </w:p>
        </w:tc>
      </w:tr>
      <w:tr>
        <w:trPr>
          <w:trHeight w:val="273"/>
        </w:trPr>
        <w:tc>
          <w:tcPr>
            <w:tcW w:w="3280" w:type="dxa"/>
            <w:vAlign w:val="bottom"/>
          </w:tcPr>
          <w:p>
            <w:pPr>
              <w:ind w:left="40"/>
              <w:spacing w:after="0"/>
              <w:rPr>
                <w:sz w:val="20"/>
                <w:szCs w:val="20"/>
                <w:color w:val="auto"/>
              </w:rPr>
            </w:pPr>
            <w:r>
              <w:rPr>
                <w:rFonts w:ascii="Arial" w:cs="Arial" w:eastAsia="Arial" w:hAnsi="Arial"/>
                <w:sz w:val="20"/>
                <w:szCs w:val="20"/>
                <w:b w:val="1"/>
                <w:bCs w:val="1"/>
                <w:color w:val="auto"/>
              </w:rPr>
              <w:t>Long-Term Disability Insurance</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vMerge w:val="restart"/>
          </w:tcPr>
          <w:p>
            <w:pPr>
              <w:ind w:left="100"/>
              <w:spacing w:after="0"/>
              <w:rPr>
                <w:sz w:val="20"/>
                <w:szCs w:val="20"/>
                <w:color w:val="auto"/>
              </w:rPr>
            </w:pPr>
            <w:r>
              <w:rPr>
                <w:rFonts w:ascii="Arial" w:cs="Arial" w:eastAsia="Arial" w:hAnsi="Arial"/>
                <w:sz w:val="20"/>
                <w:szCs w:val="20"/>
                <w:color w:val="auto"/>
              </w:rPr>
              <w:t>After elimination period of 180 days, 66-2/3% of basic monthly earnings to a maximum</w:t>
            </w:r>
          </w:p>
        </w:tc>
        <w:tc>
          <w:tcPr>
            <w:tcW w:w="0" w:type="dxa"/>
            <w:vAlign w:val="bottom"/>
          </w:tcPr>
          <w:p>
            <w:pPr>
              <w:spacing w:after="0"/>
              <w:rPr>
                <w:sz w:val="1"/>
                <w:szCs w:val="1"/>
                <w:color w:val="auto"/>
              </w:rPr>
            </w:pPr>
          </w:p>
        </w:tc>
      </w:tr>
      <w:tr>
        <w:trPr>
          <w:trHeight w:val="29"/>
        </w:trPr>
        <w:tc>
          <w:tcPr>
            <w:tcW w:w="32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7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w w:val="99"/>
              </w:rPr>
              <w:t>of $15,000 per month (and the duration of such benefit is based on such NEO’s age on</w:t>
            </w:r>
          </w:p>
        </w:tc>
        <w:tc>
          <w:tcPr>
            <w:tcW w:w="0" w:type="dxa"/>
            <w:vAlign w:val="bottom"/>
          </w:tcPr>
          <w:p>
            <w:pPr>
              <w:spacing w:after="0"/>
              <w:rPr>
                <w:sz w:val="1"/>
                <w:szCs w:val="1"/>
                <w:color w:val="auto"/>
              </w:rPr>
            </w:pPr>
          </w:p>
        </w:tc>
      </w:tr>
      <w:tr>
        <w:trPr>
          <w:trHeight w:val="216"/>
        </w:trPr>
        <w:tc>
          <w:tcPr>
            <w:tcW w:w="328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Executive Health Reimbursement</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rPr>
              <w:t>the date of his or her disability).</w:t>
            </w:r>
          </w:p>
        </w:tc>
        <w:tc>
          <w:tcPr>
            <w:tcW w:w="0" w:type="dxa"/>
            <w:vAlign w:val="bottom"/>
          </w:tcPr>
          <w:p>
            <w:pPr>
              <w:spacing w:after="0"/>
              <w:rPr>
                <w:sz w:val="1"/>
                <w:szCs w:val="1"/>
                <w:color w:val="auto"/>
              </w:rPr>
            </w:pPr>
          </w:p>
        </w:tc>
      </w:tr>
      <w:tr>
        <w:trPr>
          <w:trHeight w:val="216"/>
        </w:trPr>
        <w:tc>
          <w:tcPr>
            <w:tcW w:w="32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rPr>
              <w:t>Reimbursement  of  certain  enhanced  medical  services  intended  to  promote  the</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tcPr>
          <w:p>
            <w:pPr>
              <w:ind w:left="100"/>
              <w:spacing w:after="0" w:line="216" w:lineRule="exact"/>
              <w:rPr>
                <w:sz w:val="20"/>
                <w:szCs w:val="20"/>
                <w:color w:val="auto"/>
              </w:rPr>
            </w:pPr>
            <w:r>
              <w:rPr>
                <w:rFonts w:ascii="Arial" w:cs="Arial" w:eastAsia="Arial" w:hAnsi="Arial"/>
                <w:sz w:val="20"/>
                <w:szCs w:val="20"/>
                <w:color w:val="auto"/>
              </w:rPr>
              <w:t>executive's health and well-being up to the annual maximum reimbursement limits as</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Arial" w:cs="Arial" w:eastAsia="Arial" w:hAnsi="Arial"/>
                <w:sz w:val="20"/>
                <w:szCs w:val="20"/>
                <w:color w:val="auto"/>
              </w:rPr>
              <w:t>follows: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7029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ind w:left="3360"/>
        <w:spacing w:after="0" w:line="238" w:lineRule="auto"/>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$6,000 for Chairman, President, and CEO</w:t>
      </w:r>
    </w:p>
    <w:p>
      <w:pPr>
        <w:spacing w:after="0" w:line="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$3,000 for Other Executive Officers</w:t>
      </w:r>
    </w:p>
    <w:p>
      <w:pPr>
        <w:spacing w:after="0" w:line="14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additional benefits and perquisites provided to NEOs for fiscal 2025 accounted for a nominal amount of the NEOs’ total compensation. The Compensation Committee believes that these benefits and perquisites are consistent with the Compensation Committee’s philosophy to provide a competitive compensation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color w:val="auto"/>
        </w:rPr>
        <w:t>For a description of the Company’s anti-hedging, anti-pledging, anti-short selling, stock ownership, stock retention, clawback policies, and equity award grant practices, see “Corporate Governance –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COMPENSATION RISK ASSESSMENT</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Compensation Committee has conducted a compensation risk assessment and concluded that the Company’s compensation policies and practices do not encourage excessive or unnecessary risk-taking and are not reasonably likely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40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3" w:name="page44"/>
    <w:bookmarkEnd w:id="43"/>
    <w:p>
      <w:pPr>
        <w:jc w:val="both"/>
        <w:spacing w:after="0" w:line="237" w:lineRule="auto"/>
        <w:rPr>
          <w:sz w:val="20"/>
          <w:szCs w:val="20"/>
          <w:color w:val="auto"/>
        </w:rPr>
      </w:pPr>
      <w:r>
        <w:rPr>
          <w:rFonts w:ascii="Arial" w:cs="Arial" w:eastAsia="Arial" w:hAnsi="Arial"/>
          <w:sz w:val="20"/>
          <w:szCs w:val="20"/>
          <w:color w:val="auto"/>
        </w:rPr>
        <w:t>to have a material adverse effect on the Company. The Compensation Committee took into account the significant proportion of the annual compensation that is based on equity incentives that have long maturities and vesting periods, and the Company’s clawback, stock retention, and stock ownership policies that align the NEO’s and other executive officers’ compensation with the interests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POST-TERMINATION AND CHANGE-IN-CONTROL PAYMENTS</w:t>
      </w:r>
    </w:p>
    <w:p>
      <w:pPr>
        <w:spacing w:after="0" w:line="6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Compensation Committee believes that a change-in-control transaction would create uncertainty regarding the continued employment of the Company’s executive officers. This is because many change-in-control transactions result in significant organizational changes, particularly at the senior executive level. In order to encourage the Company’s executive officers to remain employed with the Company during an important time when their continued employment in connection with, or following, a transaction is often uncertain, and to help keep the Company’s executive officers focused on Company business rather than on their personal financial security, the Compensation Committee believes that providing certain of the Company’s executive officers with severance benefits upon certain terminations of employment following an actual or potential change-in-control transaction is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-1118870</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TAX AND ACCOUNTING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b w:val="1"/>
          <w:bCs w:val="1"/>
          <w:color w:val="auto"/>
        </w:rPr>
        <w:t xml:space="preserve">Deductibility of Compensation </w:t>
      </w:r>
      <w:r>
        <w:rPr>
          <w:rFonts w:ascii="Arial" w:cs="Arial" w:eastAsia="Arial" w:hAnsi="Arial"/>
          <w:sz w:val="20"/>
          <w:szCs w:val="20"/>
          <w:color w:val="auto"/>
        </w:rPr>
        <w:t>Under Section 162(m) of the Internal Revenue Code of 1986, as amended (the “Code”), prior</w:t>
      </w:r>
      <w:r>
        <w:rPr>
          <w:rFonts w:ascii="Arial" w:cs="Arial" w:eastAsia="Arial" w:hAnsi="Arial"/>
          <w:sz w:val="20"/>
          <w:szCs w:val="20"/>
          <w:b w:val="1"/>
          <w:bCs w:val="1"/>
          <w:color w:val="auto"/>
        </w:rPr>
        <w:t xml:space="preserve"> </w:t>
      </w:r>
      <w:r>
        <w:rPr>
          <w:rFonts w:ascii="Arial" w:cs="Arial" w:eastAsia="Arial" w:hAnsi="Arial"/>
          <w:sz w:val="20"/>
          <w:szCs w:val="20"/>
          <w:color w:val="auto"/>
        </w:rPr>
        <w:t>to the Tax Cuts and Jobs Act of 2017 (the “Tax Act”), a public company generally will not be entitled to a deduction for non-performance-based compensation paid to an executive officer to the extent such compensation exceeds $1.0 million. Special rules apply for “performance-based” compensation, including the approval of the performance goals by the stockholders of the Company. The stockholders of the Company have approved each of the Company's incentive plans for the purpose of qualifying those plans under Code Section 162(m). To qualify for deductibility under Code Section 162(m), the performance goals must be established no later than 90 days from the beginning of the performance period.</w:t>
      </w:r>
    </w:p>
    <w:p>
      <w:pPr>
        <w:spacing w:after="0" w:line="6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While the Compensation Committee has in the past generally intended that all compensation be deductible, there will be instances where potentially non-deductible compensation is provided to reward our NEOs consistent with our compensation philosophy for each compensation element. Moreover, the Tax Act substantially revised Code Section 162(m). As a result of the Tax Act revisions, effective as of 2018, (1) the commission and performance-based exceptions have been removed (effectively eliminating the tax deduction for annual compensation which is in excess of $1 million), and (2) the group of executives covered by Code Section 162(m) includes the chief executive officer, the chief financial officer, the three other most highly compensated executive officers, and anyone who was previously a covered executive officer with the Company. While the Tax Act provides some limited transitional relief for certain performance-based compensation awards that may be grandfathered from the elimination of the performance-based compensation exception, this relief is limited and may not be applicable. Therefore, despite the Compensation Committee’s past efforts to structure executive team incentive awards in a manner intended to be exempt from Code Section 162(m) and therefore not subject to its deduction limits, no assurance can be given that compensation which is in excess of the annual $1 million compensation limit will in fact be deductible. Further, the Compensation Committee reserves the right to modify compensation that was initially intended to be exempt from Code Section 162(m) if it determines that such modifications are consistent with the Company’s business needs.</w:t>
      </w:r>
    </w:p>
    <w:p>
      <w:pPr>
        <w:spacing w:after="0" w:line="71"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 xml:space="preserve">Nonqualified Deferred Compensation </w:t>
      </w:r>
      <w:r>
        <w:rPr>
          <w:rFonts w:ascii="Arial" w:cs="Arial" w:eastAsia="Arial" w:hAnsi="Arial"/>
          <w:sz w:val="20"/>
          <w:szCs w:val="20"/>
          <w:color w:val="auto"/>
        </w:rPr>
        <w:t>For a discussion of the Company's nonqualified deferred compensation arrangements,</w:t>
      </w:r>
      <w:r>
        <w:rPr>
          <w:rFonts w:ascii="Arial" w:cs="Arial" w:eastAsia="Arial" w:hAnsi="Arial"/>
          <w:sz w:val="20"/>
          <w:szCs w:val="20"/>
          <w:b w:val="1"/>
          <w:bCs w:val="1"/>
          <w:color w:val="auto"/>
        </w:rPr>
        <w:t xml:space="preserve"> </w:t>
      </w:r>
      <w:r>
        <w:rPr>
          <w:rFonts w:ascii="Arial" w:cs="Arial" w:eastAsia="Arial" w:hAnsi="Arial"/>
          <w:sz w:val="20"/>
          <w:szCs w:val="20"/>
          <w:color w:val="auto"/>
        </w:rPr>
        <w:t>see “Executive Compensation – Nonqualified Deferred Compensation.”</w:t>
      </w:r>
    </w:p>
    <w:p>
      <w:pPr>
        <w:spacing w:after="0" w:line="4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Accounting for Share-Based Compensation </w:t>
      </w:r>
      <w:r>
        <w:rPr>
          <w:rFonts w:ascii="Arial" w:cs="Arial" w:eastAsia="Arial" w:hAnsi="Arial"/>
          <w:sz w:val="20"/>
          <w:szCs w:val="20"/>
          <w:color w:val="auto"/>
        </w:rPr>
        <w:t>The Company uses the Black-Scholes-Merton option-pricing model to determine</w:t>
      </w:r>
      <w:r>
        <w:rPr>
          <w:rFonts w:ascii="Arial" w:cs="Arial" w:eastAsia="Arial" w:hAnsi="Arial"/>
          <w:sz w:val="20"/>
          <w:szCs w:val="20"/>
          <w:b w:val="1"/>
          <w:bCs w:val="1"/>
          <w:color w:val="auto"/>
        </w:rPr>
        <w:t xml:space="preserve"> </w:t>
      </w:r>
      <w:r>
        <w:rPr>
          <w:rFonts w:ascii="Arial" w:cs="Arial" w:eastAsia="Arial" w:hAnsi="Arial"/>
          <w:sz w:val="20"/>
          <w:szCs w:val="20"/>
          <w:color w:val="auto"/>
        </w:rPr>
        <w:t>the fair value of stock options on the date of grant. The amount recognized for financial statement reporting purposes for restricted stock and performance stock grants is calculated by multiplying the number of shares subject to the grant by the closing price of the Company’s Common Stock on the grant date.</w:t>
      </w:r>
    </w:p>
    <w:p>
      <w:pPr>
        <w:spacing w:after="0" w:line="6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b w:val="1"/>
          <w:bCs w:val="1"/>
          <w:color w:val="auto"/>
        </w:rPr>
        <w:t xml:space="preserve">Limited Change-in-Control Benefits </w:t>
      </w:r>
      <w:r>
        <w:rPr>
          <w:rFonts w:ascii="Arial" w:cs="Arial" w:eastAsia="Arial" w:hAnsi="Arial"/>
          <w:sz w:val="20"/>
          <w:szCs w:val="20"/>
          <w:color w:val="auto"/>
        </w:rPr>
        <w:t>We provide limited change-in-control severance benefits to the Company’s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officers and do not provide any related tax gross-ups. See “Compensation Discussion and Analysis – Additional Benefits and Perquisites.”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4" w:name="page45"/>
    <w:bookmarkEnd w:id="44"/>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REPORT OF THE COMPENSATION COMMITTEE ON EXECUTIVE COMPENSATION</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i w:val="1"/>
          <w:iCs w:val="1"/>
          <w:color w:val="auto"/>
        </w:rPr>
        <w:t>The Report of the Compensation Committee of the Board does not constitute soliciting material and shall not be deemed incorporated by reference by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5CA9"/>
        </w:rPr>
        <w:t>COMPENSATION COMMITTEE REPORT</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Compensation Committee of the Board has reviewed and discussed the Compensation Discussion and Analysis with the Company’s management, and based on such review and discussions, the Compensation Committee unanimously recommended to the Board that the Compensation Discussion and Analysis be included in this Proxy Statement.</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Respectfully submitted,</w:t>
      </w:r>
    </w:p>
    <w:p>
      <w:pPr>
        <w:spacing w:after="0" w:line="148"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The Compensation Committee</w:t>
      </w:r>
    </w:p>
    <w:p>
      <w:pPr>
        <w:spacing w:after="0" w:line="148"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Angie Chen Button, Chair</w:t>
      </w:r>
    </w:p>
    <w:p>
      <w:pPr>
        <w:ind w:left="7520"/>
        <w:spacing w:after="0" w:line="229" w:lineRule="auto"/>
        <w:rPr>
          <w:sz w:val="20"/>
          <w:szCs w:val="20"/>
          <w:color w:val="auto"/>
        </w:rPr>
      </w:pPr>
      <w:r>
        <w:rPr>
          <w:rFonts w:ascii="Arial" w:cs="Arial" w:eastAsia="Arial" w:hAnsi="Arial"/>
          <w:sz w:val="20"/>
          <w:szCs w:val="20"/>
          <w:color w:val="auto"/>
        </w:rPr>
        <w:t>Warren Chen</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20"/>
          <w:szCs w:val="20"/>
          <w:color w:val="auto"/>
        </w:rPr>
        <w:t>Robert E. Feiger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45" w:name="page46"/>
    <w:bookmarkEnd w:id="45"/>
    <w:p>
      <w:pPr>
        <w:ind w:left="2580"/>
        <w:spacing w:after="0"/>
        <w:rPr>
          <w:sz w:val="20"/>
          <w:szCs w:val="20"/>
          <w:color w:val="auto"/>
        </w:rPr>
      </w:pPr>
      <w:r>
        <w:rPr>
          <w:rFonts w:ascii="Arial" w:cs="Arial" w:eastAsia="Arial" w:hAnsi="Arial"/>
          <w:sz w:val="43"/>
          <w:szCs w:val="43"/>
          <w:color w:val="005CA9"/>
        </w:rPr>
        <w:t>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the compensation of each of our NEOs for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SUMMARY COMPENSATION TABLE —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20" w:type="dxa"/>
            <w:vAlign w:val="bottom"/>
            <w:tcBorders>
              <w:top w:val="single" w:sz="8" w:color="005CA9"/>
            </w:tcBorders>
          </w:tcPr>
          <w:p>
            <w:pPr>
              <w:spacing w:after="0"/>
              <w:rPr>
                <w:sz w:val="14"/>
                <w:szCs w:val="14"/>
                <w:color w:val="auto"/>
              </w:rPr>
            </w:pPr>
          </w:p>
        </w:tc>
        <w:tc>
          <w:tcPr>
            <w:tcW w:w="160" w:type="dxa"/>
            <w:vAlign w:val="bottom"/>
            <w:tcBorders>
              <w:top w:val="single" w:sz="8" w:color="005CA9"/>
            </w:tcBorders>
          </w:tcPr>
          <w:p>
            <w:pPr>
              <w:spacing w:after="0"/>
              <w:rPr>
                <w:sz w:val="14"/>
                <w:szCs w:val="14"/>
                <w:color w:val="auto"/>
              </w:rPr>
            </w:pPr>
          </w:p>
        </w:tc>
        <w:tc>
          <w:tcPr>
            <w:tcW w:w="740" w:type="dxa"/>
            <w:vAlign w:val="bottom"/>
            <w:tcBorders>
              <w:top w:val="single" w:sz="8" w:color="005CA9"/>
            </w:tcBorders>
          </w:tcPr>
          <w:p>
            <w:pPr>
              <w:spacing w:after="0"/>
              <w:rPr>
                <w:sz w:val="14"/>
                <w:szCs w:val="14"/>
                <w:color w:val="auto"/>
              </w:rPr>
            </w:pPr>
          </w:p>
        </w:tc>
        <w:tc>
          <w:tcPr>
            <w:tcW w:w="140" w:type="dxa"/>
            <w:vAlign w:val="bottom"/>
            <w:tcBorders>
              <w:top w:val="single" w:sz="8" w:color="005CA9"/>
            </w:tcBorders>
          </w:tcPr>
          <w:p>
            <w:pPr>
              <w:spacing w:after="0"/>
              <w:rPr>
                <w:sz w:val="14"/>
                <w:szCs w:val="14"/>
                <w:color w:val="auto"/>
              </w:rPr>
            </w:pPr>
          </w:p>
        </w:tc>
        <w:tc>
          <w:tcPr>
            <w:tcW w:w="1340" w:type="dxa"/>
            <w:vAlign w:val="bottom"/>
            <w:tcBorders>
              <w:top w:val="single" w:sz="8" w:color="005CA9"/>
            </w:tcBorders>
          </w:tcPr>
          <w:p>
            <w:pPr>
              <w:spacing w:after="0"/>
              <w:rPr>
                <w:sz w:val="14"/>
                <w:szCs w:val="14"/>
                <w:color w:val="auto"/>
              </w:rPr>
            </w:pPr>
          </w:p>
        </w:tc>
        <w:tc>
          <w:tcPr>
            <w:tcW w:w="160" w:type="dxa"/>
            <w:vAlign w:val="bottom"/>
            <w:tcBorders>
              <w:top w:val="single" w:sz="8" w:color="005CA9"/>
            </w:tcBorders>
          </w:tcPr>
          <w:p>
            <w:pPr>
              <w:spacing w:after="0"/>
              <w:rPr>
                <w:sz w:val="14"/>
                <w:szCs w:val="14"/>
                <w:color w:val="auto"/>
              </w:rPr>
            </w:pPr>
          </w:p>
        </w:tc>
        <w:tc>
          <w:tcPr>
            <w:tcW w:w="960" w:type="dxa"/>
            <w:vAlign w:val="bottom"/>
            <w:tcBorders>
              <w:top w:val="single" w:sz="8" w:color="005CA9"/>
            </w:tcBorders>
          </w:tcPr>
          <w:p>
            <w:pPr>
              <w:spacing w:after="0"/>
              <w:rPr>
                <w:sz w:val="14"/>
                <w:szCs w:val="14"/>
                <w:color w:val="auto"/>
              </w:rPr>
            </w:pPr>
          </w:p>
        </w:tc>
        <w:tc>
          <w:tcPr>
            <w:tcW w:w="120" w:type="dxa"/>
            <w:vAlign w:val="bottom"/>
            <w:tcBorders>
              <w:top w:val="single" w:sz="8" w:color="005CA9"/>
            </w:tcBorders>
          </w:tcPr>
          <w:p>
            <w:pPr>
              <w:spacing w:after="0"/>
              <w:rPr>
                <w:sz w:val="14"/>
                <w:szCs w:val="14"/>
                <w:color w:val="auto"/>
              </w:rPr>
            </w:pPr>
          </w:p>
        </w:tc>
        <w:tc>
          <w:tcPr>
            <w:tcW w:w="1320" w:type="dxa"/>
            <w:vAlign w:val="bottom"/>
            <w:tcBorders>
              <w:top w:val="single" w:sz="8" w:color="005CA9"/>
            </w:tcBorders>
          </w:tcPr>
          <w:p>
            <w:pPr>
              <w:jc w:val="center"/>
              <w:spacing w:after="0"/>
              <w:rPr>
                <w:sz w:val="20"/>
                <w:szCs w:val="20"/>
                <w:color w:val="auto"/>
              </w:rPr>
            </w:pPr>
            <w:r>
              <w:rPr>
                <w:rFonts w:ascii="Arial" w:cs="Arial" w:eastAsia="Arial" w:hAnsi="Arial"/>
                <w:sz w:val="14"/>
                <w:szCs w:val="14"/>
                <w:b w:val="1"/>
                <w:bCs w:val="1"/>
                <w:color w:val="auto"/>
              </w:rPr>
              <w:t>Non-Equity</w:t>
            </w:r>
          </w:p>
        </w:tc>
        <w:tc>
          <w:tcPr>
            <w:tcW w:w="140" w:type="dxa"/>
            <w:vAlign w:val="bottom"/>
            <w:tcBorders>
              <w:top w:val="single" w:sz="8" w:color="005CA9"/>
            </w:tcBorders>
          </w:tcPr>
          <w:p>
            <w:pPr>
              <w:spacing w:after="0"/>
              <w:rPr>
                <w:sz w:val="14"/>
                <w:szCs w:val="14"/>
                <w:color w:val="auto"/>
              </w:rPr>
            </w:pPr>
          </w:p>
        </w:tc>
        <w:tc>
          <w:tcPr>
            <w:tcW w:w="1280" w:type="dxa"/>
            <w:vAlign w:val="bottom"/>
            <w:tcBorders>
              <w:top w:val="single" w:sz="8" w:color="005CA9"/>
            </w:tcBorders>
          </w:tcPr>
          <w:p>
            <w:pPr>
              <w:spacing w:after="0"/>
              <w:rPr>
                <w:sz w:val="14"/>
                <w:szCs w:val="14"/>
                <w:color w:val="auto"/>
              </w:rPr>
            </w:pPr>
          </w:p>
        </w:tc>
        <w:tc>
          <w:tcPr>
            <w:tcW w:w="1060" w:type="dxa"/>
            <w:vAlign w:val="bottom"/>
            <w:tcBorders>
              <w:top w:val="single" w:sz="8" w:color="005CA9"/>
            </w:tcBorders>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4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4"/>
                <w:szCs w:val="14"/>
                <w:color w:val="auto"/>
              </w:rPr>
            </w:pPr>
          </w:p>
        </w:tc>
      </w:tr>
      <w:tr>
        <w:trPr>
          <w:trHeight w:val="144"/>
        </w:trPr>
        <w:tc>
          <w:tcPr>
            <w:tcW w:w="3820" w:type="dxa"/>
            <w:vAlign w:val="bottom"/>
          </w:tcPr>
          <w:p>
            <w:pPr>
              <w:spacing w:after="0" w:line="145" w:lineRule="exact"/>
              <w:rPr>
                <w:sz w:val="20"/>
                <w:szCs w:val="20"/>
                <w:color w:val="auto"/>
              </w:rPr>
            </w:pPr>
            <w:r>
              <w:rPr>
                <w:rFonts w:ascii="Arial" w:cs="Arial" w:eastAsia="Arial" w:hAnsi="Arial"/>
                <w:sz w:val="14"/>
                <w:szCs w:val="14"/>
                <w:b w:val="1"/>
                <w:bCs w:val="1"/>
                <w:color w:val="auto"/>
              </w:rPr>
              <w:t>Name and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Salary</w:t>
            </w:r>
          </w:p>
        </w:tc>
        <w:tc>
          <w:tcPr>
            <w:tcW w:w="16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Awards</w:t>
            </w:r>
          </w:p>
        </w:tc>
        <w:tc>
          <w:tcPr>
            <w:tcW w:w="12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128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Compensation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Total</w:t>
            </w:r>
          </w:p>
        </w:tc>
      </w:tr>
      <w:tr>
        <w:trPr>
          <w:trHeight w:val="180"/>
        </w:trPr>
        <w:tc>
          <w:tcPr>
            <w:tcW w:w="3820" w:type="dxa"/>
            <w:vAlign w:val="bottom"/>
          </w:tcPr>
          <w:p>
            <w:pPr>
              <w:spacing w:after="0"/>
              <w:rPr>
                <w:sz w:val="20"/>
                <w:szCs w:val="20"/>
                <w:color w:val="auto"/>
              </w:rPr>
            </w:pPr>
            <w:r>
              <w:rPr>
                <w:rFonts w:ascii="Arial" w:cs="Arial" w:eastAsia="Arial" w:hAnsi="Arial"/>
                <w:sz w:val="14"/>
                <w:szCs w:val="14"/>
                <w:b w:val="1"/>
                <w:bCs w:val="1"/>
                <w:color w:val="auto"/>
              </w:rPr>
              <w:t>Principal Position</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Year</w:t>
            </w:r>
          </w:p>
        </w:tc>
        <w:tc>
          <w:tcPr>
            <w:tcW w:w="1340" w:type="dxa"/>
            <w:vAlign w:val="bottom"/>
          </w:tcPr>
          <w:p>
            <w:pPr>
              <w:jc w:val="center"/>
              <w:spacing w:after="0" w:line="180"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9"/>
                <w:szCs w:val="19"/>
                <w:b w:val="1"/>
                <w:bCs w:val="1"/>
                <w:color w:val="auto"/>
                <w:w w:val="93"/>
                <w:vertAlign w:val="superscript"/>
              </w:rPr>
              <w:t>(1)</w:t>
            </w:r>
          </w:p>
        </w:tc>
        <w:tc>
          <w:tcPr>
            <w:tcW w:w="1120" w:type="dxa"/>
            <w:vAlign w:val="bottom"/>
            <w:gridSpan w:val="2"/>
          </w:tcPr>
          <w:p>
            <w:pPr>
              <w:jc w:val="center"/>
              <w:ind w:left="50"/>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 xml:space="preserve"> (2) (3)</w:t>
            </w:r>
          </w:p>
        </w:tc>
        <w:tc>
          <w:tcPr>
            <w:tcW w:w="1440" w:type="dxa"/>
            <w:vAlign w:val="bottom"/>
            <w:gridSpan w:val="2"/>
          </w:tcPr>
          <w:p>
            <w:pPr>
              <w:jc w:val="center"/>
              <w:ind w:left="48"/>
              <w:spacing w:after="0" w:line="180" w:lineRule="exact"/>
              <w:rPr>
                <w:sz w:val="20"/>
                <w:szCs w:val="20"/>
                <w:color w:val="auto"/>
              </w:rPr>
            </w:pPr>
            <w:r>
              <w:rPr>
                <w:rFonts w:ascii="Arial" w:cs="Arial" w:eastAsia="Arial" w:hAnsi="Arial"/>
                <w:sz w:val="14"/>
                <w:szCs w:val="14"/>
                <w:b w:val="1"/>
                <w:bCs w:val="1"/>
                <w:color w:val="auto"/>
                <w:w w:val="87"/>
              </w:rPr>
              <w:t xml:space="preserve">($) </w:t>
            </w:r>
            <w:r>
              <w:rPr>
                <w:rFonts w:ascii="Arial" w:cs="Arial" w:eastAsia="Arial" w:hAnsi="Arial"/>
                <w:sz w:val="19"/>
                <w:szCs w:val="19"/>
                <w:b w:val="1"/>
                <w:bCs w:val="1"/>
                <w:color w:val="auto"/>
                <w:w w:val="87"/>
                <w:vertAlign w:val="superscript"/>
              </w:rPr>
              <w:t>(4)</w:t>
            </w:r>
          </w:p>
        </w:tc>
        <w:tc>
          <w:tcPr>
            <w:tcW w:w="1420" w:type="dxa"/>
            <w:vAlign w:val="bottom"/>
            <w:gridSpan w:val="2"/>
          </w:tcPr>
          <w:p>
            <w:pPr>
              <w:jc w:val="center"/>
              <w:spacing w:after="0" w:line="180" w:lineRule="exact"/>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9"/>
                <w:szCs w:val="19"/>
                <w:b w:val="1"/>
                <w:bCs w:val="1"/>
                <w:color w:val="auto"/>
                <w:w w:val="93"/>
                <w:vertAlign w:val="superscript"/>
              </w:rPr>
              <w:t>(5)</w:t>
            </w:r>
          </w:p>
        </w:tc>
        <w:tc>
          <w:tcPr>
            <w:tcW w:w="106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92"/>
        </w:trPr>
        <w:tc>
          <w:tcPr>
            <w:tcW w:w="3820" w:type="dxa"/>
            <w:vAlign w:val="bottom"/>
            <w:tcBorders>
              <w:bottom w:val="single" w:sz="8" w:color="005CA9"/>
            </w:tcBorders>
          </w:tcPr>
          <w:p>
            <w:pPr>
              <w:spacing w:after="0"/>
              <w:rPr>
                <w:sz w:val="20"/>
                <w:szCs w:val="20"/>
                <w:color w:val="auto"/>
              </w:rPr>
            </w:pPr>
            <w:r>
              <w:rPr>
                <w:rFonts w:ascii="Arial" w:cs="Arial" w:eastAsia="Arial" w:hAnsi="Arial"/>
                <w:sz w:val="14"/>
                <w:szCs w:val="14"/>
                <w:b w:val="1"/>
                <w:bCs w:val="1"/>
                <w:color w:val="auto"/>
              </w:rPr>
              <w:t>(a)</w:t>
            </w:r>
          </w:p>
        </w:tc>
        <w:tc>
          <w:tcPr>
            <w:tcW w:w="160" w:type="dxa"/>
            <w:vAlign w:val="bottom"/>
            <w:tcBorders>
              <w:bottom w:val="single" w:sz="8" w:color="005CA9"/>
            </w:tcBorders>
          </w:tcPr>
          <w:p>
            <w:pPr>
              <w:spacing w:after="0"/>
              <w:rPr>
                <w:sz w:val="16"/>
                <w:szCs w:val="16"/>
                <w:color w:val="auto"/>
              </w:rPr>
            </w:pPr>
          </w:p>
        </w:tc>
        <w:tc>
          <w:tcPr>
            <w:tcW w:w="880" w:type="dxa"/>
            <w:vAlign w:val="bottom"/>
            <w:tcBorders>
              <w:bottom w:val="single" w:sz="8" w:color="005CA9"/>
            </w:tcBorders>
            <w:gridSpan w:val="2"/>
          </w:tcPr>
          <w:p>
            <w:pPr>
              <w:jc w:val="center"/>
              <w:ind w:right="140"/>
              <w:spacing w:after="0"/>
              <w:rPr>
                <w:sz w:val="20"/>
                <w:szCs w:val="20"/>
                <w:color w:val="auto"/>
              </w:rPr>
            </w:pPr>
            <w:r>
              <w:rPr>
                <w:rFonts w:ascii="Arial" w:cs="Arial" w:eastAsia="Arial" w:hAnsi="Arial"/>
                <w:sz w:val="14"/>
                <w:szCs w:val="14"/>
                <w:b w:val="1"/>
                <w:bCs w:val="1"/>
                <w:color w:val="auto"/>
              </w:rPr>
              <w:t>(b)</w:t>
            </w:r>
          </w:p>
        </w:tc>
        <w:tc>
          <w:tcPr>
            <w:tcW w:w="134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(c)</w:t>
            </w:r>
          </w:p>
        </w:tc>
        <w:tc>
          <w:tcPr>
            <w:tcW w:w="160" w:type="dxa"/>
            <w:vAlign w:val="bottom"/>
            <w:tcBorders>
              <w:bottom w:val="single" w:sz="8" w:color="005CA9"/>
            </w:tcBorders>
          </w:tcPr>
          <w:p>
            <w:pPr>
              <w:spacing w:after="0"/>
              <w:rPr>
                <w:sz w:val="16"/>
                <w:szCs w:val="16"/>
                <w:color w:val="auto"/>
              </w:rPr>
            </w:pPr>
          </w:p>
        </w:tc>
        <w:tc>
          <w:tcPr>
            <w:tcW w:w="96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(e)</w:t>
            </w:r>
          </w:p>
        </w:tc>
        <w:tc>
          <w:tcPr>
            <w:tcW w:w="120" w:type="dxa"/>
            <w:vAlign w:val="bottom"/>
            <w:tcBorders>
              <w:bottom w:val="single" w:sz="8" w:color="005CA9"/>
            </w:tcBorders>
          </w:tcPr>
          <w:p>
            <w:pPr>
              <w:spacing w:after="0"/>
              <w:rPr>
                <w:sz w:val="16"/>
                <w:szCs w:val="16"/>
                <w:color w:val="auto"/>
              </w:rPr>
            </w:pPr>
          </w:p>
        </w:tc>
        <w:tc>
          <w:tcPr>
            <w:tcW w:w="132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(g)</w:t>
            </w:r>
          </w:p>
        </w:tc>
        <w:tc>
          <w:tcPr>
            <w:tcW w:w="140" w:type="dxa"/>
            <w:vAlign w:val="bottom"/>
            <w:tcBorders>
              <w:bottom w:val="single" w:sz="8" w:color="005CA9"/>
            </w:tcBorders>
          </w:tcPr>
          <w:p>
            <w:pPr>
              <w:spacing w:after="0"/>
              <w:rPr>
                <w:sz w:val="16"/>
                <w:szCs w:val="16"/>
                <w:color w:val="auto"/>
              </w:rPr>
            </w:pPr>
          </w:p>
        </w:tc>
        <w:tc>
          <w:tcPr>
            <w:tcW w:w="1280" w:type="dxa"/>
            <w:vAlign w:val="bottom"/>
            <w:tcBorders>
              <w:bottom w:val="single" w:sz="8" w:color="005CA9"/>
            </w:tcBorders>
          </w:tcPr>
          <w:p>
            <w:pPr>
              <w:jc w:val="center"/>
              <w:ind w:right="68"/>
              <w:spacing w:after="0"/>
              <w:rPr>
                <w:sz w:val="20"/>
                <w:szCs w:val="20"/>
                <w:color w:val="auto"/>
              </w:rPr>
            </w:pPr>
            <w:r>
              <w:rPr>
                <w:rFonts w:ascii="Arial" w:cs="Arial" w:eastAsia="Arial" w:hAnsi="Arial"/>
                <w:sz w:val="14"/>
                <w:szCs w:val="14"/>
                <w:b w:val="1"/>
                <w:bCs w:val="1"/>
                <w:color w:val="auto"/>
              </w:rPr>
              <w:t>(i)</w:t>
            </w:r>
          </w:p>
        </w:tc>
        <w:tc>
          <w:tcPr>
            <w:tcW w:w="106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w w:val="90"/>
              </w:rPr>
              <w:t>(j)</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Dr. Keh-Shew Lu</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b w:val="1"/>
                <w:bCs w:val="1"/>
                <w:color w:val="auto"/>
              </w:rPr>
              <w:t>2025</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331,452</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b w:val="1"/>
                <w:bCs w:val="1"/>
                <w:color w:val="auto"/>
              </w:rPr>
              <w:t>2,968,150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b w:val="1"/>
                <w:bCs w:val="1"/>
                <w:color w:val="auto"/>
              </w:rPr>
              <w:t>348,076</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b w:val="1"/>
                <w:bCs w:val="1"/>
                <w:color w:val="auto"/>
              </w:rPr>
              <w:t>47,918</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3,695,596</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Chairman of the Board and</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740,192</w:t>
            </w:r>
          </w:p>
        </w:tc>
        <w:tc>
          <w:tcPr>
            <w:tcW w:w="1120" w:type="dxa"/>
            <w:vAlign w:val="bottom"/>
            <w:gridSpan w:val="2"/>
            <w:shd w:val="clear" w:color="auto" w:fill="CFF0FC"/>
          </w:tcPr>
          <w:p>
            <w:pPr>
              <w:jc w:val="center"/>
              <w:ind w:left="50"/>
              <w:spacing w:after="0"/>
              <w:rPr>
                <w:sz w:val="20"/>
                <w:szCs w:val="20"/>
                <w:color w:val="auto"/>
              </w:rPr>
            </w:pPr>
            <w:r>
              <w:rPr>
                <w:rFonts w:ascii="Arial" w:cs="Arial" w:eastAsia="Arial" w:hAnsi="Arial"/>
                <w:sz w:val="14"/>
                <w:szCs w:val="14"/>
                <w:color w:val="auto"/>
              </w:rPr>
              <w:t>3,821,600</w:t>
            </w:r>
          </w:p>
        </w:tc>
        <w:tc>
          <w:tcPr>
            <w:tcW w:w="14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165,269</w:t>
            </w: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96,166</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4,823,227</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Former Chief Executive Officer</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color w:val="auto"/>
              </w:rPr>
              <w:t>805,753</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color w:val="auto"/>
              </w:rPr>
              <w:t>8,365,620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color w:val="auto"/>
              </w:rPr>
              <w:t>211,905</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color w:val="auto"/>
              </w:rPr>
              <w:t>100,538</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color w:val="auto"/>
              </w:rPr>
              <w:t>9,483,816</w:t>
            </w: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b w:val="1"/>
                <w:bCs w:val="1"/>
                <w:color w:val="auto"/>
              </w:rPr>
              <w:t>Gary Yu</w:t>
            </w:r>
          </w:p>
        </w:tc>
        <w:tc>
          <w:tcPr>
            <w:tcW w:w="900" w:type="dxa"/>
            <w:vAlign w:val="bottom"/>
            <w:gridSpan w:val="2"/>
          </w:tcPr>
          <w:p>
            <w:pPr>
              <w:jc w:val="center"/>
              <w:ind w:left="68"/>
              <w:spacing w:after="0" w:line="153"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700,219</w:t>
            </w:r>
          </w:p>
        </w:tc>
        <w:tc>
          <w:tcPr>
            <w:tcW w:w="1120" w:type="dxa"/>
            <w:vAlign w:val="bottom"/>
            <w:gridSpan w:val="2"/>
          </w:tcPr>
          <w:p>
            <w:pPr>
              <w:jc w:val="center"/>
              <w:ind w:left="50"/>
              <w:spacing w:after="0" w:line="153" w:lineRule="exact"/>
              <w:rPr>
                <w:sz w:val="20"/>
                <w:szCs w:val="20"/>
                <w:color w:val="auto"/>
              </w:rPr>
            </w:pPr>
            <w:r>
              <w:rPr>
                <w:rFonts w:ascii="Arial" w:cs="Arial" w:eastAsia="Arial" w:hAnsi="Arial"/>
                <w:sz w:val="14"/>
                <w:szCs w:val="14"/>
                <w:b w:val="1"/>
                <w:bCs w:val="1"/>
                <w:color w:val="auto"/>
              </w:rPr>
              <w:t>2,722,423</w:t>
            </w:r>
          </w:p>
        </w:tc>
        <w:tc>
          <w:tcPr>
            <w:tcW w:w="1440" w:type="dxa"/>
            <w:vAlign w:val="bottom"/>
            <w:gridSpan w:val="2"/>
          </w:tcPr>
          <w:p>
            <w:pPr>
              <w:jc w:val="center"/>
              <w:ind w:left="48"/>
              <w:spacing w:after="0" w:line="153" w:lineRule="exact"/>
              <w:rPr>
                <w:sz w:val="20"/>
                <w:szCs w:val="20"/>
                <w:color w:val="auto"/>
              </w:rPr>
            </w:pPr>
            <w:r>
              <w:rPr>
                <w:rFonts w:ascii="Arial" w:cs="Arial" w:eastAsia="Arial" w:hAnsi="Arial"/>
                <w:sz w:val="14"/>
                <w:szCs w:val="14"/>
                <w:b w:val="1"/>
                <w:bCs w:val="1"/>
                <w:color w:val="auto"/>
              </w:rPr>
              <w:t>878,359</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30,730</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4,331,731</w:t>
            </w:r>
          </w:p>
        </w:tc>
      </w:tr>
      <w:tr>
        <w:trPr>
          <w:trHeight w:val="189"/>
        </w:trPr>
        <w:tc>
          <w:tcPr>
            <w:tcW w:w="3820" w:type="dxa"/>
            <w:vAlign w:val="bottom"/>
          </w:tcPr>
          <w:p>
            <w:pPr>
              <w:spacing w:after="0"/>
              <w:rPr>
                <w:sz w:val="20"/>
                <w:szCs w:val="20"/>
                <w:color w:val="auto"/>
              </w:rPr>
            </w:pPr>
            <w:r>
              <w:rPr>
                <w:rFonts w:ascii="Arial" w:cs="Arial" w:eastAsia="Arial" w:hAnsi="Arial"/>
                <w:sz w:val="14"/>
                <w:szCs w:val="14"/>
                <w:color w:val="auto"/>
              </w:rPr>
              <w:t>President and</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629,507</w:t>
            </w:r>
          </w:p>
        </w:tc>
        <w:tc>
          <w:tcPr>
            <w:tcW w:w="1120" w:type="dxa"/>
            <w:vAlign w:val="bottom"/>
            <w:gridSpan w:val="2"/>
          </w:tcPr>
          <w:p>
            <w:pPr>
              <w:jc w:val="center"/>
              <w:ind w:left="50"/>
              <w:spacing w:after="0"/>
              <w:rPr>
                <w:sz w:val="20"/>
                <w:szCs w:val="20"/>
                <w:color w:val="auto"/>
              </w:rPr>
            </w:pPr>
            <w:r>
              <w:rPr>
                <w:rFonts w:ascii="Arial" w:cs="Arial" w:eastAsia="Arial" w:hAnsi="Arial"/>
                <w:sz w:val="14"/>
                <w:szCs w:val="14"/>
                <w:color w:val="auto"/>
              </w:rPr>
              <w:t>3,196,910</w:t>
            </w:r>
          </w:p>
        </w:tc>
        <w:tc>
          <w:tcPr>
            <w:tcW w:w="1440" w:type="dxa"/>
            <w:vAlign w:val="bottom"/>
            <w:gridSpan w:val="2"/>
          </w:tcPr>
          <w:p>
            <w:pPr>
              <w:jc w:val="center"/>
              <w:ind w:left="48"/>
              <w:spacing w:after="0"/>
              <w:rPr>
                <w:sz w:val="20"/>
                <w:szCs w:val="20"/>
                <w:color w:val="auto"/>
              </w:rPr>
            </w:pPr>
            <w:r>
              <w:rPr>
                <w:rFonts w:ascii="Arial" w:cs="Arial" w:eastAsia="Arial" w:hAnsi="Arial"/>
                <w:sz w:val="14"/>
                <w:szCs w:val="14"/>
                <w:color w:val="auto"/>
              </w:rPr>
              <w:t>126,632</w:t>
            </w: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21,894</w:t>
            </w:r>
          </w:p>
        </w:tc>
        <w:tc>
          <w:tcPr>
            <w:tcW w:w="1060" w:type="dxa"/>
            <w:vAlign w:val="bottom"/>
          </w:tcPr>
          <w:p>
            <w:pPr>
              <w:jc w:val="center"/>
              <w:spacing w:after="0"/>
              <w:rPr>
                <w:sz w:val="20"/>
                <w:szCs w:val="20"/>
                <w:color w:val="auto"/>
              </w:rPr>
            </w:pPr>
            <w:r>
              <w:rPr>
                <w:rFonts w:ascii="Arial" w:cs="Arial" w:eastAsia="Arial" w:hAnsi="Arial"/>
                <w:sz w:val="14"/>
                <w:szCs w:val="14"/>
                <w:color w:val="auto"/>
              </w:rPr>
              <w:t>3,974,943</w:t>
            </w:r>
          </w:p>
        </w:tc>
      </w:tr>
      <w:tr>
        <w:trPr>
          <w:trHeight w:val="198"/>
        </w:trPr>
        <w:tc>
          <w:tcPr>
            <w:tcW w:w="3820" w:type="dxa"/>
            <w:vAlign w:val="bottom"/>
          </w:tcPr>
          <w:p>
            <w:pPr>
              <w:spacing w:after="0"/>
              <w:rPr>
                <w:sz w:val="20"/>
                <w:szCs w:val="20"/>
                <w:color w:val="auto"/>
              </w:rPr>
            </w:pPr>
            <w:r>
              <w:rPr>
                <w:rFonts w:ascii="Arial" w:cs="Arial" w:eastAsia="Arial" w:hAnsi="Arial"/>
                <w:sz w:val="14"/>
                <w:szCs w:val="14"/>
                <w:color w:val="auto"/>
              </w:rPr>
              <w:t>Chief Executive Officer</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441,507</w:t>
            </w:r>
          </w:p>
        </w:tc>
        <w:tc>
          <w:tcPr>
            <w:tcW w:w="1120" w:type="dxa"/>
            <w:vAlign w:val="bottom"/>
            <w:gridSpan w:val="2"/>
          </w:tcPr>
          <w:p>
            <w:pPr>
              <w:jc w:val="center"/>
              <w:ind w:left="50"/>
              <w:spacing w:after="0"/>
              <w:rPr>
                <w:sz w:val="20"/>
                <w:szCs w:val="20"/>
                <w:color w:val="auto"/>
              </w:rPr>
            </w:pPr>
            <w:r>
              <w:rPr>
                <w:rFonts w:ascii="Arial" w:cs="Arial" w:eastAsia="Arial" w:hAnsi="Arial"/>
                <w:sz w:val="14"/>
                <w:szCs w:val="14"/>
                <w:color w:val="auto"/>
              </w:rPr>
              <w:t>2,427,100</w:t>
            </w:r>
          </w:p>
        </w:tc>
        <w:tc>
          <w:tcPr>
            <w:tcW w:w="1440" w:type="dxa"/>
            <w:vAlign w:val="bottom"/>
            <w:gridSpan w:val="2"/>
          </w:tcPr>
          <w:p>
            <w:pPr>
              <w:jc w:val="center"/>
              <w:ind w:left="48"/>
              <w:spacing w:after="0"/>
              <w:rPr>
                <w:sz w:val="20"/>
                <w:szCs w:val="20"/>
                <w:color w:val="auto"/>
              </w:rPr>
            </w:pPr>
            <w:r>
              <w:rPr>
                <w:rFonts w:ascii="Arial" w:cs="Arial" w:eastAsia="Arial" w:hAnsi="Arial"/>
                <w:sz w:val="14"/>
                <w:szCs w:val="14"/>
                <w:color w:val="auto"/>
              </w:rPr>
              <w:t>65,959</w:t>
            </w: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15,905</w:t>
            </w:r>
          </w:p>
        </w:tc>
        <w:tc>
          <w:tcPr>
            <w:tcW w:w="1060" w:type="dxa"/>
            <w:vAlign w:val="bottom"/>
          </w:tcPr>
          <w:p>
            <w:pPr>
              <w:jc w:val="center"/>
              <w:spacing w:after="0"/>
              <w:rPr>
                <w:sz w:val="20"/>
                <w:szCs w:val="20"/>
                <w:color w:val="auto"/>
              </w:rPr>
            </w:pPr>
            <w:r>
              <w:rPr>
                <w:rFonts w:ascii="Arial" w:cs="Arial" w:eastAsia="Arial" w:hAnsi="Arial"/>
                <w:sz w:val="14"/>
                <w:szCs w:val="14"/>
                <w:color w:val="auto"/>
              </w:rPr>
              <w:t>2,950,471</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Brett R. Whitmire</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b w:val="1"/>
                <w:bCs w:val="1"/>
                <w:color w:val="auto"/>
              </w:rPr>
              <w:t>2025</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350,000</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b w:val="1"/>
                <w:bCs w:val="1"/>
                <w:color w:val="auto"/>
              </w:rPr>
              <w:t>903,200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b w:val="1"/>
                <w:bCs w:val="1"/>
                <w:color w:val="auto"/>
              </w:rPr>
              <w:t>242,613</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b w:val="1"/>
                <w:bCs w:val="1"/>
                <w:color w:val="auto"/>
              </w:rPr>
              <w:t>50,441</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1,546,254</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Chief Financial Officer</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330,000</w:t>
            </w:r>
          </w:p>
        </w:tc>
        <w:tc>
          <w:tcPr>
            <w:tcW w:w="1120" w:type="dxa"/>
            <w:vAlign w:val="bottom"/>
            <w:gridSpan w:val="2"/>
            <w:shd w:val="clear" w:color="auto" w:fill="CFF0FC"/>
          </w:tcPr>
          <w:p>
            <w:pPr>
              <w:jc w:val="center"/>
              <w:ind w:left="50"/>
              <w:spacing w:after="0"/>
              <w:rPr>
                <w:sz w:val="20"/>
                <w:szCs w:val="20"/>
                <w:color w:val="auto"/>
              </w:rPr>
            </w:pPr>
            <w:r>
              <w:rPr>
                <w:rFonts w:ascii="Arial" w:cs="Arial" w:eastAsia="Arial" w:hAnsi="Arial"/>
                <w:sz w:val="14"/>
                <w:szCs w:val="14"/>
                <w:color w:val="auto"/>
              </w:rPr>
              <w:t>825,818</w:t>
            </w:r>
          </w:p>
        </w:tc>
        <w:tc>
          <w:tcPr>
            <w:tcW w:w="14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28,494</w:t>
            </w: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53,066</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1,237,378</w:t>
            </w:r>
          </w:p>
        </w:tc>
      </w:tr>
      <w:tr>
        <w:trPr>
          <w:trHeight w:val="162"/>
        </w:trPr>
        <w:tc>
          <w:tcPr>
            <w:tcW w:w="38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color w:val="auto"/>
              </w:rPr>
              <w:t>328,301</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color w:val="auto"/>
              </w:rPr>
              <w:t>1,680,300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color w:val="auto"/>
              </w:rPr>
              <w:t>48,370</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color w:val="auto"/>
              </w:rPr>
              <w:t>52,622</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color w:val="auto"/>
              </w:rPr>
              <w:t>2,109,594</w:t>
            </w: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b w:val="1"/>
                <w:bCs w:val="1"/>
                <w:color w:val="auto"/>
              </w:rPr>
              <w:t>Francis Tang</w:t>
            </w:r>
          </w:p>
        </w:tc>
        <w:tc>
          <w:tcPr>
            <w:tcW w:w="900" w:type="dxa"/>
            <w:vAlign w:val="bottom"/>
            <w:gridSpan w:val="2"/>
          </w:tcPr>
          <w:p>
            <w:pPr>
              <w:jc w:val="center"/>
              <w:ind w:left="68"/>
              <w:spacing w:after="0" w:line="153"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410,000</w:t>
            </w:r>
          </w:p>
        </w:tc>
        <w:tc>
          <w:tcPr>
            <w:tcW w:w="1120" w:type="dxa"/>
            <w:vAlign w:val="bottom"/>
            <w:gridSpan w:val="2"/>
          </w:tcPr>
          <w:p>
            <w:pPr>
              <w:jc w:val="center"/>
              <w:ind w:left="50"/>
              <w:spacing w:after="0" w:line="153" w:lineRule="exact"/>
              <w:rPr>
                <w:sz w:val="20"/>
                <w:szCs w:val="20"/>
                <w:color w:val="auto"/>
              </w:rPr>
            </w:pPr>
            <w:r>
              <w:rPr>
                <w:rFonts w:ascii="Arial" w:cs="Arial" w:eastAsia="Arial" w:hAnsi="Arial"/>
                <w:sz w:val="14"/>
                <w:szCs w:val="14"/>
                <w:b w:val="1"/>
                <w:bCs w:val="1"/>
                <w:color w:val="auto"/>
              </w:rPr>
              <w:t>903,200</w:t>
            </w:r>
          </w:p>
        </w:tc>
        <w:tc>
          <w:tcPr>
            <w:tcW w:w="1440" w:type="dxa"/>
            <w:vAlign w:val="bottom"/>
            <w:gridSpan w:val="2"/>
          </w:tcPr>
          <w:p>
            <w:pPr>
              <w:jc w:val="center"/>
              <w:ind w:left="48"/>
              <w:spacing w:after="0" w:line="153" w:lineRule="exact"/>
              <w:rPr>
                <w:sz w:val="20"/>
                <w:szCs w:val="20"/>
                <w:color w:val="auto"/>
              </w:rPr>
            </w:pPr>
            <w:r>
              <w:rPr>
                <w:rFonts w:ascii="Arial" w:cs="Arial" w:eastAsia="Arial" w:hAnsi="Arial"/>
                <w:sz w:val="14"/>
                <w:szCs w:val="14"/>
                <w:b w:val="1"/>
                <w:bCs w:val="1"/>
                <w:color w:val="auto"/>
              </w:rPr>
              <w:t>284,204</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38,441</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1,635,845</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Chief Technology Officer</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410,000</w:t>
            </w:r>
          </w:p>
        </w:tc>
        <w:tc>
          <w:tcPr>
            <w:tcW w:w="1120" w:type="dxa"/>
            <w:vAlign w:val="bottom"/>
            <w:gridSpan w:val="2"/>
          </w:tcPr>
          <w:p>
            <w:pPr>
              <w:jc w:val="center"/>
              <w:ind w:left="50"/>
              <w:spacing w:after="0"/>
              <w:rPr>
                <w:sz w:val="20"/>
                <w:szCs w:val="20"/>
                <w:color w:val="auto"/>
              </w:rPr>
            </w:pPr>
            <w:r>
              <w:rPr>
                <w:rFonts w:ascii="Arial" w:cs="Arial" w:eastAsia="Arial" w:hAnsi="Arial"/>
                <w:sz w:val="14"/>
                <w:szCs w:val="14"/>
                <w:color w:val="auto"/>
              </w:rPr>
              <w:t>974,736</w:t>
            </w:r>
          </w:p>
        </w:tc>
        <w:tc>
          <w:tcPr>
            <w:tcW w:w="1440" w:type="dxa"/>
            <w:vAlign w:val="bottom"/>
            <w:gridSpan w:val="2"/>
          </w:tcPr>
          <w:p>
            <w:pPr>
              <w:jc w:val="center"/>
              <w:ind w:left="48"/>
              <w:spacing w:after="0"/>
              <w:rPr>
                <w:sz w:val="20"/>
                <w:szCs w:val="20"/>
                <w:color w:val="auto"/>
              </w:rPr>
            </w:pPr>
            <w:r>
              <w:rPr>
                <w:rFonts w:ascii="Arial" w:cs="Arial" w:eastAsia="Arial" w:hAnsi="Arial"/>
                <w:sz w:val="14"/>
                <w:szCs w:val="14"/>
                <w:color w:val="auto"/>
              </w:rPr>
              <w:t>59,519</w:t>
            </w: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36,445</w:t>
            </w:r>
          </w:p>
        </w:tc>
        <w:tc>
          <w:tcPr>
            <w:tcW w:w="1060" w:type="dxa"/>
            <w:vAlign w:val="bottom"/>
          </w:tcPr>
          <w:p>
            <w:pPr>
              <w:jc w:val="center"/>
              <w:spacing w:after="0"/>
              <w:rPr>
                <w:sz w:val="20"/>
                <w:szCs w:val="20"/>
                <w:color w:val="auto"/>
              </w:rPr>
            </w:pPr>
            <w:r>
              <w:rPr>
                <w:rFonts w:ascii="Arial" w:cs="Arial" w:eastAsia="Arial" w:hAnsi="Arial"/>
                <w:sz w:val="14"/>
                <w:szCs w:val="14"/>
                <w:color w:val="auto"/>
              </w:rPr>
              <w:t>1,480,700</w:t>
            </w:r>
          </w:p>
        </w:tc>
      </w:tr>
      <w:tr>
        <w:trPr>
          <w:trHeight w:val="171"/>
        </w:trPr>
        <w:tc>
          <w:tcPr>
            <w:tcW w:w="3820" w:type="dxa"/>
            <w:vAlign w:val="bottom"/>
          </w:tcPr>
          <w:p>
            <w:pPr>
              <w:spacing w:after="0"/>
              <w:rPr>
                <w:sz w:val="14"/>
                <w:szCs w:val="14"/>
                <w:color w:val="auto"/>
              </w:rPr>
            </w:pP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409,151</w:t>
            </w:r>
          </w:p>
        </w:tc>
        <w:tc>
          <w:tcPr>
            <w:tcW w:w="1120" w:type="dxa"/>
            <w:vAlign w:val="bottom"/>
            <w:gridSpan w:val="2"/>
          </w:tcPr>
          <w:p>
            <w:pPr>
              <w:jc w:val="center"/>
              <w:ind w:left="50"/>
              <w:spacing w:after="0"/>
              <w:rPr>
                <w:sz w:val="20"/>
                <w:szCs w:val="20"/>
                <w:color w:val="auto"/>
              </w:rPr>
            </w:pPr>
            <w:r>
              <w:rPr>
                <w:rFonts w:ascii="Arial" w:cs="Arial" w:eastAsia="Arial" w:hAnsi="Arial"/>
                <w:sz w:val="14"/>
                <w:szCs w:val="14"/>
                <w:color w:val="auto"/>
              </w:rPr>
              <w:t>1,680,300</w:t>
            </w:r>
          </w:p>
        </w:tc>
        <w:tc>
          <w:tcPr>
            <w:tcW w:w="1440" w:type="dxa"/>
            <w:vAlign w:val="bottom"/>
            <w:gridSpan w:val="2"/>
          </w:tcPr>
          <w:p>
            <w:pPr>
              <w:jc w:val="center"/>
              <w:ind w:left="48"/>
              <w:spacing w:after="0"/>
              <w:rPr>
                <w:sz w:val="20"/>
                <w:szCs w:val="20"/>
                <w:color w:val="auto"/>
              </w:rPr>
            </w:pPr>
            <w:r>
              <w:rPr>
                <w:rFonts w:ascii="Arial" w:cs="Arial" w:eastAsia="Arial" w:hAnsi="Arial"/>
                <w:sz w:val="14"/>
                <w:szCs w:val="14"/>
                <w:color w:val="auto"/>
              </w:rPr>
              <w:t>48,370</w:t>
            </w: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30,699</w:t>
            </w:r>
          </w:p>
        </w:tc>
        <w:tc>
          <w:tcPr>
            <w:tcW w:w="1060" w:type="dxa"/>
            <w:vAlign w:val="bottom"/>
          </w:tcPr>
          <w:p>
            <w:pPr>
              <w:jc w:val="center"/>
              <w:spacing w:after="0"/>
              <w:rPr>
                <w:sz w:val="20"/>
                <w:szCs w:val="20"/>
                <w:color w:val="auto"/>
              </w:rPr>
            </w:pPr>
            <w:r>
              <w:rPr>
                <w:rFonts w:ascii="Arial" w:cs="Arial" w:eastAsia="Arial" w:hAnsi="Arial"/>
                <w:sz w:val="14"/>
                <w:szCs w:val="14"/>
                <w:color w:val="auto"/>
              </w:rPr>
              <w:t>2,168,520</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Andy (Kuo-Ting) Tsong</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b w:val="1"/>
                <w:bCs w:val="1"/>
                <w:color w:val="auto"/>
              </w:rPr>
              <w:t>2025</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350,000</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b w:val="1"/>
                <w:bCs w:val="1"/>
                <w:color w:val="auto"/>
              </w:rPr>
              <w:t>903,200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b w:val="1"/>
                <w:bCs w:val="1"/>
                <w:color w:val="auto"/>
              </w:rPr>
              <w:t>242,613</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b w:val="1"/>
                <w:bCs w:val="1"/>
                <w:color w:val="auto"/>
              </w:rPr>
              <w:t>50,555</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1,546,368</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Senior Vice President</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330,000</w:t>
            </w:r>
          </w:p>
        </w:tc>
        <w:tc>
          <w:tcPr>
            <w:tcW w:w="1120" w:type="dxa"/>
            <w:vAlign w:val="bottom"/>
            <w:gridSpan w:val="2"/>
            <w:shd w:val="clear" w:color="auto" w:fill="CFF0FC"/>
          </w:tcPr>
          <w:p>
            <w:pPr>
              <w:jc w:val="center"/>
              <w:ind w:left="50"/>
              <w:spacing w:after="0"/>
              <w:rPr>
                <w:sz w:val="20"/>
                <w:szCs w:val="20"/>
                <w:color w:val="auto"/>
              </w:rPr>
            </w:pPr>
            <w:r>
              <w:rPr>
                <w:rFonts w:ascii="Arial" w:cs="Arial" w:eastAsia="Arial" w:hAnsi="Arial"/>
                <w:sz w:val="14"/>
                <w:szCs w:val="14"/>
                <w:color w:val="auto"/>
              </w:rPr>
              <w:t>825,818</w:t>
            </w:r>
          </w:p>
        </w:tc>
        <w:tc>
          <w:tcPr>
            <w:tcW w:w="14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28,494</w:t>
            </w: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35,387</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1,219,699</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Worldwide Products Group</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color w:val="auto"/>
              </w:rPr>
              <w:t>324,080</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color w:val="auto"/>
              </w:rPr>
              <w:t>1,680,300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color w:val="auto"/>
              </w:rPr>
              <w:t>48,370</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color w:val="auto"/>
              </w:rPr>
              <w:t>38,551</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color w:val="auto"/>
              </w:rPr>
              <w:t>2,091,301</w:t>
            </w:r>
          </w:p>
        </w:tc>
      </w:tr>
      <w:tr>
        <w:trPr>
          <w:trHeight w:val="153"/>
        </w:trPr>
        <w:tc>
          <w:tcPr>
            <w:tcW w:w="3820" w:type="dxa"/>
            <w:vAlign w:val="bottom"/>
          </w:tcPr>
          <w:p>
            <w:pPr>
              <w:spacing w:after="0" w:line="153" w:lineRule="exact"/>
              <w:rPr>
                <w:sz w:val="20"/>
                <w:szCs w:val="20"/>
                <w:color w:val="auto"/>
              </w:rPr>
            </w:pPr>
            <w:r>
              <w:rPr>
                <w:rFonts w:ascii="Arial" w:cs="Arial" w:eastAsia="Arial" w:hAnsi="Arial"/>
                <w:sz w:val="14"/>
                <w:szCs w:val="14"/>
                <w:b w:val="1"/>
                <w:bCs w:val="1"/>
                <w:color w:val="auto"/>
              </w:rPr>
              <w:t>Emily Yang</w:t>
            </w:r>
          </w:p>
        </w:tc>
        <w:tc>
          <w:tcPr>
            <w:tcW w:w="900" w:type="dxa"/>
            <w:vAlign w:val="bottom"/>
            <w:gridSpan w:val="2"/>
          </w:tcPr>
          <w:p>
            <w:pPr>
              <w:jc w:val="center"/>
              <w:ind w:left="68"/>
              <w:spacing w:after="0" w:line="153"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350,000</w:t>
            </w:r>
          </w:p>
        </w:tc>
        <w:tc>
          <w:tcPr>
            <w:tcW w:w="1120" w:type="dxa"/>
            <w:vAlign w:val="bottom"/>
            <w:gridSpan w:val="2"/>
          </w:tcPr>
          <w:p>
            <w:pPr>
              <w:jc w:val="center"/>
              <w:ind w:left="50"/>
              <w:spacing w:after="0" w:line="153" w:lineRule="exact"/>
              <w:rPr>
                <w:sz w:val="20"/>
                <w:szCs w:val="20"/>
                <w:color w:val="auto"/>
              </w:rPr>
            </w:pPr>
            <w:r>
              <w:rPr>
                <w:rFonts w:ascii="Arial" w:cs="Arial" w:eastAsia="Arial" w:hAnsi="Arial"/>
                <w:sz w:val="14"/>
                <w:szCs w:val="14"/>
                <w:b w:val="1"/>
                <w:bCs w:val="1"/>
                <w:color w:val="auto"/>
              </w:rPr>
              <w:t>903,200</w:t>
            </w:r>
          </w:p>
        </w:tc>
        <w:tc>
          <w:tcPr>
            <w:tcW w:w="1440" w:type="dxa"/>
            <w:vAlign w:val="bottom"/>
            <w:gridSpan w:val="2"/>
          </w:tcPr>
          <w:p>
            <w:pPr>
              <w:jc w:val="center"/>
              <w:ind w:left="48"/>
              <w:spacing w:after="0" w:line="153" w:lineRule="exact"/>
              <w:rPr>
                <w:sz w:val="20"/>
                <w:szCs w:val="20"/>
                <w:color w:val="auto"/>
              </w:rPr>
            </w:pPr>
            <w:r>
              <w:rPr>
                <w:rFonts w:ascii="Arial" w:cs="Arial" w:eastAsia="Arial" w:hAnsi="Arial"/>
                <w:sz w:val="14"/>
                <w:szCs w:val="14"/>
                <w:b w:val="1"/>
                <w:bCs w:val="1"/>
                <w:color w:val="auto"/>
              </w:rPr>
              <w:t>242,613</w:t>
            </w:r>
          </w:p>
        </w:tc>
        <w:tc>
          <w:tcPr>
            <w:tcW w:w="14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47,624</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1,543,437</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Senior Vice President</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330,000</w:t>
            </w:r>
          </w:p>
        </w:tc>
        <w:tc>
          <w:tcPr>
            <w:tcW w:w="1120" w:type="dxa"/>
            <w:vAlign w:val="bottom"/>
            <w:gridSpan w:val="2"/>
          </w:tcPr>
          <w:p>
            <w:pPr>
              <w:jc w:val="center"/>
              <w:ind w:left="50"/>
              <w:spacing w:after="0"/>
              <w:rPr>
                <w:sz w:val="20"/>
                <w:szCs w:val="20"/>
                <w:color w:val="auto"/>
              </w:rPr>
            </w:pPr>
            <w:r>
              <w:rPr>
                <w:rFonts w:ascii="Arial" w:cs="Arial" w:eastAsia="Arial" w:hAnsi="Arial"/>
                <w:sz w:val="14"/>
                <w:szCs w:val="14"/>
                <w:color w:val="auto"/>
              </w:rPr>
              <w:t>825,818</w:t>
            </w:r>
          </w:p>
        </w:tc>
        <w:tc>
          <w:tcPr>
            <w:tcW w:w="1440" w:type="dxa"/>
            <w:vAlign w:val="bottom"/>
            <w:gridSpan w:val="2"/>
          </w:tcPr>
          <w:p>
            <w:pPr>
              <w:jc w:val="center"/>
              <w:ind w:left="48"/>
              <w:spacing w:after="0"/>
              <w:rPr>
                <w:sz w:val="20"/>
                <w:szCs w:val="20"/>
                <w:color w:val="auto"/>
              </w:rPr>
            </w:pPr>
            <w:r>
              <w:rPr>
                <w:rFonts w:ascii="Arial" w:cs="Arial" w:eastAsia="Arial" w:hAnsi="Arial"/>
                <w:sz w:val="14"/>
                <w:szCs w:val="14"/>
                <w:color w:val="auto"/>
              </w:rPr>
              <w:t>28,494</w:t>
            </w: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36,445</w:t>
            </w:r>
          </w:p>
        </w:tc>
        <w:tc>
          <w:tcPr>
            <w:tcW w:w="1060" w:type="dxa"/>
            <w:vAlign w:val="bottom"/>
          </w:tcPr>
          <w:p>
            <w:pPr>
              <w:jc w:val="center"/>
              <w:spacing w:after="0"/>
              <w:rPr>
                <w:sz w:val="20"/>
                <w:szCs w:val="20"/>
                <w:color w:val="auto"/>
              </w:rPr>
            </w:pPr>
            <w:r>
              <w:rPr>
                <w:rFonts w:ascii="Arial" w:cs="Arial" w:eastAsia="Arial" w:hAnsi="Arial"/>
                <w:sz w:val="14"/>
                <w:szCs w:val="14"/>
                <w:color w:val="auto"/>
              </w:rPr>
              <w:t>1,220,757</w:t>
            </w:r>
          </w:p>
        </w:tc>
      </w:tr>
      <w:tr>
        <w:trPr>
          <w:trHeight w:val="171"/>
        </w:trPr>
        <w:tc>
          <w:tcPr>
            <w:tcW w:w="3820" w:type="dxa"/>
            <w:vAlign w:val="bottom"/>
          </w:tcPr>
          <w:p>
            <w:pPr>
              <w:spacing w:after="0"/>
              <w:rPr>
                <w:sz w:val="20"/>
                <w:szCs w:val="20"/>
                <w:color w:val="auto"/>
              </w:rPr>
            </w:pPr>
            <w:r>
              <w:rPr>
                <w:rFonts w:ascii="Arial" w:cs="Arial" w:eastAsia="Arial" w:hAnsi="Arial"/>
                <w:sz w:val="14"/>
                <w:szCs w:val="14"/>
                <w:color w:val="auto"/>
              </w:rPr>
              <w:t>Worldwide Sales and Marketing</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328,301</w:t>
            </w:r>
          </w:p>
        </w:tc>
        <w:tc>
          <w:tcPr>
            <w:tcW w:w="1120" w:type="dxa"/>
            <w:vAlign w:val="bottom"/>
            <w:gridSpan w:val="2"/>
          </w:tcPr>
          <w:p>
            <w:pPr>
              <w:jc w:val="center"/>
              <w:ind w:left="50"/>
              <w:spacing w:after="0"/>
              <w:rPr>
                <w:sz w:val="20"/>
                <w:szCs w:val="20"/>
                <w:color w:val="auto"/>
              </w:rPr>
            </w:pPr>
            <w:r>
              <w:rPr>
                <w:rFonts w:ascii="Arial" w:cs="Arial" w:eastAsia="Arial" w:hAnsi="Arial"/>
                <w:sz w:val="14"/>
                <w:szCs w:val="14"/>
                <w:color w:val="auto"/>
              </w:rPr>
              <w:t>1,680,300</w:t>
            </w:r>
          </w:p>
        </w:tc>
        <w:tc>
          <w:tcPr>
            <w:tcW w:w="1440" w:type="dxa"/>
            <w:vAlign w:val="bottom"/>
            <w:gridSpan w:val="2"/>
          </w:tcPr>
          <w:p>
            <w:pPr>
              <w:jc w:val="center"/>
              <w:ind w:left="48"/>
              <w:spacing w:after="0"/>
              <w:rPr>
                <w:sz w:val="20"/>
                <w:szCs w:val="20"/>
                <w:color w:val="auto"/>
              </w:rPr>
            </w:pPr>
            <w:r>
              <w:rPr>
                <w:rFonts w:ascii="Arial" w:cs="Arial" w:eastAsia="Arial" w:hAnsi="Arial"/>
                <w:sz w:val="14"/>
                <w:szCs w:val="14"/>
                <w:color w:val="auto"/>
              </w:rPr>
              <w:t>48,370</w:t>
            </w: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44,997</w:t>
            </w:r>
          </w:p>
        </w:tc>
        <w:tc>
          <w:tcPr>
            <w:tcW w:w="1060" w:type="dxa"/>
            <w:vAlign w:val="bottom"/>
          </w:tcPr>
          <w:p>
            <w:pPr>
              <w:jc w:val="center"/>
              <w:spacing w:after="0"/>
              <w:rPr>
                <w:sz w:val="20"/>
                <w:szCs w:val="20"/>
                <w:color w:val="auto"/>
              </w:rPr>
            </w:pPr>
            <w:r>
              <w:rPr>
                <w:rFonts w:ascii="Arial" w:cs="Arial" w:eastAsia="Arial" w:hAnsi="Arial"/>
                <w:sz w:val="14"/>
                <w:szCs w:val="14"/>
                <w:color w:val="auto"/>
              </w:rPr>
              <w:t>2,101,968</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Jin Zhao</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b w:val="1"/>
                <w:bCs w:val="1"/>
                <w:color w:val="auto"/>
              </w:rPr>
              <w:t>2025</w:t>
            </w:r>
          </w:p>
        </w:tc>
        <w:tc>
          <w:tcPr>
            <w:tcW w:w="140" w:type="dxa"/>
            <w:vAlign w:val="bottom"/>
            <w:shd w:val="clear" w:color="auto" w:fill="CFF0FC"/>
          </w:tcPr>
          <w:p>
            <w:pPr>
              <w:spacing w:after="0"/>
              <w:rPr>
                <w:sz w:val="14"/>
                <w:szCs w:val="14"/>
                <w:color w:val="auto"/>
              </w:rPr>
            </w:pP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350,000</w:t>
            </w:r>
          </w:p>
        </w:tc>
        <w:tc>
          <w:tcPr>
            <w:tcW w:w="1120" w:type="dxa"/>
            <w:vAlign w:val="bottom"/>
            <w:gridSpan w:val="2"/>
            <w:shd w:val="clear" w:color="auto" w:fill="CFF0FA"/>
          </w:tcPr>
          <w:p>
            <w:pPr>
              <w:jc w:val="center"/>
              <w:ind w:left="50"/>
              <w:spacing w:after="0"/>
              <w:rPr>
                <w:sz w:val="20"/>
                <w:szCs w:val="20"/>
                <w:color w:val="auto"/>
              </w:rPr>
            </w:pPr>
            <w:r>
              <w:rPr>
                <w:rFonts w:ascii="Arial" w:cs="Arial" w:eastAsia="Arial" w:hAnsi="Arial"/>
                <w:sz w:val="14"/>
                <w:szCs w:val="14"/>
                <w:b w:val="1"/>
                <w:bCs w:val="1"/>
                <w:color w:val="auto"/>
              </w:rPr>
              <w:t>903,200</w:t>
            </w:r>
          </w:p>
        </w:tc>
        <w:tc>
          <w:tcPr>
            <w:tcW w:w="1440" w:type="dxa"/>
            <w:vAlign w:val="bottom"/>
            <w:gridSpan w:val="2"/>
            <w:shd w:val="clear" w:color="auto" w:fill="CFF0FA"/>
          </w:tcPr>
          <w:p>
            <w:pPr>
              <w:jc w:val="center"/>
              <w:ind w:left="48"/>
              <w:spacing w:after="0"/>
              <w:rPr>
                <w:sz w:val="20"/>
                <w:szCs w:val="20"/>
                <w:color w:val="auto"/>
              </w:rPr>
            </w:pPr>
            <w:r>
              <w:rPr>
                <w:rFonts w:ascii="Arial" w:cs="Arial" w:eastAsia="Arial" w:hAnsi="Arial"/>
                <w:sz w:val="14"/>
                <w:szCs w:val="14"/>
                <w:b w:val="1"/>
                <w:bCs w:val="1"/>
                <w:color w:val="auto"/>
              </w:rPr>
              <w:t>242,613</w:t>
            </w:r>
          </w:p>
        </w:tc>
        <w:tc>
          <w:tcPr>
            <w:tcW w:w="1420" w:type="dxa"/>
            <w:vAlign w:val="bottom"/>
            <w:gridSpan w:val="2"/>
            <w:shd w:val="clear" w:color="auto" w:fill="CFF0FA"/>
          </w:tcPr>
          <w:p>
            <w:pPr>
              <w:jc w:val="center"/>
              <w:spacing w:after="0"/>
              <w:rPr>
                <w:sz w:val="20"/>
                <w:szCs w:val="20"/>
                <w:color w:val="auto"/>
              </w:rPr>
            </w:pPr>
            <w:r>
              <w:rPr>
                <w:rFonts w:ascii="Arial" w:cs="Arial" w:eastAsia="Arial" w:hAnsi="Arial"/>
                <w:sz w:val="14"/>
                <w:szCs w:val="14"/>
                <w:b w:val="1"/>
                <w:bCs w:val="1"/>
                <w:color w:val="auto"/>
              </w:rPr>
              <w:t>69,834</w:t>
            </w:r>
          </w:p>
        </w:tc>
        <w:tc>
          <w:tcPr>
            <w:tcW w:w="106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1,565,647</w:t>
            </w:r>
          </w:p>
        </w:tc>
      </w:tr>
      <w:tr>
        <w:trPr>
          <w:trHeight w:val="162"/>
        </w:trPr>
        <w:tc>
          <w:tcPr>
            <w:tcW w:w="3820" w:type="dxa"/>
            <w:vAlign w:val="bottom"/>
            <w:shd w:val="clear" w:color="auto" w:fill="CFF0FC"/>
          </w:tcPr>
          <w:p>
            <w:pPr>
              <w:spacing w:after="0"/>
              <w:rPr>
                <w:sz w:val="20"/>
                <w:szCs w:val="20"/>
                <w:color w:val="auto"/>
              </w:rPr>
            </w:pPr>
            <w:r>
              <w:rPr>
                <w:rFonts w:ascii="Arial" w:cs="Arial" w:eastAsia="Arial" w:hAnsi="Arial"/>
                <w:sz w:val="14"/>
                <w:szCs w:val="14"/>
                <w:color w:val="auto"/>
              </w:rPr>
              <w:t>Senior Vice President, Worldwide</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rPr>
              <w:t>2024</w:t>
            </w: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330,000</w:t>
            </w:r>
          </w:p>
        </w:tc>
        <w:tc>
          <w:tcPr>
            <w:tcW w:w="1120" w:type="dxa"/>
            <w:vAlign w:val="bottom"/>
            <w:gridSpan w:val="2"/>
            <w:shd w:val="clear" w:color="auto" w:fill="CFF0FC"/>
          </w:tcPr>
          <w:p>
            <w:pPr>
              <w:jc w:val="center"/>
              <w:ind w:left="50"/>
              <w:spacing w:after="0"/>
              <w:rPr>
                <w:sz w:val="20"/>
                <w:szCs w:val="20"/>
                <w:color w:val="auto"/>
              </w:rPr>
            </w:pPr>
            <w:r>
              <w:rPr>
                <w:rFonts w:ascii="Arial" w:cs="Arial" w:eastAsia="Arial" w:hAnsi="Arial"/>
                <w:sz w:val="14"/>
                <w:szCs w:val="14"/>
                <w:color w:val="auto"/>
              </w:rPr>
              <w:t>825,818</w:t>
            </w:r>
          </w:p>
        </w:tc>
        <w:tc>
          <w:tcPr>
            <w:tcW w:w="14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28,494</w:t>
            </w:r>
          </w:p>
        </w:tc>
        <w:tc>
          <w:tcPr>
            <w:tcW w:w="142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38,387</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1,222,699</w:t>
            </w:r>
          </w:p>
        </w:tc>
      </w:tr>
      <w:tr>
        <w:trPr>
          <w:trHeight w:val="162"/>
        </w:trPr>
        <w:tc>
          <w:tcPr>
            <w:tcW w:w="3820" w:type="dxa"/>
            <w:vAlign w:val="bottom"/>
            <w:tcBorders>
              <w:bottom w:val="single" w:sz="8" w:color="005CA9"/>
            </w:tcBorders>
            <w:shd w:val="clear" w:color="auto" w:fill="CFF0FC"/>
          </w:tcPr>
          <w:p>
            <w:pPr>
              <w:spacing w:after="0"/>
              <w:rPr>
                <w:sz w:val="20"/>
                <w:szCs w:val="20"/>
                <w:color w:val="auto"/>
              </w:rPr>
            </w:pPr>
            <w:r>
              <w:rPr>
                <w:rFonts w:ascii="Arial" w:cs="Arial" w:eastAsia="Arial" w:hAnsi="Arial"/>
                <w:sz w:val="14"/>
                <w:szCs w:val="14"/>
                <w:color w:val="auto"/>
              </w:rPr>
              <w:t>Manufacturing Quality and Asia President</w:t>
            </w: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005CA9"/>
            </w:tcBorders>
            <w:shd w:val="clear" w:color="auto" w:fill="CFF0FC"/>
          </w:tcPr>
          <w:p>
            <w:pPr>
              <w:jc w:val="center"/>
              <w:spacing w:after="0"/>
              <w:rPr>
                <w:sz w:val="20"/>
                <w:szCs w:val="20"/>
                <w:color w:val="auto"/>
              </w:rPr>
            </w:pPr>
            <w:r>
              <w:rPr>
                <w:rFonts w:ascii="Arial" w:cs="Arial" w:eastAsia="Arial" w:hAnsi="Arial"/>
                <w:sz w:val="14"/>
                <w:szCs w:val="14"/>
                <w:color w:val="auto"/>
              </w:rPr>
              <w:t>2023</w:t>
            </w:r>
          </w:p>
        </w:tc>
        <w:tc>
          <w:tcPr>
            <w:tcW w:w="1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005CA9"/>
            </w:tcBorders>
            <w:shd w:val="clear" w:color="auto" w:fill="CFF0FA"/>
          </w:tcPr>
          <w:p>
            <w:pPr>
              <w:jc w:val="center"/>
              <w:spacing w:after="0"/>
              <w:rPr>
                <w:sz w:val="20"/>
                <w:szCs w:val="20"/>
                <w:color w:val="auto"/>
              </w:rPr>
            </w:pPr>
            <w:r>
              <w:rPr>
                <w:rFonts w:ascii="Arial" w:cs="Arial" w:eastAsia="Arial" w:hAnsi="Arial"/>
                <w:sz w:val="14"/>
                <w:szCs w:val="14"/>
                <w:color w:val="auto"/>
              </w:rPr>
              <w:t>328,301</w:t>
            </w:r>
          </w:p>
        </w:tc>
        <w:tc>
          <w:tcPr>
            <w:tcW w:w="160" w:type="dxa"/>
            <w:vAlign w:val="bottom"/>
            <w:tcBorders>
              <w:bottom w:val="single" w:sz="8" w:color="auto"/>
            </w:tcBorders>
            <w:shd w:val="clear" w:color="auto" w:fill="CFF0FA"/>
          </w:tcPr>
          <w:p>
            <w:pPr>
              <w:spacing w:after="0"/>
              <w:rPr>
                <w:sz w:val="14"/>
                <w:szCs w:val="14"/>
                <w:color w:val="auto"/>
              </w:rPr>
            </w:pPr>
          </w:p>
        </w:tc>
        <w:tc>
          <w:tcPr>
            <w:tcW w:w="960" w:type="dxa"/>
            <w:vAlign w:val="bottom"/>
            <w:tcBorders>
              <w:bottom w:val="single" w:sz="8" w:color="005CA9"/>
            </w:tcBorders>
            <w:shd w:val="clear" w:color="auto" w:fill="CFF0FA"/>
          </w:tcPr>
          <w:p>
            <w:pPr>
              <w:jc w:val="center"/>
              <w:spacing w:after="0"/>
              <w:rPr>
                <w:sz w:val="20"/>
                <w:szCs w:val="20"/>
                <w:color w:val="auto"/>
              </w:rPr>
            </w:pPr>
            <w:r>
              <w:rPr>
                <w:rFonts w:ascii="Arial" w:cs="Arial" w:eastAsia="Arial" w:hAnsi="Arial"/>
                <w:sz w:val="14"/>
                <w:szCs w:val="14"/>
                <w:color w:val="auto"/>
              </w:rPr>
              <w:t>1,680,300</w:t>
            </w:r>
          </w:p>
        </w:tc>
        <w:tc>
          <w:tcPr>
            <w:tcW w:w="120" w:type="dxa"/>
            <w:vAlign w:val="bottom"/>
            <w:tcBorders>
              <w:bottom w:val="single" w:sz="8" w:color="auto"/>
            </w:tcBorders>
            <w:shd w:val="clear" w:color="auto" w:fill="CFF0FA"/>
          </w:tcPr>
          <w:p>
            <w:pPr>
              <w:spacing w:after="0"/>
              <w:rPr>
                <w:sz w:val="14"/>
                <w:szCs w:val="14"/>
                <w:color w:val="auto"/>
              </w:rPr>
            </w:pPr>
          </w:p>
        </w:tc>
        <w:tc>
          <w:tcPr>
            <w:tcW w:w="1320" w:type="dxa"/>
            <w:vAlign w:val="bottom"/>
            <w:tcBorders>
              <w:bottom w:val="single" w:sz="8" w:color="005CA9"/>
            </w:tcBorders>
            <w:shd w:val="clear" w:color="auto" w:fill="CFF0FA"/>
          </w:tcPr>
          <w:p>
            <w:pPr>
              <w:jc w:val="center"/>
              <w:spacing w:after="0"/>
              <w:rPr>
                <w:sz w:val="20"/>
                <w:szCs w:val="20"/>
                <w:color w:val="auto"/>
              </w:rPr>
            </w:pPr>
            <w:r>
              <w:rPr>
                <w:rFonts w:ascii="Arial" w:cs="Arial" w:eastAsia="Arial" w:hAnsi="Arial"/>
                <w:sz w:val="14"/>
                <w:szCs w:val="14"/>
                <w:color w:val="auto"/>
              </w:rPr>
              <w:t>48,370</w:t>
            </w:r>
          </w:p>
        </w:tc>
        <w:tc>
          <w:tcPr>
            <w:tcW w:w="140" w:type="dxa"/>
            <w:vAlign w:val="bottom"/>
            <w:tcBorders>
              <w:bottom w:val="single" w:sz="8" w:color="auto"/>
            </w:tcBorders>
            <w:shd w:val="clear" w:color="auto" w:fill="CFF0FA"/>
          </w:tcPr>
          <w:p>
            <w:pPr>
              <w:spacing w:after="0"/>
              <w:rPr>
                <w:sz w:val="14"/>
                <w:szCs w:val="14"/>
                <w:color w:val="auto"/>
              </w:rPr>
            </w:pPr>
          </w:p>
        </w:tc>
        <w:tc>
          <w:tcPr>
            <w:tcW w:w="1280" w:type="dxa"/>
            <w:vAlign w:val="bottom"/>
            <w:tcBorders>
              <w:bottom w:val="single" w:sz="8" w:color="005CA9"/>
            </w:tcBorders>
            <w:shd w:val="clear" w:color="auto" w:fill="CFF0FA"/>
          </w:tcPr>
          <w:p>
            <w:pPr>
              <w:jc w:val="center"/>
              <w:ind w:right="88"/>
              <w:spacing w:after="0"/>
              <w:rPr>
                <w:sz w:val="20"/>
                <w:szCs w:val="20"/>
                <w:color w:val="auto"/>
              </w:rPr>
            </w:pPr>
            <w:r>
              <w:rPr>
                <w:rFonts w:ascii="Arial" w:cs="Arial" w:eastAsia="Arial" w:hAnsi="Arial"/>
                <w:sz w:val="14"/>
                <w:szCs w:val="14"/>
                <w:color w:val="auto"/>
              </w:rPr>
              <w:t>36,384</w:t>
            </w:r>
          </w:p>
        </w:tc>
        <w:tc>
          <w:tcPr>
            <w:tcW w:w="1060" w:type="dxa"/>
            <w:vAlign w:val="bottom"/>
            <w:tcBorders>
              <w:bottom w:val="single" w:sz="8" w:color="005CA9"/>
            </w:tcBorders>
            <w:shd w:val="clear" w:color="auto" w:fill="CFF0FA"/>
          </w:tcPr>
          <w:p>
            <w:pPr>
              <w:jc w:val="center"/>
              <w:spacing w:after="0"/>
              <w:rPr>
                <w:sz w:val="20"/>
                <w:szCs w:val="20"/>
                <w:color w:val="auto"/>
              </w:rPr>
            </w:pPr>
            <w:r>
              <w:rPr>
                <w:rFonts w:ascii="Arial" w:cs="Arial" w:eastAsia="Arial" w:hAnsi="Arial"/>
                <w:sz w:val="14"/>
                <w:szCs w:val="14"/>
                <w:color w:val="auto"/>
              </w:rPr>
              <w:t>2,093,355</w:t>
            </w:r>
          </w:p>
        </w:tc>
      </w:tr>
    </w:tbl>
    <w:p>
      <w:pPr>
        <w:jc w:val="both"/>
        <w:ind w:left="300" w:hanging="292"/>
        <w:spacing w:after="0"/>
        <w:tabs>
          <w:tab w:leader="none" w:pos="300" w:val="left"/>
        </w:tabs>
        <w:numPr>
          <w:ilvl w:val="0"/>
          <w:numId w:val="32"/>
        </w:numPr>
        <w:rPr>
          <w:rFonts w:ascii="Calibri" w:cs="Calibri" w:eastAsia="Calibri" w:hAnsi="Calibri"/>
          <w:sz w:val="14"/>
          <w:szCs w:val="14"/>
          <w:color w:val="auto"/>
        </w:rPr>
      </w:pPr>
      <w:r>
        <w:rPr>
          <w:rFonts w:ascii="Arial" w:cs="Arial" w:eastAsia="Arial" w:hAnsi="Arial"/>
          <w:sz w:val="14"/>
          <w:szCs w:val="14"/>
          <w:color w:val="auto"/>
        </w:rPr>
        <w:t>Each executive officer’s salary is established in February of each year. Amounts shown represent the amounts earned in each fiscal year. Effective February 1, 2026, the base salaries for Dr. Lu, Messrs. Yu, Whitmire, Tang, Tsong, and Zhao and Ms. Yang were $190,000, $740,000, $415,000, $410,000, $415,000, $415,000 and $415,000 respectively.</w:t>
      </w:r>
    </w:p>
    <w:p>
      <w:pPr>
        <w:spacing w:after="0" w:line="158" w:lineRule="exact"/>
        <w:rPr>
          <w:rFonts w:ascii="Calibri" w:cs="Calibri" w:eastAsia="Calibri" w:hAnsi="Calibri"/>
          <w:sz w:val="14"/>
          <w:szCs w:val="14"/>
          <w:color w:val="auto"/>
        </w:rPr>
      </w:pPr>
    </w:p>
    <w:p>
      <w:pPr>
        <w:jc w:val="both"/>
        <w:ind w:left="300" w:hanging="292"/>
        <w:spacing w:after="0" w:line="164" w:lineRule="exact"/>
        <w:tabs>
          <w:tab w:leader="none" w:pos="300" w:val="left"/>
        </w:tabs>
        <w:numPr>
          <w:ilvl w:val="0"/>
          <w:numId w:val="32"/>
        </w:numPr>
        <w:rPr>
          <w:rFonts w:ascii="Calibri" w:cs="Calibri" w:eastAsia="Calibri" w:hAnsi="Calibri"/>
          <w:sz w:val="14"/>
          <w:szCs w:val="14"/>
          <w:color w:val="auto"/>
        </w:rPr>
      </w:pPr>
      <w:r>
        <w:rPr>
          <w:rFonts w:ascii="Arial" w:cs="Arial" w:eastAsia="Arial" w:hAnsi="Arial"/>
          <w:sz w:val="14"/>
          <w:szCs w:val="14"/>
          <w:color w:val="auto"/>
        </w:rPr>
        <w:t>These amounts reflect the value determined by the Company for accounting purposes for these awards and do not reflect whether each NEO has actually realized a financial benefit from the awards. The value of the equity awards reported in the Stock Awards column (e) above (in the form of RSUs and PSUs) is based on the grant date fair value calculated in accordance with the amount recognized for financial statement reporting purposes. Pursuant to SEC rules, the amounts shown exclude the impact of estimated forfeitures related to service-based vesting conditions. Amounts reported in the Stock Awards column (e) are calculated by multiplying the number of shares subject to the award by the closing price of the Company’s Common Stock on the grant date. See Note 14, Share-Based Compensation, to the Company’s audited financial statements for the fiscal year ended December 31, 2025, included in the Company’s Annual Report on Form 10-K filed with the SEC on February 10, 2026, for a further discussion of the relevant valuation assumptions used in calculating grant date fair value. All restricted stock unit awards vest in four equal annual installments after the date of grant. Performance-based stock unit awards vest according to actual performance compared to pre-established, three</w:t>
      </w:r>
      <w:r>
        <w:rPr>
          <w:rFonts w:ascii="MS PGothic" w:cs="MS PGothic" w:eastAsia="MS PGothic" w:hAnsi="MS PGothic"/>
          <w:sz w:val="14"/>
          <w:szCs w:val="14"/>
          <w:color w:val="auto"/>
        </w:rPr>
        <w:t>‐</w:t>
      </w:r>
      <w:r>
        <w:rPr>
          <w:rFonts w:ascii="Arial" w:cs="Arial" w:eastAsia="Arial" w:hAnsi="Arial"/>
          <w:sz w:val="14"/>
          <w:szCs w:val="14"/>
          <w:color w:val="auto"/>
        </w:rPr>
        <w:t>year absolute financial performance targets.</w:t>
      </w:r>
    </w:p>
    <w:p>
      <w:pPr>
        <w:ind w:left="300" w:hanging="292"/>
        <w:spacing w:after="0" w:line="234" w:lineRule="auto"/>
        <w:tabs>
          <w:tab w:leader="none" w:pos="300" w:val="left"/>
        </w:tabs>
        <w:numPr>
          <w:ilvl w:val="0"/>
          <w:numId w:val="32"/>
        </w:numPr>
        <w:rPr>
          <w:rFonts w:ascii="Calibri" w:cs="Calibri" w:eastAsia="Calibri" w:hAnsi="Calibri"/>
          <w:sz w:val="14"/>
          <w:szCs w:val="14"/>
          <w:color w:val="auto"/>
        </w:rPr>
      </w:pPr>
      <w:r>
        <w:rPr>
          <w:rFonts w:ascii="Arial" w:cs="Arial" w:eastAsia="Arial" w:hAnsi="Arial"/>
          <w:sz w:val="14"/>
          <w:szCs w:val="14"/>
          <w:color w:val="auto"/>
        </w:rPr>
        <w:t>Includes $145,000, $437,100, and $524,220, for 2025, 2024, and 2023, respectively, for Dr. Lu's service as a member of the Company's Board of Directors. Includes $145,000 and $218,550 for 2025 and 2024, respectively, for Mr. Yu's service as a member of the Company's Board of Directors.</w:t>
      </w:r>
    </w:p>
    <w:p>
      <w:pPr>
        <w:jc w:val="both"/>
        <w:ind w:left="300" w:hanging="292"/>
        <w:spacing w:after="0"/>
        <w:tabs>
          <w:tab w:leader="none" w:pos="300" w:val="left"/>
        </w:tabs>
        <w:numPr>
          <w:ilvl w:val="0"/>
          <w:numId w:val="32"/>
        </w:numPr>
        <w:rPr>
          <w:rFonts w:ascii="Calibri" w:cs="Calibri" w:eastAsia="Calibri" w:hAnsi="Calibri"/>
          <w:sz w:val="14"/>
          <w:szCs w:val="14"/>
          <w:color w:val="auto"/>
        </w:rPr>
      </w:pPr>
      <w:r>
        <w:rPr>
          <w:rFonts w:ascii="Arial" w:cs="Arial" w:eastAsia="Arial" w:hAnsi="Arial"/>
          <w:sz w:val="14"/>
          <w:szCs w:val="14"/>
          <w:color w:val="auto"/>
        </w:rPr>
        <w:t>The amount shown is the actual cash bonus paid for each period presented. This amount consists of any performance-based bonus and any discretionary bonus. Under the executive bonus formula that established the target bonus for each executive officer (i) 80% of the bonus was tied to the financial metrics of the Company and (ii) 20% of the bonus was tied to individual goals for each NEO. See “Compensation Discussion and Analysis – Principal Components of Compensation – Annual (Bonus) Incentive Plan.”</w:t>
      </w:r>
    </w:p>
    <w:p>
      <w:pPr>
        <w:spacing w:after="0" w:line="155" w:lineRule="exact"/>
        <w:rPr>
          <w:rFonts w:ascii="Calibri" w:cs="Calibri" w:eastAsia="Calibri" w:hAnsi="Calibri"/>
          <w:sz w:val="14"/>
          <w:szCs w:val="14"/>
          <w:color w:val="auto"/>
        </w:rPr>
      </w:pPr>
    </w:p>
    <w:p>
      <w:pPr>
        <w:jc w:val="both"/>
        <w:ind w:left="300" w:hanging="292"/>
        <w:spacing w:after="0" w:line="242" w:lineRule="auto"/>
        <w:tabs>
          <w:tab w:leader="none" w:pos="300" w:val="left"/>
        </w:tabs>
        <w:numPr>
          <w:ilvl w:val="0"/>
          <w:numId w:val="32"/>
        </w:numPr>
        <w:rPr>
          <w:rFonts w:ascii="Calibri" w:cs="Calibri" w:eastAsia="Calibri" w:hAnsi="Calibri"/>
          <w:sz w:val="14"/>
          <w:szCs w:val="14"/>
          <w:color w:val="auto"/>
        </w:rPr>
      </w:pPr>
      <w:r>
        <w:rPr>
          <w:rFonts w:ascii="Arial" w:cs="Arial" w:eastAsia="Arial" w:hAnsi="Arial"/>
          <w:sz w:val="14"/>
          <w:szCs w:val="14"/>
          <w:color w:val="auto"/>
        </w:rPr>
        <w:t>Certain of the Company’s executive officers receive personal benefits in addition to salary, cash bonuses and share-based compensation, consisting of automobile allowance, medical insurance, dental insurance, vision insurance, employee assistance program, taxable per diem, contributions under the Company’s retirement plans, deferred compensation plan, life insurance payable at the direction of the employee, accidental death and dismemberment insurance (“AD&amp;D”), business travel accident insurance, and short-term and long-term disability insurance. The amount shown in column (i) for “All Other Compensation” includes benefits summarized in the following table for each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0"/>
          <w:szCs w:val="20"/>
          <w:color w:val="auto"/>
        </w:rPr>
        <w:t>The table below sets forth the detail of “All Other Compensation” for each NEO for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20" w:type="dxa"/>
            <w:vAlign w:val="bottom"/>
            <w:tcBorders>
              <w:top w:val="single" w:sz="8" w:color="005CA9"/>
            </w:tcBorders>
          </w:tcPr>
          <w:p>
            <w:pPr>
              <w:spacing w:after="0"/>
              <w:rPr>
                <w:sz w:val="14"/>
                <w:szCs w:val="14"/>
                <w:color w:val="auto"/>
              </w:rPr>
            </w:pPr>
          </w:p>
        </w:tc>
        <w:tc>
          <w:tcPr>
            <w:tcW w:w="1140" w:type="dxa"/>
            <w:vAlign w:val="bottom"/>
            <w:tcBorders>
              <w:top w:val="single" w:sz="8" w:color="005CA9"/>
            </w:tcBorders>
          </w:tcPr>
          <w:p>
            <w:pPr>
              <w:spacing w:after="0"/>
              <w:rPr>
                <w:sz w:val="14"/>
                <w:szCs w:val="14"/>
                <w:color w:val="auto"/>
              </w:rPr>
            </w:pPr>
          </w:p>
        </w:tc>
        <w:tc>
          <w:tcPr>
            <w:tcW w:w="1420" w:type="dxa"/>
            <w:vAlign w:val="bottom"/>
            <w:tcBorders>
              <w:top w:val="single" w:sz="8" w:color="005CA9"/>
            </w:tcBorders>
          </w:tcPr>
          <w:p>
            <w:pPr>
              <w:spacing w:after="0"/>
              <w:rPr>
                <w:sz w:val="14"/>
                <w:szCs w:val="14"/>
                <w:color w:val="auto"/>
              </w:rPr>
            </w:pPr>
          </w:p>
        </w:tc>
        <w:tc>
          <w:tcPr>
            <w:tcW w:w="1260" w:type="dxa"/>
            <w:vAlign w:val="bottom"/>
            <w:tcBorders>
              <w:top w:val="single" w:sz="8" w:color="005CA9"/>
            </w:tcBorders>
          </w:tcPr>
          <w:p>
            <w:pPr>
              <w:spacing w:after="0"/>
              <w:rPr>
                <w:sz w:val="14"/>
                <w:szCs w:val="14"/>
                <w:color w:val="auto"/>
              </w:rPr>
            </w:pPr>
          </w:p>
        </w:tc>
        <w:tc>
          <w:tcPr>
            <w:tcW w:w="1340" w:type="dxa"/>
            <w:vAlign w:val="bottom"/>
            <w:tcBorders>
              <w:top w:val="single" w:sz="8" w:color="005CA9"/>
            </w:tcBorders>
          </w:tcPr>
          <w:p>
            <w:pPr>
              <w:spacing w:after="0"/>
              <w:rPr>
                <w:sz w:val="14"/>
                <w:szCs w:val="14"/>
                <w:color w:val="auto"/>
              </w:rPr>
            </w:pPr>
          </w:p>
        </w:tc>
        <w:tc>
          <w:tcPr>
            <w:tcW w:w="1220" w:type="dxa"/>
            <w:vAlign w:val="bottom"/>
            <w:tcBorders>
              <w:top w:val="single" w:sz="8" w:color="005CA9"/>
            </w:tcBorders>
          </w:tcPr>
          <w:p>
            <w:pPr>
              <w:jc w:val="center"/>
              <w:spacing w:after="0"/>
              <w:rPr>
                <w:sz w:val="20"/>
                <w:szCs w:val="20"/>
                <w:color w:val="auto"/>
              </w:rPr>
            </w:pPr>
            <w:r>
              <w:rPr>
                <w:rFonts w:ascii="Arial" w:cs="Arial" w:eastAsia="Arial" w:hAnsi="Arial"/>
                <w:sz w:val="14"/>
                <w:szCs w:val="14"/>
                <w:b w:val="1"/>
                <w:bCs w:val="1"/>
                <w:color w:val="auto"/>
              </w:rPr>
              <w:t>Life and</w:t>
            </w:r>
          </w:p>
        </w:tc>
        <w:tc>
          <w:tcPr>
            <w:tcW w:w="1220" w:type="dxa"/>
            <w:vAlign w:val="bottom"/>
            <w:tcBorders>
              <w:top w:val="single" w:sz="8" w:color="005CA9"/>
            </w:tcBorders>
          </w:tcPr>
          <w:p>
            <w:pPr>
              <w:jc w:val="center"/>
              <w:ind w:left="328"/>
              <w:spacing w:after="0"/>
              <w:rPr>
                <w:sz w:val="20"/>
                <w:szCs w:val="20"/>
                <w:color w:val="auto"/>
              </w:rPr>
            </w:pPr>
            <w:r>
              <w:rPr>
                <w:rFonts w:ascii="Arial" w:cs="Arial" w:eastAsia="Arial" w:hAnsi="Arial"/>
                <w:sz w:val="14"/>
                <w:szCs w:val="14"/>
                <w:b w:val="1"/>
                <w:bCs w:val="1"/>
                <w:color w:val="auto"/>
              </w:rPr>
              <w:t>Other</w:t>
            </w:r>
          </w:p>
        </w:tc>
        <w:tc>
          <w:tcPr>
            <w:tcW w:w="500" w:type="dxa"/>
            <w:vAlign w:val="bottom"/>
            <w:tcBorders>
              <w:top w:val="single" w:sz="8" w:color="005CA9"/>
            </w:tcBorders>
          </w:tcPr>
          <w:p>
            <w:pPr>
              <w:spacing w:after="0"/>
              <w:rPr>
                <w:sz w:val="14"/>
                <w:szCs w:val="14"/>
                <w:color w:val="auto"/>
              </w:rPr>
            </w:pPr>
          </w:p>
        </w:tc>
        <w:tc>
          <w:tcPr>
            <w:tcW w:w="1120" w:type="dxa"/>
            <w:vAlign w:val="bottom"/>
            <w:tcBorders>
              <w:top w:val="single" w:sz="8" w:color="005CA9"/>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jc w:val="center"/>
              <w:ind w:left="28"/>
              <w:spacing w:after="0"/>
              <w:rPr>
                <w:sz w:val="20"/>
                <w:szCs w:val="20"/>
                <w:color w:val="auto"/>
              </w:rPr>
            </w:pPr>
            <w:r>
              <w:rPr>
                <w:rFonts w:ascii="Arial" w:cs="Arial" w:eastAsia="Arial" w:hAnsi="Arial"/>
                <w:sz w:val="14"/>
                <w:szCs w:val="14"/>
                <w:b w:val="1"/>
                <w:bCs w:val="1"/>
                <w:color w:val="auto"/>
              </w:rPr>
              <w:t>Auto</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Health</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Retirement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Disability</w:t>
            </w:r>
          </w:p>
        </w:tc>
        <w:tc>
          <w:tcPr>
            <w:tcW w:w="1720" w:type="dxa"/>
            <w:vAlign w:val="bottom"/>
            <w:gridSpan w:val="2"/>
          </w:tcPr>
          <w:p>
            <w:pPr>
              <w:jc w:val="center"/>
              <w:ind w:right="57"/>
              <w:spacing w:after="0"/>
              <w:rPr>
                <w:sz w:val="20"/>
                <w:szCs w:val="20"/>
                <w:color w:val="auto"/>
              </w:rPr>
            </w:pPr>
            <w:r>
              <w:rPr>
                <w:rFonts w:ascii="Arial" w:cs="Arial" w:eastAsia="Arial" w:hAnsi="Arial"/>
                <w:sz w:val="14"/>
                <w:szCs w:val="14"/>
                <w:b w:val="1"/>
                <w:bCs w:val="1"/>
                <w:color w:val="auto"/>
              </w:rPr>
              <w:t>Allowances or</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2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Allowance</w:t>
            </w: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Insurance</w:t>
            </w: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Plans</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Insurance</w:t>
            </w:r>
          </w:p>
        </w:tc>
        <w:tc>
          <w:tcPr>
            <w:tcW w:w="1720" w:type="dxa"/>
            <w:vAlign w:val="bottom"/>
            <w:gridSpan w:val="2"/>
          </w:tcPr>
          <w:p>
            <w:pPr>
              <w:jc w:val="center"/>
              <w:ind w:right="17"/>
              <w:spacing w:after="0" w:line="145" w:lineRule="exact"/>
              <w:rPr>
                <w:sz w:val="20"/>
                <w:szCs w:val="20"/>
                <w:color w:val="auto"/>
              </w:rPr>
            </w:pPr>
            <w:r>
              <w:rPr>
                <w:rFonts w:ascii="Arial" w:cs="Arial" w:eastAsia="Arial" w:hAnsi="Arial"/>
                <w:sz w:val="14"/>
                <w:szCs w:val="14"/>
                <w:b w:val="1"/>
                <w:bCs w:val="1"/>
                <w:color w:val="auto"/>
              </w:rPr>
              <w:t>Reimbursements</w:t>
            </w:r>
          </w:p>
        </w:tc>
        <w:tc>
          <w:tcPr>
            <w:tcW w:w="1120" w:type="dxa"/>
            <w:vAlign w:val="bottom"/>
          </w:tcPr>
          <w:p>
            <w:pPr>
              <w:ind w:left="340"/>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rPr>
              <w:t>Year</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9"/>
                <w:szCs w:val="19"/>
                <w:b w:val="1"/>
                <w:bCs w:val="1"/>
                <w:color w:val="auto"/>
                <w:w w:val="91"/>
                <w:vertAlign w:val="superscript"/>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Pr>
          <w:p>
            <w:pPr>
              <w:jc w:val="center"/>
              <w:ind w:left="8"/>
              <w:spacing w:after="0" w:line="189" w:lineRule="exact"/>
              <w:rPr>
                <w:sz w:val="20"/>
                <w:szCs w:val="20"/>
                <w:color w:val="auto"/>
              </w:rPr>
            </w:pPr>
            <w:r>
              <w:rPr>
                <w:rFonts w:ascii="Arial" w:cs="Arial" w:eastAsia="Arial" w:hAnsi="Arial"/>
                <w:sz w:val="14"/>
                <w:szCs w:val="14"/>
                <w:b w:val="1"/>
                <w:bCs w:val="1"/>
                <w:color w:val="auto"/>
                <w:w w:val="91"/>
              </w:rPr>
              <w:t>($)</w:t>
            </w:r>
            <w:r>
              <w:rPr>
                <w:rFonts w:ascii="Arial" w:cs="Arial" w:eastAsia="Arial" w:hAnsi="Arial"/>
                <w:sz w:val="19"/>
                <w:szCs w:val="19"/>
                <w:b w:val="1"/>
                <w:bCs w:val="1"/>
                <w:color w:val="auto"/>
                <w:w w:val="91"/>
                <w:vertAlign w:val="superscript"/>
              </w:rPr>
              <w:t>(2)</w:t>
            </w:r>
          </w:p>
        </w:tc>
        <w:tc>
          <w:tcPr>
            <w:tcW w:w="1220" w:type="dxa"/>
            <w:vAlign w:val="bottom"/>
          </w:tcPr>
          <w:p>
            <w:pPr>
              <w:jc w:val="center"/>
              <w:ind w:left="368"/>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ind w:right="317"/>
              <w:spacing w:after="0"/>
              <w:rPr>
                <w:sz w:val="20"/>
                <w:szCs w:val="20"/>
                <w:color w:val="auto"/>
              </w:rPr>
            </w:pPr>
            <w:r>
              <w:rPr>
                <w:rFonts w:ascii="Arial" w:cs="Arial" w:eastAsia="Arial" w:hAnsi="Arial"/>
                <w:sz w:val="6"/>
                <w:szCs w:val="6"/>
                <w:b w:val="1"/>
                <w:bCs w:val="1"/>
                <w:color w:val="auto"/>
                <w:w w:val="77"/>
              </w:rPr>
              <w:t>(4)</w:t>
            </w:r>
            <w:r>
              <w:rPr>
                <w:rFonts w:ascii="Arial" w:cs="Arial" w:eastAsia="Arial" w:hAnsi="Arial"/>
                <w:sz w:val="10"/>
                <w:szCs w:val="10"/>
                <w:b w:val="1"/>
                <w:bCs w:val="1"/>
                <w:color w:val="auto"/>
                <w:w w:val="77"/>
                <w:vertAlign w:val="superscript"/>
              </w:rPr>
              <w:t>(3)</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5"/>
        </w:trPr>
        <w:tc>
          <w:tcPr>
            <w:tcW w:w="2020" w:type="dxa"/>
            <w:vAlign w:val="bottom"/>
          </w:tcPr>
          <w:p>
            <w:pPr>
              <w:spacing w:after="0"/>
              <w:rPr>
                <w:sz w:val="20"/>
                <w:szCs w:val="20"/>
                <w:color w:val="auto"/>
              </w:rPr>
            </w:pPr>
            <w:r>
              <w:rPr>
                <w:rFonts w:ascii="Arial" w:cs="Arial" w:eastAsia="Arial" w:hAnsi="Arial"/>
                <w:sz w:val="14"/>
                <w:szCs w:val="14"/>
                <w:b w:val="1"/>
                <w:bCs w:val="1"/>
                <w:color w:val="auto"/>
              </w:rPr>
              <w:t>Dr. Keh-Shew Lu</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jc w:val="center"/>
              <w:ind w:left="28"/>
              <w:spacing w:after="0"/>
              <w:rPr>
                <w:sz w:val="20"/>
                <w:szCs w:val="20"/>
                <w:color w:val="auto"/>
              </w:rPr>
            </w:pPr>
            <w:r>
              <w:rPr>
                <w:rFonts w:ascii="Arial" w:cs="Arial" w:eastAsia="Arial" w:hAnsi="Arial"/>
                <w:sz w:val="14"/>
                <w:szCs w:val="14"/>
                <w:b w:val="1"/>
                <w:bCs w:val="1"/>
                <w:color w:val="auto"/>
              </w:rPr>
              <w:t>10,400</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21,800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10,500</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2,038</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3,180</w:t>
            </w:r>
          </w:p>
        </w:tc>
        <w:tc>
          <w:tcPr>
            <w:tcW w:w="500" w:type="dxa"/>
            <w:vAlign w:val="bottom"/>
            <w:vMerge w:val="continue"/>
          </w:tcPr>
          <w:p>
            <w:pPr>
              <w:spacing w:after="0"/>
              <w:rPr>
                <w:sz w:val="17"/>
                <w:szCs w:val="17"/>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47,918</w:t>
            </w:r>
          </w:p>
        </w:tc>
        <w:tc>
          <w:tcPr>
            <w:tcW w:w="0" w:type="dxa"/>
            <w:vAlign w:val="bottom"/>
          </w:tcPr>
          <w:p>
            <w:pPr>
              <w:spacing w:after="0"/>
              <w:rPr>
                <w:sz w:val="1"/>
                <w:szCs w:val="1"/>
                <w:color w:val="auto"/>
              </w:rPr>
            </w:pPr>
          </w:p>
        </w:tc>
      </w:tr>
      <w:tr>
        <w:trPr>
          <w:trHeight w:val="160"/>
        </w:trPr>
        <w:tc>
          <w:tcPr>
            <w:tcW w:w="2020" w:type="dxa"/>
            <w:vAlign w:val="bottom"/>
          </w:tcPr>
          <w:p>
            <w:pPr>
              <w:spacing w:after="0" w:line="159" w:lineRule="exact"/>
              <w:rPr>
                <w:sz w:val="20"/>
                <w:szCs w:val="20"/>
                <w:color w:val="auto"/>
              </w:rPr>
            </w:pPr>
            <w:r>
              <w:rPr>
                <w:rFonts w:ascii="Arial" w:cs="Arial" w:eastAsia="Arial" w:hAnsi="Arial"/>
                <w:sz w:val="14"/>
                <w:szCs w:val="14"/>
                <w:b w:val="1"/>
                <w:bCs w:val="1"/>
                <w:color w:val="auto"/>
              </w:rPr>
              <w:t>Gary Yu</w:t>
            </w:r>
          </w:p>
        </w:tc>
        <w:tc>
          <w:tcPr>
            <w:tcW w:w="1140" w:type="dxa"/>
            <w:vAlign w:val="bottom"/>
          </w:tcPr>
          <w:p>
            <w:pPr>
              <w:ind w:left="420"/>
              <w:spacing w:after="0" w:line="159" w:lineRule="exact"/>
              <w:rPr>
                <w:sz w:val="20"/>
                <w:szCs w:val="20"/>
                <w:color w:val="auto"/>
              </w:rPr>
            </w:pPr>
            <w:r>
              <w:rPr>
                <w:rFonts w:ascii="Arial" w:cs="Arial" w:eastAsia="Arial" w:hAnsi="Arial"/>
                <w:sz w:val="14"/>
                <w:szCs w:val="14"/>
                <w:b w:val="1"/>
                <w:bCs w:val="1"/>
                <w:color w:val="auto"/>
              </w:rPr>
              <w:t>2025</w:t>
            </w:r>
          </w:p>
        </w:tc>
        <w:tc>
          <w:tcPr>
            <w:tcW w:w="1420" w:type="dxa"/>
            <w:vAlign w:val="bottom"/>
          </w:tcPr>
          <w:p>
            <w:pPr>
              <w:jc w:val="center"/>
              <w:ind w:left="48"/>
              <w:spacing w:after="0" w:line="159" w:lineRule="exact"/>
              <w:rPr>
                <w:sz w:val="20"/>
                <w:szCs w:val="20"/>
                <w:color w:val="auto"/>
              </w:rPr>
            </w:pPr>
            <w:r>
              <w:rPr>
                <w:rFonts w:ascii="Arial" w:cs="Arial" w:eastAsia="Arial" w:hAnsi="Arial"/>
                <w:sz w:val="14"/>
                <w:szCs w:val="14"/>
                <w:b w:val="1"/>
                <w:bCs w:val="1"/>
                <w:color w:val="auto"/>
                <w:w w:val="99"/>
              </w:rPr>
              <w:t>—</w:t>
            </w:r>
          </w:p>
        </w:tc>
        <w:tc>
          <w:tcPr>
            <w:tcW w:w="1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13,822</w:t>
            </w: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10,500</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3,141</w:t>
            </w:r>
          </w:p>
        </w:tc>
        <w:tc>
          <w:tcPr>
            <w:tcW w:w="12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3,267</w:t>
            </w:r>
          </w:p>
        </w:tc>
        <w:tc>
          <w:tcPr>
            <w:tcW w:w="500" w:type="dxa"/>
            <w:vAlign w:val="bottom"/>
          </w:tcPr>
          <w:p>
            <w:pPr>
              <w:spacing w:after="0"/>
              <w:rPr>
                <w:sz w:val="13"/>
                <w:szCs w:val="13"/>
                <w:color w:val="auto"/>
              </w:rPr>
            </w:pPr>
          </w:p>
        </w:tc>
        <w:tc>
          <w:tcPr>
            <w:tcW w:w="1120" w:type="dxa"/>
            <w:vAlign w:val="bottom"/>
          </w:tcPr>
          <w:p>
            <w:pPr>
              <w:jc w:val="center"/>
              <w:ind w:right="8"/>
              <w:spacing w:after="0" w:line="159" w:lineRule="exact"/>
              <w:rPr>
                <w:sz w:val="20"/>
                <w:szCs w:val="20"/>
                <w:color w:val="auto"/>
              </w:rPr>
            </w:pPr>
            <w:r>
              <w:rPr>
                <w:rFonts w:ascii="Arial" w:cs="Arial" w:eastAsia="Arial" w:hAnsi="Arial"/>
                <w:sz w:val="14"/>
                <w:szCs w:val="14"/>
                <w:b w:val="1"/>
                <w:bCs w:val="1"/>
                <w:color w:val="auto"/>
              </w:rPr>
              <w:t>30,730</w:t>
            </w:r>
          </w:p>
        </w:tc>
        <w:tc>
          <w:tcPr>
            <w:tcW w:w="0" w:type="dxa"/>
            <w:vAlign w:val="bottom"/>
          </w:tcPr>
          <w:p>
            <w:pPr>
              <w:spacing w:after="0"/>
              <w:rPr>
                <w:sz w:val="1"/>
                <w:szCs w:val="1"/>
                <w:color w:val="auto"/>
              </w:rPr>
            </w:pPr>
          </w:p>
        </w:tc>
      </w:tr>
      <w:tr>
        <w:trPr>
          <w:trHeight w:val="162"/>
        </w:trPr>
        <w:tc>
          <w:tcPr>
            <w:tcW w:w="2020" w:type="dxa"/>
            <w:vAlign w:val="bottom"/>
            <w:shd w:val="clear" w:color="auto" w:fill="CFF0FA"/>
          </w:tcPr>
          <w:p>
            <w:pPr>
              <w:spacing w:after="0"/>
              <w:rPr>
                <w:sz w:val="20"/>
                <w:szCs w:val="20"/>
                <w:color w:val="auto"/>
              </w:rPr>
            </w:pPr>
            <w:r>
              <w:rPr>
                <w:rFonts w:ascii="Arial" w:cs="Arial" w:eastAsia="Arial" w:hAnsi="Arial"/>
                <w:sz w:val="14"/>
                <w:szCs w:val="14"/>
                <w:b w:val="1"/>
                <w:bCs w:val="1"/>
                <w:color w:val="auto"/>
              </w:rPr>
              <w:t>Brett R. Whitmire</w:t>
            </w:r>
          </w:p>
        </w:tc>
        <w:tc>
          <w:tcPr>
            <w:tcW w:w="1140" w:type="dxa"/>
            <w:vAlign w:val="bottom"/>
            <w:shd w:val="clear" w:color="auto" w:fill="CFF0FA"/>
          </w:tcPr>
          <w:p>
            <w:pPr>
              <w:ind w:left="420"/>
              <w:spacing w:after="0"/>
              <w:rPr>
                <w:sz w:val="20"/>
                <w:szCs w:val="20"/>
                <w:color w:val="auto"/>
              </w:rPr>
            </w:pPr>
            <w:r>
              <w:rPr>
                <w:rFonts w:ascii="Arial" w:cs="Arial" w:eastAsia="Arial" w:hAnsi="Arial"/>
                <w:sz w:val="14"/>
                <w:szCs w:val="14"/>
                <w:b w:val="1"/>
                <w:bCs w:val="1"/>
                <w:color w:val="auto"/>
              </w:rPr>
              <w:t>2025</w:t>
            </w:r>
          </w:p>
        </w:tc>
        <w:tc>
          <w:tcPr>
            <w:tcW w:w="1420" w:type="dxa"/>
            <w:vAlign w:val="bottom"/>
            <w:shd w:val="clear" w:color="auto" w:fill="CFF0FA"/>
          </w:tcPr>
          <w:p>
            <w:pPr>
              <w:jc w:val="center"/>
              <w:ind w:left="28"/>
              <w:spacing w:after="0"/>
              <w:rPr>
                <w:sz w:val="20"/>
                <w:szCs w:val="20"/>
                <w:color w:val="auto"/>
              </w:rPr>
            </w:pPr>
            <w:r>
              <w:rPr>
                <w:rFonts w:ascii="Arial" w:cs="Arial" w:eastAsia="Arial" w:hAnsi="Arial"/>
                <w:sz w:val="14"/>
                <w:szCs w:val="14"/>
                <w:b w:val="1"/>
                <w:bCs w:val="1"/>
                <w:color w:val="auto"/>
              </w:rPr>
              <w:t>12,000</w:t>
            </w:r>
          </w:p>
        </w:tc>
        <w:tc>
          <w:tcPr>
            <w:tcW w:w="126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24,800</w:t>
            </w:r>
          </w:p>
        </w:tc>
        <w:tc>
          <w:tcPr>
            <w:tcW w:w="134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10,500</w:t>
            </w:r>
          </w:p>
        </w:tc>
        <w:tc>
          <w:tcPr>
            <w:tcW w:w="1220" w:type="dxa"/>
            <w:vAlign w:val="bottom"/>
            <w:shd w:val="clear" w:color="auto" w:fill="CFF0FA"/>
          </w:tcPr>
          <w:p>
            <w:pPr>
              <w:jc w:val="center"/>
              <w:spacing w:after="0"/>
              <w:rPr>
                <w:sz w:val="20"/>
                <w:szCs w:val="20"/>
                <w:color w:val="auto"/>
              </w:rPr>
            </w:pPr>
            <w:r>
              <w:rPr>
                <w:rFonts w:ascii="Arial" w:cs="Arial" w:eastAsia="Arial" w:hAnsi="Arial"/>
                <w:sz w:val="14"/>
                <w:szCs w:val="14"/>
                <w:b w:val="1"/>
                <w:bCs w:val="1"/>
                <w:color w:val="auto"/>
              </w:rPr>
              <w:t>3,141</w:t>
            </w:r>
          </w:p>
        </w:tc>
        <w:tc>
          <w:tcPr>
            <w:tcW w:w="1220" w:type="dxa"/>
            <w:vAlign w:val="bottom"/>
            <w:shd w:val="clear" w:color="auto" w:fill="CFF0FA"/>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A"/>
          </w:tcPr>
          <w:p>
            <w:pPr>
              <w:spacing w:after="0"/>
              <w:rPr>
                <w:sz w:val="14"/>
                <w:szCs w:val="14"/>
                <w:color w:val="auto"/>
              </w:rPr>
            </w:pPr>
          </w:p>
        </w:tc>
        <w:tc>
          <w:tcPr>
            <w:tcW w:w="1120" w:type="dxa"/>
            <w:vAlign w:val="bottom"/>
            <w:shd w:val="clear" w:color="auto" w:fill="CFF0FA"/>
          </w:tcPr>
          <w:p>
            <w:pPr>
              <w:jc w:val="center"/>
              <w:ind w:right="8"/>
              <w:spacing w:after="0"/>
              <w:rPr>
                <w:sz w:val="20"/>
                <w:szCs w:val="20"/>
                <w:color w:val="auto"/>
              </w:rPr>
            </w:pPr>
            <w:r>
              <w:rPr>
                <w:rFonts w:ascii="Arial" w:cs="Arial" w:eastAsia="Arial" w:hAnsi="Arial"/>
                <w:sz w:val="14"/>
                <w:szCs w:val="14"/>
                <w:b w:val="1"/>
                <w:bCs w:val="1"/>
                <w:color w:val="auto"/>
              </w:rPr>
              <w:t>50,441</w:t>
            </w:r>
          </w:p>
        </w:tc>
        <w:tc>
          <w:tcPr>
            <w:tcW w:w="0" w:type="dxa"/>
            <w:vAlign w:val="bottom"/>
          </w:tcPr>
          <w:p>
            <w:pPr>
              <w:spacing w:after="0"/>
              <w:rPr>
                <w:sz w:val="1"/>
                <w:szCs w:val="1"/>
                <w:color w:val="auto"/>
              </w:rPr>
            </w:pPr>
          </w:p>
        </w:tc>
      </w:tr>
      <w:tr>
        <w:trPr>
          <w:trHeight w:val="164"/>
        </w:trPr>
        <w:tc>
          <w:tcPr>
            <w:tcW w:w="2020" w:type="dxa"/>
            <w:vAlign w:val="bottom"/>
          </w:tcPr>
          <w:p>
            <w:pPr>
              <w:spacing w:after="0"/>
              <w:rPr>
                <w:sz w:val="20"/>
                <w:szCs w:val="20"/>
                <w:color w:val="auto"/>
              </w:rPr>
            </w:pPr>
            <w:r>
              <w:rPr>
                <w:rFonts w:ascii="Arial" w:cs="Arial" w:eastAsia="Arial" w:hAnsi="Arial"/>
                <w:sz w:val="14"/>
                <w:szCs w:val="14"/>
                <w:b w:val="1"/>
                <w:bCs w:val="1"/>
                <w:color w:val="auto"/>
              </w:rPr>
              <w:t>Francis Tang</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24,800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10,500</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3,141</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17"/>
              <w:spacing w:after="0"/>
              <w:rPr>
                <w:sz w:val="20"/>
                <w:szCs w:val="20"/>
                <w:color w:val="auto"/>
              </w:rPr>
            </w:pPr>
            <w:r>
              <w:rPr>
                <w:rFonts w:ascii="Arial" w:cs="Arial" w:eastAsia="Arial" w:hAnsi="Arial"/>
                <w:sz w:val="10"/>
                <w:szCs w:val="10"/>
                <w:b w:val="1"/>
                <w:bCs w:val="1"/>
                <w:color w:val="auto"/>
                <w:w w:val="97"/>
              </w:rPr>
              <w:t>(5)</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38,441</w:t>
            </w:r>
          </w:p>
        </w:tc>
        <w:tc>
          <w:tcPr>
            <w:tcW w:w="0" w:type="dxa"/>
            <w:vAlign w:val="bottom"/>
          </w:tcPr>
          <w:p>
            <w:pPr>
              <w:spacing w:after="0"/>
              <w:rPr>
                <w:sz w:val="1"/>
                <w:szCs w:val="1"/>
                <w:color w:val="auto"/>
              </w:rPr>
            </w:pPr>
          </w:p>
        </w:tc>
      </w:tr>
      <w:tr>
        <w:trPr>
          <w:trHeight w:val="160"/>
        </w:trPr>
        <w:tc>
          <w:tcPr>
            <w:tcW w:w="2020" w:type="dxa"/>
            <w:vAlign w:val="bottom"/>
          </w:tcPr>
          <w:p>
            <w:pPr>
              <w:spacing w:after="0" w:line="159" w:lineRule="exact"/>
              <w:rPr>
                <w:sz w:val="20"/>
                <w:szCs w:val="20"/>
                <w:color w:val="auto"/>
              </w:rPr>
            </w:pPr>
            <w:r>
              <w:rPr>
                <w:rFonts w:ascii="Arial" w:cs="Arial" w:eastAsia="Arial" w:hAnsi="Arial"/>
                <w:sz w:val="14"/>
                <w:szCs w:val="14"/>
                <w:b w:val="1"/>
                <w:bCs w:val="1"/>
                <w:color w:val="auto"/>
              </w:rPr>
              <w:t>Andy (Kuo-Ting) Tsong</w:t>
            </w:r>
          </w:p>
        </w:tc>
        <w:tc>
          <w:tcPr>
            <w:tcW w:w="1140" w:type="dxa"/>
            <w:vAlign w:val="bottom"/>
          </w:tcPr>
          <w:p>
            <w:pPr>
              <w:ind w:left="420"/>
              <w:spacing w:after="0" w:line="159" w:lineRule="exact"/>
              <w:rPr>
                <w:sz w:val="20"/>
                <w:szCs w:val="20"/>
                <w:color w:val="auto"/>
              </w:rPr>
            </w:pPr>
            <w:r>
              <w:rPr>
                <w:rFonts w:ascii="Arial" w:cs="Arial" w:eastAsia="Arial" w:hAnsi="Arial"/>
                <w:sz w:val="14"/>
                <w:szCs w:val="14"/>
                <w:b w:val="1"/>
                <w:bCs w:val="1"/>
                <w:color w:val="auto"/>
              </w:rPr>
              <w:t>2025</w:t>
            </w:r>
          </w:p>
        </w:tc>
        <w:tc>
          <w:tcPr>
            <w:tcW w:w="1420" w:type="dxa"/>
            <w:vAlign w:val="bottom"/>
          </w:tcPr>
          <w:p>
            <w:pPr>
              <w:jc w:val="center"/>
              <w:ind w:left="48"/>
              <w:spacing w:after="0" w:line="159" w:lineRule="exact"/>
              <w:rPr>
                <w:sz w:val="20"/>
                <w:szCs w:val="20"/>
                <w:color w:val="auto"/>
              </w:rPr>
            </w:pPr>
            <w:r>
              <w:rPr>
                <w:rFonts w:ascii="Arial" w:cs="Arial" w:eastAsia="Arial" w:hAnsi="Arial"/>
                <w:sz w:val="14"/>
                <w:szCs w:val="14"/>
                <w:b w:val="1"/>
                <w:bCs w:val="1"/>
                <w:color w:val="auto"/>
                <w:w w:val="99"/>
              </w:rPr>
              <w:t>—</w:t>
            </w:r>
          </w:p>
        </w:tc>
        <w:tc>
          <w:tcPr>
            <w:tcW w:w="1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29,840</w:t>
            </w: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10,500</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3,141</w:t>
            </w:r>
          </w:p>
        </w:tc>
        <w:tc>
          <w:tcPr>
            <w:tcW w:w="12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7,074</w:t>
            </w:r>
          </w:p>
        </w:tc>
        <w:tc>
          <w:tcPr>
            <w:tcW w:w="500" w:type="dxa"/>
            <w:vAlign w:val="bottom"/>
          </w:tcPr>
          <w:p>
            <w:pPr>
              <w:spacing w:after="0"/>
              <w:rPr>
                <w:sz w:val="13"/>
                <w:szCs w:val="13"/>
                <w:color w:val="auto"/>
              </w:rPr>
            </w:pPr>
          </w:p>
        </w:tc>
        <w:tc>
          <w:tcPr>
            <w:tcW w:w="1120" w:type="dxa"/>
            <w:vAlign w:val="bottom"/>
          </w:tcPr>
          <w:p>
            <w:pPr>
              <w:jc w:val="center"/>
              <w:ind w:right="8"/>
              <w:spacing w:after="0" w:line="159" w:lineRule="exact"/>
              <w:rPr>
                <w:sz w:val="20"/>
                <w:szCs w:val="20"/>
                <w:color w:val="auto"/>
              </w:rPr>
            </w:pPr>
            <w:r>
              <w:rPr>
                <w:rFonts w:ascii="Arial" w:cs="Arial" w:eastAsia="Arial" w:hAnsi="Arial"/>
                <w:sz w:val="14"/>
                <w:szCs w:val="14"/>
                <w:b w:val="1"/>
                <w:bCs w:val="1"/>
                <w:color w:val="auto"/>
              </w:rPr>
              <w:t>50,555</w:t>
            </w:r>
          </w:p>
        </w:tc>
        <w:tc>
          <w:tcPr>
            <w:tcW w:w="0" w:type="dxa"/>
            <w:vAlign w:val="bottom"/>
          </w:tcPr>
          <w:p>
            <w:pPr>
              <w:spacing w:after="0"/>
              <w:rPr>
                <w:sz w:val="1"/>
                <w:szCs w:val="1"/>
                <w:color w:val="auto"/>
              </w:rPr>
            </w:pPr>
          </w:p>
        </w:tc>
      </w:tr>
      <w:tr>
        <w:trPr>
          <w:trHeight w:val="164"/>
        </w:trPr>
        <w:tc>
          <w:tcPr>
            <w:tcW w:w="2020" w:type="dxa"/>
            <w:vAlign w:val="bottom"/>
          </w:tcPr>
          <w:p>
            <w:pPr>
              <w:spacing w:after="0"/>
              <w:rPr>
                <w:sz w:val="20"/>
                <w:szCs w:val="20"/>
                <w:color w:val="auto"/>
              </w:rPr>
            </w:pPr>
            <w:r>
              <w:rPr>
                <w:rFonts w:ascii="Arial" w:cs="Arial" w:eastAsia="Arial" w:hAnsi="Arial"/>
                <w:sz w:val="14"/>
                <w:szCs w:val="14"/>
                <w:b w:val="1"/>
                <w:bCs w:val="1"/>
                <w:color w:val="auto"/>
              </w:rPr>
              <w:t>Emily Yang</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jc w:val="center"/>
              <w:ind w:left="28"/>
              <w:spacing w:after="0"/>
              <w:rPr>
                <w:sz w:val="20"/>
                <w:szCs w:val="20"/>
                <w:color w:val="auto"/>
              </w:rPr>
            </w:pPr>
            <w:r>
              <w:rPr>
                <w:rFonts w:ascii="Arial" w:cs="Arial" w:eastAsia="Arial" w:hAnsi="Arial"/>
                <w:sz w:val="14"/>
                <w:szCs w:val="14"/>
                <w:b w:val="1"/>
                <w:bCs w:val="1"/>
                <w:color w:val="auto"/>
              </w:rPr>
              <w:t>7,200</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26,783</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10,500</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3,141</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17"/>
              <w:spacing w:after="0"/>
              <w:rPr>
                <w:sz w:val="20"/>
                <w:szCs w:val="20"/>
                <w:color w:val="auto"/>
              </w:rPr>
            </w:pPr>
            <w:r>
              <w:rPr>
                <w:rFonts w:ascii="Arial" w:cs="Arial" w:eastAsia="Arial" w:hAnsi="Arial"/>
                <w:sz w:val="10"/>
                <w:szCs w:val="10"/>
                <w:b w:val="1"/>
                <w:bCs w:val="1"/>
                <w:color w:val="auto"/>
                <w:w w:val="97"/>
              </w:rPr>
              <w:t>(6)</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47,624</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20"/>
                <w:szCs w:val="20"/>
                <w:color w:val="auto"/>
              </w:rPr>
            </w:pPr>
            <w:r>
              <w:rPr>
                <w:rFonts w:ascii="Arial" w:cs="Arial" w:eastAsia="Arial" w:hAnsi="Arial"/>
                <w:sz w:val="14"/>
                <w:szCs w:val="14"/>
                <w:b w:val="1"/>
                <w:bCs w:val="1"/>
                <w:color w:val="auto"/>
              </w:rPr>
              <w:t>Jin Zhao</w:t>
            </w: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2025</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29,840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10,500</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3,141</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26,353</w:t>
            </w:r>
          </w:p>
        </w:tc>
        <w:tc>
          <w:tcPr>
            <w:tcW w:w="500" w:type="dxa"/>
            <w:vAlign w:val="bottom"/>
          </w:tcPr>
          <w:p>
            <w:pPr>
              <w:spacing w:after="0"/>
              <w:rPr>
                <w:sz w:val="15"/>
                <w:szCs w:val="15"/>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69,834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540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5403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117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300" w:hanging="292"/>
        <w:spacing w:after="0"/>
        <w:tabs>
          <w:tab w:leader="none" w:pos="300" w:val="left"/>
        </w:tabs>
        <w:numPr>
          <w:ilvl w:val="0"/>
          <w:numId w:val="33"/>
        </w:numPr>
        <w:rPr>
          <w:rFonts w:ascii="Calibri" w:cs="Calibri" w:eastAsia="Calibri" w:hAnsi="Calibri"/>
          <w:sz w:val="14"/>
          <w:szCs w:val="14"/>
          <w:color w:val="auto"/>
        </w:rPr>
      </w:pPr>
      <w:r>
        <w:rPr>
          <w:rFonts w:ascii="Arial" w:cs="Arial" w:eastAsia="Arial" w:hAnsi="Arial"/>
          <w:sz w:val="14"/>
          <w:szCs w:val="14"/>
          <w:color w:val="auto"/>
        </w:rPr>
        <w:t>Consists of medical, dental, and vision insurance, as well as employee assistance program.</w:t>
      </w:r>
    </w:p>
    <w:p>
      <w:pPr>
        <w:spacing w:after="0" w:line="10" w:lineRule="exact"/>
        <w:rPr>
          <w:rFonts w:ascii="Calibri" w:cs="Calibri" w:eastAsia="Calibri" w:hAnsi="Calibri"/>
          <w:sz w:val="14"/>
          <w:szCs w:val="14"/>
          <w:color w:val="auto"/>
        </w:rPr>
      </w:pPr>
    </w:p>
    <w:p>
      <w:pPr>
        <w:ind w:left="300" w:hanging="292"/>
        <w:spacing w:after="0"/>
        <w:tabs>
          <w:tab w:leader="none" w:pos="300" w:val="left"/>
        </w:tabs>
        <w:numPr>
          <w:ilvl w:val="0"/>
          <w:numId w:val="33"/>
        </w:numPr>
        <w:rPr>
          <w:rFonts w:ascii="Calibri" w:cs="Calibri" w:eastAsia="Calibri" w:hAnsi="Calibri"/>
          <w:sz w:val="14"/>
          <w:szCs w:val="14"/>
          <w:color w:val="auto"/>
        </w:rPr>
      </w:pPr>
      <w:r>
        <w:rPr>
          <w:rFonts w:ascii="Arial" w:cs="Arial" w:eastAsia="Arial" w:hAnsi="Arial"/>
          <w:sz w:val="14"/>
          <w:szCs w:val="14"/>
          <w:color w:val="auto"/>
        </w:rPr>
        <w:t>Consists of life, AD&amp;D, business travel accident, and short-term and long-term disability insurance.</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33"/>
        </w:numPr>
        <w:rPr>
          <w:rFonts w:ascii="Calibri" w:cs="Calibri" w:eastAsia="Calibri" w:hAnsi="Calibri"/>
          <w:sz w:val="14"/>
          <w:szCs w:val="14"/>
          <w:color w:val="auto"/>
        </w:rPr>
      </w:pPr>
      <w:r>
        <w:rPr>
          <w:rFonts w:ascii="Arial" w:cs="Arial" w:eastAsia="Arial" w:hAnsi="Arial"/>
          <w:sz w:val="14"/>
          <w:szCs w:val="14"/>
          <w:color w:val="auto"/>
        </w:rPr>
        <w:t>Consists of Company paid car and driver for Dr. Lu, beginning in December 2025.</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33"/>
        </w:numPr>
        <w:rPr>
          <w:rFonts w:ascii="Calibri" w:cs="Calibri" w:eastAsia="Calibri" w:hAnsi="Calibri"/>
          <w:sz w:val="14"/>
          <w:szCs w:val="14"/>
          <w:color w:val="auto"/>
        </w:rPr>
      </w:pPr>
      <w:r>
        <w:rPr>
          <w:rFonts w:ascii="Arial" w:cs="Arial" w:eastAsia="Arial" w:hAnsi="Arial"/>
          <w:sz w:val="14"/>
          <w:szCs w:val="14"/>
          <w:color w:val="auto"/>
        </w:rPr>
        <w:t>Consists of Company provided leased vehicle for Mr. Yu, beginning in December 2025.</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33"/>
        </w:numPr>
        <w:rPr>
          <w:rFonts w:ascii="Calibri" w:cs="Calibri" w:eastAsia="Calibri" w:hAnsi="Calibri"/>
          <w:sz w:val="14"/>
          <w:szCs w:val="14"/>
          <w:color w:val="auto"/>
        </w:rPr>
      </w:pPr>
      <w:r>
        <w:rPr>
          <w:rFonts w:ascii="Arial" w:cs="Arial" w:eastAsia="Arial" w:hAnsi="Arial"/>
          <w:sz w:val="14"/>
          <w:szCs w:val="14"/>
          <w:color w:val="auto"/>
        </w:rPr>
        <w:t>Consists of Company provided leased vehicle for Mr. Tsong, beginning in February 2025.</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33"/>
        </w:numPr>
        <w:rPr>
          <w:rFonts w:ascii="Calibri" w:cs="Calibri" w:eastAsia="Calibri" w:hAnsi="Calibri"/>
          <w:sz w:val="14"/>
          <w:szCs w:val="14"/>
          <w:color w:val="auto"/>
        </w:rPr>
      </w:pPr>
      <w:r>
        <w:rPr>
          <w:rFonts w:ascii="Arial" w:cs="Arial" w:eastAsia="Arial" w:hAnsi="Arial"/>
          <w:sz w:val="14"/>
          <w:szCs w:val="14"/>
          <w:color w:val="auto"/>
        </w:rPr>
        <w:t>Consists of housing allowance and reimbursement for spouse travel for Mr. Zhao.</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47" w:name="page48"/>
    <w:bookmarkEnd w:id="47"/>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t>GRANTS OF PLAN-BASED AWARDS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The following table sets forth certain information with respect to grants of awards to the NEOs under the Company’s non-equity incentive plan and the 2022 Plan during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20" w:type="dxa"/>
            <w:vAlign w:val="bottom"/>
            <w:tcBorders>
              <w:top w:val="single" w:sz="8" w:color="005CA9"/>
            </w:tcBorders>
          </w:tcPr>
          <w:p>
            <w:pPr>
              <w:spacing w:after="0"/>
              <w:rPr>
                <w:sz w:val="10"/>
                <w:szCs w:val="10"/>
                <w:color w:val="auto"/>
              </w:rPr>
            </w:pPr>
          </w:p>
        </w:tc>
        <w:tc>
          <w:tcPr>
            <w:tcW w:w="1480" w:type="dxa"/>
            <w:vAlign w:val="bottom"/>
            <w:tcBorders>
              <w:top w:val="single" w:sz="8" w:color="005CA9"/>
            </w:tcBorders>
          </w:tcPr>
          <w:p>
            <w:pPr>
              <w:spacing w:after="0"/>
              <w:rPr>
                <w:sz w:val="10"/>
                <w:szCs w:val="10"/>
                <w:color w:val="auto"/>
              </w:rPr>
            </w:pPr>
          </w:p>
        </w:tc>
        <w:tc>
          <w:tcPr>
            <w:tcW w:w="1100" w:type="dxa"/>
            <w:vAlign w:val="bottom"/>
            <w:tcBorders>
              <w:top w:val="single" w:sz="8" w:color="005CA9"/>
            </w:tcBorders>
          </w:tcPr>
          <w:p>
            <w:pPr>
              <w:spacing w:after="0"/>
              <w:rPr>
                <w:sz w:val="10"/>
                <w:szCs w:val="10"/>
                <w:color w:val="auto"/>
              </w:rPr>
            </w:pPr>
          </w:p>
        </w:tc>
        <w:tc>
          <w:tcPr>
            <w:tcW w:w="2680" w:type="dxa"/>
            <w:vAlign w:val="bottom"/>
            <w:tcBorders>
              <w:top w:val="single" w:sz="8" w:color="005CA9"/>
            </w:tcBorders>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Estimated Future Payouts Under</w:t>
            </w:r>
          </w:p>
        </w:tc>
        <w:tc>
          <w:tcPr>
            <w:tcW w:w="120" w:type="dxa"/>
            <w:vAlign w:val="bottom"/>
            <w:tcBorders>
              <w:top w:val="single" w:sz="8" w:color="005CA9"/>
            </w:tcBorders>
          </w:tcPr>
          <w:p>
            <w:pPr>
              <w:spacing w:after="0"/>
              <w:rPr>
                <w:sz w:val="10"/>
                <w:szCs w:val="10"/>
                <w:color w:val="auto"/>
              </w:rPr>
            </w:pPr>
          </w:p>
        </w:tc>
        <w:tc>
          <w:tcPr>
            <w:tcW w:w="2640" w:type="dxa"/>
            <w:vAlign w:val="bottom"/>
            <w:tcBorders>
              <w:top w:val="single" w:sz="8" w:color="005CA9"/>
            </w:tcBorders>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Estimated Future Payouts</w:t>
            </w:r>
          </w:p>
        </w:tc>
        <w:tc>
          <w:tcPr>
            <w:tcW w:w="1140" w:type="dxa"/>
            <w:vAlign w:val="bottom"/>
            <w:tcBorders>
              <w:top w:val="single" w:sz="8" w:color="005CA9"/>
            </w:tcBorders>
          </w:tcPr>
          <w:p>
            <w:pPr>
              <w:spacing w:after="0"/>
              <w:rPr>
                <w:sz w:val="10"/>
                <w:szCs w:val="10"/>
                <w:color w:val="auto"/>
              </w:rPr>
            </w:pPr>
          </w:p>
        </w:tc>
        <w:tc>
          <w:tcPr>
            <w:tcW w:w="860" w:type="dxa"/>
            <w:vAlign w:val="bottom"/>
            <w:tcBorders>
              <w:top w:val="single" w:sz="8" w:color="005CA9"/>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80" w:type="dxa"/>
            <w:vAlign w:val="bottom"/>
            <w:tcBorders>
              <w:bottom w:val="single" w:sz="8" w:color="005CA9"/>
            </w:tcBorders>
            <w:gridSpan w:val="3"/>
          </w:tcPr>
          <w:p>
            <w:pPr>
              <w:jc w:val="center"/>
              <w:spacing w:after="0" w:line="162" w:lineRule="exact"/>
              <w:rPr>
                <w:sz w:val="20"/>
                <w:szCs w:val="20"/>
                <w:color w:val="auto"/>
              </w:rPr>
            </w:pPr>
            <w:r>
              <w:rPr>
                <w:rFonts w:ascii="Arial" w:cs="Arial" w:eastAsia="Arial" w:hAnsi="Arial"/>
                <w:sz w:val="13"/>
                <w:szCs w:val="13"/>
                <w:b w:val="1"/>
                <w:bCs w:val="1"/>
                <w:color w:val="auto"/>
                <w:w w:val="95"/>
              </w:rPr>
              <w:t xml:space="preserve">Non-Equity Incentive Plan Awards </w:t>
            </w:r>
            <w:r>
              <w:rPr>
                <w:rFonts w:ascii="Arial" w:cs="Arial" w:eastAsia="Arial" w:hAnsi="Arial"/>
                <w:sz w:val="16"/>
                <w:szCs w:val="16"/>
                <w:b w:val="1"/>
                <w:bCs w:val="1"/>
                <w:color w:val="auto"/>
                <w:w w:val="95"/>
                <w:vertAlign w:val="superscript"/>
              </w:rPr>
              <w:t>(1)</w:t>
            </w:r>
          </w:p>
        </w:tc>
        <w:tc>
          <w:tcPr>
            <w:tcW w:w="120" w:type="dxa"/>
            <w:vAlign w:val="bottom"/>
          </w:tcPr>
          <w:p>
            <w:pPr>
              <w:spacing w:after="0"/>
              <w:rPr>
                <w:sz w:val="15"/>
                <w:szCs w:val="15"/>
                <w:color w:val="auto"/>
              </w:rPr>
            </w:pPr>
          </w:p>
        </w:tc>
        <w:tc>
          <w:tcPr>
            <w:tcW w:w="2640" w:type="dxa"/>
            <w:vAlign w:val="bottom"/>
            <w:tcBorders>
              <w:bottom w:val="single" w:sz="8" w:color="005CA9"/>
            </w:tcBorders>
            <w:gridSpan w:val="3"/>
          </w:tcPr>
          <w:p>
            <w:pPr>
              <w:jc w:val="center"/>
              <w:spacing w:after="0"/>
              <w:rPr>
                <w:sz w:val="20"/>
                <w:szCs w:val="20"/>
                <w:color w:val="auto"/>
              </w:rPr>
            </w:pPr>
            <w:r>
              <w:rPr>
                <w:rFonts w:ascii="Arial" w:cs="Arial" w:eastAsia="Arial" w:hAnsi="Arial"/>
                <w:sz w:val="13"/>
                <w:szCs w:val="13"/>
                <w:b w:val="1"/>
                <w:bCs w:val="1"/>
                <w:color w:val="auto"/>
                <w:w w:val="97"/>
              </w:rPr>
              <w:t>Under Equity Incentive Plan Awards</w:t>
            </w: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All Other Stock</w:t>
            </w:r>
          </w:p>
        </w:tc>
        <w:tc>
          <w:tcPr>
            <w:tcW w:w="8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Stock and</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8"/>
              </w:rPr>
              <w:t>Threshold</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94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6"/>
              </w:rPr>
              <w:t>Maximum</w:t>
            </w:r>
          </w:p>
        </w:tc>
        <w:tc>
          <w:tcPr>
            <w:tcW w:w="120" w:type="dxa"/>
            <w:vAlign w:val="bottom"/>
          </w:tcPr>
          <w:p>
            <w:pPr>
              <w:spacing w:after="0"/>
              <w:rPr>
                <w:sz w:val="11"/>
                <w:szCs w:val="11"/>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5"/>
              </w:rPr>
              <w:t>Threshold</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Target</w:t>
            </w:r>
          </w:p>
        </w:tc>
        <w:tc>
          <w:tcPr>
            <w:tcW w:w="90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6"/>
              </w:rPr>
              <w:t>Maximum</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Shares of Stock</w:t>
            </w: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48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Award Type</w:t>
            </w:r>
          </w:p>
        </w:tc>
        <w:tc>
          <w:tcPr>
            <w:tcW w:w="1100" w:type="dxa"/>
            <w:vAlign w:val="bottom"/>
            <w:vMerge w:val="continue"/>
          </w:tcPr>
          <w:p>
            <w:pPr>
              <w:spacing w:after="0"/>
              <w:rPr>
                <w:sz w:val="12"/>
                <w:szCs w:val="12"/>
                <w:color w:val="auto"/>
              </w:rPr>
            </w:pPr>
          </w:p>
        </w:tc>
        <w:tc>
          <w:tcPr>
            <w:tcW w:w="8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rPr>
              <w:t>($)</w:t>
            </w: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940" w:type="dxa"/>
            <w:vAlign w:val="bottom"/>
          </w:tcPr>
          <w:p>
            <w:pPr>
              <w:jc w:val="center"/>
              <w:ind w:left="17"/>
              <w:spacing w:after="0" w:line="144" w:lineRule="exact"/>
              <w:rPr>
                <w:sz w:val="20"/>
                <w:szCs w:val="20"/>
                <w:color w:val="auto"/>
              </w:rPr>
            </w:pPr>
            <w:r>
              <w:rPr>
                <w:rFonts w:ascii="Arial" w:cs="Arial" w:eastAsia="Arial" w:hAnsi="Arial"/>
                <w:sz w:val="13"/>
                <w:szCs w:val="13"/>
                <w:b w:val="1"/>
                <w:bCs w:val="1"/>
                <w:color w:val="auto"/>
                <w:w w:val="87"/>
              </w:rPr>
              <w:t>($)</w:t>
            </w:r>
          </w:p>
        </w:tc>
        <w:tc>
          <w:tcPr>
            <w:tcW w:w="10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jc w:val="center"/>
              <w:ind w:left="17"/>
              <w:spacing w:after="0" w:line="144" w:lineRule="exact"/>
              <w:rPr>
                <w:sz w:val="20"/>
                <w:szCs w:val="20"/>
                <w:color w:val="auto"/>
              </w:rPr>
            </w:pPr>
            <w:r>
              <w:rPr>
                <w:rFonts w:ascii="Arial" w:cs="Arial" w:eastAsia="Arial" w:hAnsi="Arial"/>
                <w:sz w:val="13"/>
                <w:szCs w:val="13"/>
                <w:b w:val="1"/>
                <w:bCs w:val="1"/>
                <w:color w:val="auto"/>
                <w:w w:val="96"/>
              </w:rPr>
              <w:t>or Units (#)</w:t>
            </w:r>
          </w:p>
        </w:tc>
        <w:tc>
          <w:tcPr>
            <w:tcW w:w="860" w:type="dxa"/>
            <w:vAlign w:val="bottom"/>
          </w:tcPr>
          <w:p>
            <w:pPr>
              <w:jc w:val="center"/>
              <w:spacing w:after="0" w:line="144"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7"/>
                <w:szCs w:val="7"/>
                <w:b w:val="1"/>
                <w:bCs w:val="1"/>
                <w:color w:val="auto"/>
              </w:rPr>
              <w:t xml:space="preserve"> (2)</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005CA9"/>
            </w:tcBorders>
          </w:tcPr>
          <w:p>
            <w:pPr>
              <w:spacing w:after="0"/>
              <w:rPr>
                <w:sz w:val="15"/>
                <w:szCs w:val="15"/>
                <w:color w:val="auto"/>
              </w:rPr>
            </w:pPr>
          </w:p>
        </w:tc>
        <w:tc>
          <w:tcPr>
            <w:tcW w:w="1480" w:type="dxa"/>
            <w:vAlign w:val="bottom"/>
            <w:tcBorders>
              <w:bottom w:val="single" w:sz="8" w:color="005CA9"/>
            </w:tcBorders>
            <w:vMerge w:val="continue"/>
          </w:tcPr>
          <w:p>
            <w:pPr>
              <w:spacing w:after="0"/>
              <w:rPr>
                <w:sz w:val="15"/>
                <w:szCs w:val="15"/>
                <w:color w:val="auto"/>
              </w:rPr>
            </w:pPr>
          </w:p>
        </w:tc>
        <w:tc>
          <w:tcPr>
            <w:tcW w:w="1100" w:type="dxa"/>
            <w:vAlign w:val="bottom"/>
            <w:tcBorders>
              <w:bottom w:val="single" w:sz="8" w:color="005CA9"/>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880" w:type="dxa"/>
            <w:vAlign w:val="bottom"/>
            <w:tcBorders>
              <w:bottom w:val="single" w:sz="8" w:color="005CA9"/>
            </w:tcBorders>
          </w:tcPr>
          <w:p>
            <w:pPr>
              <w:jc w:val="center"/>
              <w:ind w:right="17"/>
              <w:spacing w:after="0"/>
              <w:rPr>
                <w:sz w:val="20"/>
                <w:szCs w:val="20"/>
                <w:color w:val="auto"/>
              </w:rPr>
            </w:pPr>
            <w:r>
              <w:rPr>
                <w:rFonts w:ascii="Arial" w:cs="Arial" w:eastAsia="Arial" w:hAnsi="Arial"/>
                <w:sz w:val="13"/>
                <w:szCs w:val="13"/>
                <w:b w:val="1"/>
                <w:bCs w:val="1"/>
                <w:color w:val="auto"/>
              </w:rPr>
              <w:t>(c)</w:t>
            </w:r>
          </w:p>
        </w:tc>
        <w:tc>
          <w:tcPr>
            <w:tcW w:w="860" w:type="dxa"/>
            <w:vAlign w:val="bottom"/>
            <w:tcBorders>
              <w:bottom w:val="single" w:sz="8" w:color="005CA9"/>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940" w:type="dxa"/>
            <w:vAlign w:val="bottom"/>
            <w:tcBorders>
              <w:bottom w:val="single" w:sz="8" w:color="005CA9"/>
            </w:tcBorders>
          </w:tcPr>
          <w:p>
            <w:pPr>
              <w:jc w:val="center"/>
              <w:ind w:left="17"/>
              <w:spacing w:after="0"/>
              <w:rPr>
                <w:sz w:val="20"/>
                <w:szCs w:val="20"/>
                <w:color w:val="auto"/>
              </w:rPr>
            </w:pPr>
            <w:r>
              <w:rPr>
                <w:rFonts w:ascii="Arial" w:cs="Arial" w:eastAsia="Arial" w:hAnsi="Arial"/>
                <w:sz w:val="13"/>
                <w:szCs w:val="13"/>
                <w:b w:val="1"/>
                <w:bCs w:val="1"/>
                <w:color w:val="auto"/>
                <w:w w:val="87"/>
              </w:rPr>
              <w:t>(e)</w:t>
            </w:r>
          </w:p>
        </w:tc>
        <w:tc>
          <w:tcPr>
            <w:tcW w:w="120" w:type="dxa"/>
            <w:vAlign w:val="bottom"/>
            <w:tcBorders>
              <w:bottom w:val="single" w:sz="8" w:color="005CA9"/>
            </w:tcBorders>
          </w:tcPr>
          <w:p>
            <w:pPr>
              <w:spacing w:after="0"/>
              <w:rPr>
                <w:sz w:val="15"/>
                <w:szCs w:val="15"/>
                <w:color w:val="auto"/>
              </w:rPr>
            </w:pPr>
          </w:p>
        </w:tc>
        <w:tc>
          <w:tcPr>
            <w:tcW w:w="940" w:type="dxa"/>
            <w:vAlign w:val="bottom"/>
            <w:tcBorders>
              <w:bottom w:val="single" w:sz="8" w:color="005CA9"/>
            </w:tcBorders>
          </w:tcPr>
          <w:p>
            <w:pPr>
              <w:jc w:val="center"/>
              <w:ind w:right="37"/>
              <w:spacing w:after="0"/>
              <w:rPr>
                <w:sz w:val="20"/>
                <w:szCs w:val="20"/>
                <w:color w:val="auto"/>
              </w:rPr>
            </w:pPr>
            <w:r>
              <w:rPr>
                <w:rFonts w:ascii="Arial" w:cs="Arial" w:eastAsia="Arial" w:hAnsi="Arial"/>
                <w:sz w:val="13"/>
                <w:szCs w:val="13"/>
                <w:b w:val="1"/>
                <w:bCs w:val="1"/>
                <w:color w:val="auto"/>
                <w:w w:val="92"/>
              </w:rPr>
              <w:t>(f)</w:t>
            </w:r>
          </w:p>
        </w:tc>
        <w:tc>
          <w:tcPr>
            <w:tcW w:w="800" w:type="dxa"/>
            <w:vAlign w:val="bottom"/>
            <w:tcBorders>
              <w:bottom w:val="single" w:sz="8" w:color="005CA9"/>
            </w:tcBorders>
          </w:tcPr>
          <w:p>
            <w:pPr>
              <w:jc w:val="center"/>
              <w:spacing w:after="0"/>
              <w:rPr>
                <w:sz w:val="20"/>
                <w:szCs w:val="20"/>
                <w:color w:val="auto"/>
              </w:rPr>
            </w:pPr>
            <w:r>
              <w:rPr>
                <w:rFonts w:ascii="Arial" w:cs="Arial" w:eastAsia="Arial" w:hAnsi="Arial"/>
                <w:sz w:val="13"/>
                <w:szCs w:val="13"/>
                <w:b w:val="1"/>
                <w:bCs w:val="1"/>
                <w:color w:val="auto"/>
                <w:w w:val="96"/>
              </w:rPr>
              <w:t>(g)</w:t>
            </w:r>
          </w:p>
        </w:tc>
        <w:tc>
          <w:tcPr>
            <w:tcW w:w="900" w:type="dxa"/>
            <w:vAlign w:val="bottom"/>
            <w:tcBorders>
              <w:bottom w:val="single" w:sz="8" w:color="005CA9"/>
            </w:tcBorders>
          </w:tcPr>
          <w:p>
            <w:pPr>
              <w:jc w:val="center"/>
              <w:ind w:left="37"/>
              <w:spacing w:after="0"/>
              <w:rPr>
                <w:sz w:val="20"/>
                <w:szCs w:val="20"/>
                <w:color w:val="auto"/>
              </w:rPr>
            </w:pPr>
            <w:r>
              <w:rPr>
                <w:rFonts w:ascii="Arial" w:cs="Arial" w:eastAsia="Arial" w:hAnsi="Arial"/>
                <w:sz w:val="13"/>
                <w:szCs w:val="13"/>
                <w:b w:val="1"/>
                <w:bCs w:val="1"/>
                <w:color w:val="auto"/>
                <w:w w:val="96"/>
              </w:rPr>
              <w:t>(h)</w:t>
            </w:r>
          </w:p>
        </w:tc>
        <w:tc>
          <w:tcPr>
            <w:tcW w:w="1140" w:type="dxa"/>
            <w:vAlign w:val="bottom"/>
            <w:tcBorders>
              <w:bottom w:val="single" w:sz="8" w:color="005CA9"/>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860" w:type="dxa"/>
            <w:vAlign w:val="bottom"/>
            <w:tcBorders>
              <w:bottom w:val="single" w:sz="8" w:color="005CA9"/>
            </w:tcBorders>
          </w:tcPr>
          <w:p>
            <w:pPr>
              <w:jc w:val="center"/>
              <w:spacing w:after="0"/>
              <w:rPr>
                <w:sz w:val="20"/>
                <w:szCs w:val="20"/>
                <w:color w:val="auto"/>
              </w:rPr>
            </w:pPr>
            <w:r>
              <w:rPr>
                <w:rFonts w:ascii="Arial" w:cs="Arial" w:eastAsia="Arial" w:hAnsi="Arial"/>
                <w:sz w:val="13"/>
                <w:szCs w:val="13"/>
                <w:b w:val="1"/>
                <w:bCs w:val="1"/>
                <w:color w:val="auto"/>
                <w:w w:val="97"/>
              </w:rPr>
              <w:t>(l)</w:t>
            </w: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Dr. Keh-Shew Lu</w:t>
            </w: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Cash Incentive</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7"/>
              </w:rPr>
              <w:t>175,750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7"/>
              </w:rPr>
              <w:t>351,500</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w w:val="97"/>
              </w:rPr>
              <w:t>703,000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80" w:type="dxa"/>
            <w:vAlign w:val="bottom"/>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1480" w:type="dxa"/>
            <w:vAlign w:val="bottom"/>
          </w:tcPr>
          <w:p>
            <w:pPr>
              <w:ind w:left="160"/>
              <w:spacing w:after="0"/>
              <w:rPr>
                <w:sz w:val="20"/>
                <w:szCs w:val="20"/>
                <w:color w:val="auto"/>
              </w:rPr>
            </w:pPr>
            <w:r>
              <w:rPr>
                <w:rFonts w:ascii="Arial" w:cs="Arial" w:eastAsia="Arial" w:hAnsi="Arial"/>
                <w:sz w:val="13"/>
                <w:szCs w:val="13"/>
                <w:color w:val="auto"/>
              </w:rPr>
              <w:t>RSUs</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tcPr>
          <w:p>
            <w:pPr>
              <w:jc w:val="center"/>
              <w:ind w:right="17"/>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tcPr>
          <w:p>
            <w:pPr>
              <w:jc w:val="center"/>
              <w:ind w:left="17"/>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center"/>
              <w:spacing w:after="0"/>
              <w:rPr>
                <w:sz w:val="20"/>
                <w:szCs w:val="20"/>
                <w:color w:val="auto"/>
              </w:rPr>
            </w:pPr>
            <w:r>
              <w:rPr>
                <w:rFonts w:ascii="Arial" w:cs="Arial" w:eastAsia="Arial" w:hAnsi="Arial"/>
                <w:sz w:val="13"/>
                <w:szCs w:val="13"/>
                <w:color w:val="auto"/>
              </w:rPr>
              <w:t>12,500</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25,000</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5"/>
              </w:rPr>
              <w:t>50,000</w:t>
            </w:r>
          </w:p>
        </w:tc>
        <w:tc>
          <w:tcPr>
            <w:tcW w:w="11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1,411,250</w:t>
            </w: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shd w:val="clear" w:color="auto" w:fill="CFF0FC"/>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w w:val="95"/>
              </w:rPr>
              <w:t>25,000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1,411,250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6"/>
              </w:rPr>
              <w:t>5/13/25</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8"/>
              </w:rPr>
              <w:t>3,000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145,650</w:t>
            </w: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Gary Yu</w:t>
            </w: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Cash Incentive</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7"/>
              </w:rPr>
              <w:t>443,500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7"/>
              </w:rPr>
              <w:t>887,000</w:t>
            </w:r>
          </w:p>
        </w:tc>
        <w:tc>
          <w:tcPr>
            <w:tcW w:w="9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1,774,000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80" w:type="dxa"/>
            <w:vAlign w:val="bottom"/>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20" w:type="dxa"/>
            <w:vAlign w:val="bottom"/>
          </w:tcPr>
          <w:p>
            <w:pPr>
              <w:spacing w:after="0"/>
              <w:rPr>
                <w:sz w:val="13"/>
                <w:szCs w:val="13"/>
                <w:color w:val="auto"/>
              </w:rPr>
            </w:pPr>
          </w:p>
        </w:tc>
        <w:tc>
          <w:tcPr>
            <w:tcW w:w="1480" w:type="dxa"/>
            <w:vAlign w:val="bottom"/>
          </w:tcPr>
          <w:p>
            <w:pPr>
              <w:ind w:left="160"/>
              <w:spacing w:after="0"/>
              <w:rPr>
                <w:sz w:val="20"/>
                <w:szCs w:val="20"/>
                <w:color w:val="auto"/>
              </w:rPr>
            </w:pPr>
            <w:r>
              <w:rPr>
                <w:rFonts w:ascii="Arial" w:cs="Arial" w:eastAsia="Arial" w:hAnsi="Arial"/>
                <w:sz w:val="13"/>
                <w:szCs w:val="13"/>
                <w:color w:val="auto"/>
              </w:rPr>
              <w:t>RSUs</w:t>
            </w:r>
          </w:p>
        </w:tc>
        <w:tc>
          <w:tcPr>
            <w:tcW w:w="1100" w:type="dxa"/>
            <w:vAlign w:val="bottom"/>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tcPr>
          <w:p>
            <w:pPr>
              <w:jc w:val="center"/>
              <w:ind w:right="17"/>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tcPr>
          <w:p>
            <w:pPr>
              <w:jc w:val="center"/>
              <w:ind w:left="17"/>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center"/>
              <w:spacing w:after="0"/>
              <w:rPr>
                <w:sz w:val="20"/>
                <w:szCs w:val="20"/>
                <w:color w:val="auto"/>
              </w:rPr>
            </w:pPr>
            <w:r>
              <w:rPr>
                <w:rFonts w:ascii="Arial" w:cs="Arial" w:eastAsia="Arial" w:hAnsi="Arial"/>
                <w:sz w:val="13"/>
                <w:szCs w:val="13"/>
                <w:color w:val="auto"/>
              </w:rPr>
              <w:t>11,000</w:t>
            </w:r>
          </w:p>
        </w:tc>
        <w:tc>
          <w:tcPr>
            <w:tcW w:w="800" w:type="dxa"/>
            <w:vAlign w:val="bottom"/>
          </w:tcPr>
          <w:p>
            <w:pPr>
              <w:jc w:val="center"/>
              <w:spacing w:after="0"/>
              <w:rPr>
                <w:sz w:val="20"/>
                <w:szCs w:val="20"/>
                <w:color w:val="auto"/>
              </w:rPr>
            </w:pPr>
            <w:r>
              <w:rPr>
                <w:rFonts w:ascii="Arial" w:cs="Arial" w:eastAsia="Arial" w:hAnsi="Arial"/>
                <w:sz w:val="13"/>
                <w:szCs w:val="13"/>
                <w:color w:val="auto"/>
                <w:w w:val="95"/>
              </w:rPr>
              <w:t>22,000</w:t>
            </w:r>
          </w:p>
        </w:tc>
        <w:tc>
          <w:tcPr>
            <w:tcW w:w="900" w:type="dxa"/>
            <w:vAlign w:val="bottom"/>
          </w:tcPr>
          <w:p>
            <w:pPr>
              <w:jc w:val="center"/>
              <w:ind w:left="17"/>
              <w:spacing w:after="0"/>
              <w:rPr>
                <w:sz w:val="20"/>
                <w:szCs w:val="20"/>
                <w:color w:val="auto"/>
              </w:rPr>
            </w:pPr>
            <w:r>
              <w:rPr>
                <w:rFonts w:ascii="Arial" w:cs="Arial" w:eastAsia="Arial" w:hAnsi="Arial"/>
                <w:sz w:val="13"/>
                <w:szCs w:val="13"/>
                <w:color w:val="auto"/>
                <w:w w:val="95"/>
              </w:rPr>
              <w:t>44,000</w:t>
            </w:r>
          </w:p>
        </w:tc>
        <w:tc>
          <w:tcPr>
            <w:tcW w:w="11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6"/>
              </w:rPr>
              <w:t>1,241,900</w:t>
            </w: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shd w:val="clear" w:color="auto" w:fill="CFF0FC"/>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w w:val="95"/>
              </w:rPr>
              <w:t>22,000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1,241,900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6"/>
              </w:rPr>
              <w:t>5/13/25</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8"/>
              </w:rPr>
              <w:t>4,915</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238,623</w:t>
            </w: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Brett R. Whitmire</w:t>
            </w: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Cash Incentive</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7"/>
              </w:rPr>
              <w:t>122,500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7"/>
              </w:rPr>
              <w:t>245,000</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w w:val="97"/>
              </w:rPr>
              <w:t>490,000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80" w:type="dxa"/>
            <w:vAlign w:val="bottom"/>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480" w:type="dxa"/>
            <w:vAlign w:val="bottom"/>
            <w:vMerge w:val="restart"/>
          </w:tcPr>
          <w:p>
            <w:pPr>
              <w:ind w:left="160"/>
              <w:spacing w:after="0"/>
              <w:rPr>
                <w:sz w:val="20"/>
                <w:szCs w:val="20"/>
                <w:color w:val="auto"/>
              </w:rPr>
            </w:pPr>
            <w:r>
              <w:rPr>
                <w:rFonts w:ascii="Arial" w:cs="Arial" w:eastAsia="Arial" w:hAnsi="Arial"/>
                <w:sz w:val="13"/>
                <w:szCs w:val="13"/>
                <w:color w:val="auto"/>
              </w:rPr>
              <w:t>RSUs</w:t>
            </w:r>
          </w:p>
        </w:tc>
        <w:tc>
          <w:tcPr>
            <w:tcW w:w="1100" w:type="dxa"/>
            <w:vAlign w:val="bottom"/>
            <w:vMerge w:val="continue"/>
          </w:tcPr>
          <w:p>
            <w:pPr>
              <w:spacing w:after="0"/>
              <w:rPr>
                <w:sz w:val="8"/>
                <w:szCs w:val="8"/>
                <w:color w:val="auto"/>
              </w:rPr>
            </w:pPr>
          </w:p>
        </w:tc>
        <w:tc>
          <w:tcPr>
            <w:tcW w:w="880" w:type="dxa"/>
            <w:vAlign w:val="bottom"/>
            <w:vMerge w:val="restart"/>
          </w:tcPr>
          <w:p>
            <w:pPr>
              <w:jc w:val="center"/>
              <w:ind w:right="17"/>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vMerge w:val="restart"/>
          </w:tcPr>
          <w:p>
            <w:pPr>
              <w:jc w:val="center"/>
              <w:ind w:left="17"/>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4,000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8,000</w:t>
            </w:r>
          </w:p>
        </w:tc>
        <w:tc>
          <w:tcPr>
            <w:tcW w:w="900" w:type="dxa"/>
            <w:vAlign w:val="bottom"/>
            <w:vMerge w:val="restart"/>
          </w:tcPr>
          <w:p>
            <w:pPr>
              <w:jc w:val="center"/>
              <w:ind w:left="17"/>
              <w:spacing w:after="0"/>
              <w:rPr>
                <w:sz w:val="20"/>
                <w:szCs w:val="20"/>
                <w:color w:val="auto"/>
              </w:rPr>
            </w:pPr>
            <w:r>
              <w:rPr>
                <w:rFonts w:ascii="Arial" w:cs="Arial" w:eastAsia="Arial" w:hAnsi="Arial"/>
                <w:sz w:val="13"/>
                <w:szCs w:val="13"/>
                <w:color w:val="auto"/>
                <w:w w:val="95"/>
              </w:rPr>
              <w:t>16,000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55"/>
        </w:trPr>
        <w:tc>
          <w:tcPr>
            <w:tcW w:w="12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shd w:val="clear" w:color="auto" w:fill="CFF0FC"/>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8"/>
              </w:rPr>
              <w:t>8,000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135"/>
        </w:trPr>
        <w:tc>
          <w:tcPr>
            <w:tcW w:w="1220" w:type="dxa"/>
            <w:vAlign w:val="bottom"/>
          </w:tcPr>
          <w:p>
            <w:pPr>
              <w:spacing w:after="0" w:line="135" w:lineRule="exact"/>
              <w:rPr>
                <w:sz w:val="20"/>
                <w:szCs w:val="20"/>
                <w:color w:val="auto"/>
              </w:rPr>
            </w:pPr>
            <w:r>
              <w:rPr>
                <w:rFonts w:ascii="Arial" w:cs="Arial" w:eastAsia="Arial" w:hAnsi="Arial"/>
                <w:sz w:val="13"/>
                <w:szCs w:val="13"/>
                <w:b w:val="1"/>
                <w:bCs w:val="1"/>
                <w:color w:val="auto"/>
              </w:rPr>
              <w:t>Francis Tang</w:t>
            </w:r>
          </w:p>
        </w:tc>
        <w:tc>
          <w:tcPr>
            <w:tcW w:w="1480" w:type="dxa"/>
            <w:vAlign w:val="bottom"/>
          </w:tcPr>
          <w:p>
            <w:pPr>
              <w:ind w:left="160"/>
              <w:spacing w:after="0" w:line="135" w:lineRule="exact"/>
              <w:rPr>
                <w:sz w:val="20"/>
                <w:szCs w:val="20"/>
                <w:color w:val="auto"/>
              </w:rPr>
            </w:pPr>
            <w:r>
              <w:rPr>
                <w:rFonts w:ascii="Arial" w:cs="Arial" w:eastAsia="Arial" w:hAnsi="Arial"/>
                <w:sz w:val="13"/>
                <w:szCs w:val="13"/>
                <w:color w:val="auto"/>
              </w:rPr>
              <w:t>Cash Incentive</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7"/>
              </w:rPr>
              <w:t>143,500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7"/>
              </w:rPr>
              <w:t>287,000</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7"/>
              </w:rPr>
              <w:t>574,000</w:t>
            </w:r>
          </w:p>
        </w:tc>
        <w:tc>
          <w:tcPr>
            <w:tcW w:w="12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shd w:val="clear" w:color="auto" w:fill="CFF0FC"/>
          </w:tcPr>
          <w:p>
            <w:pPr>
              <w:spacing w:after="0"/>
              <w:rPr>
                <w:sz w:val="10"/>
                <w:szCs w:val="10"/>
                <w:color w:val="auto"/>
              </w:rPr>
            </w:pPr>
          </w:p>
        </w:tc>
        <w:tc>
          <w:tcPr>
            <w:tcW w:w="1480" w:type="dxa"/>
            <w:vAlign w:val="bottom"/>
            <w:shd w:val="clear" w:color="auto" w:fill="CFF0FC"/>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vMerge w:val="restart"/>
            <w:shd w:val="clear" w:color="auto" w:fill="CFF0FC"/>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2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shd w:val="clear" w:color="auto" w:fill="CFF0FC"/>
          </w:tcPr>
          <w:p>
            <w:pPr>
              <w:ind w:left="160"/>
              <w:spacing w:after="0" w:line="133" w:lineRule="exact"/>
              <w:rPr>
                <w:sz w:val="20"/>
                <w:szCs w:val="20"/>
                <w:color w:val="auto"/>
              </w:rPr>
            </w:pPr>
            <w:r>
              <w:rPr>
                <w:rFonts w:ascii="Arial" w:cs="Arial" w:eastAsia="Arial" w:hAnsi="Arial"/>
                <w:sz w:val="13"/>
                <w:szCs w:val="13"/>
                <w:color w:val="auto"/>
              </w:rPr>
              <w:t>RSUs</w:t>
            </w:r>
          </w:p>
        </w:tc>
        <w:tc>
          <w:tcPr>
            <w:tcW w:w="1100" w:type="dxa"/>
            <w:vAlign w:val="bottom"/>
            <w:tcBorders>
              <w:bottom w:val="single" w:sz="8" w:color="CFF0FC"/>
            </w:tcBorders>
            <w:vMerge w:val="continue"/>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center"/>
              <w:ind w:right="17"/>
              <w:spacing w:after="0" w:line="133" w:lineRule="exact"/>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1"/>
              </w:rPr>
              <w:t>—</w:t>
            </w:r>
          </w:p>
        </w:tc>
        <w:tc>
          <w:tcPr>
            <w:tcW w:w="940" w:type="dxa"/>
            <w:vAlign w:val="bottom"/>
            <w:tcBorders>
              <w:bottom w:val="single" w:sz="8" w:color="CFF0FC"/>
            </w:tcBorders>
            <w:shd w:val="clear" w:color="auto" w:fill="CFF0FC"/>
          </w:tcPr>
          <w:p>
            <w:pPr>
              <w:jc w:val="center"/>
              <w:ind w:left="17"/>
              <w:spacing w:after="0" w:line="133"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CFF0FC"/>
            </w:tcBorders>
            <w:gridSpan w:val="2"/>
            <w:shd w:val="clear" w:color="auto" w:fill="CFF0FC"/>
          </w:tcPr>
          <w:p>
            <w:pPr>
              <w:jc w:val="center"/>
              <w:spacing w:after="0" w:line="133" w:lineRule="exact"/>
              <w:rPr>
                <w:sz w:val="20"/>
                <w:szCs w:val="20"/>
                <w:color w:val="auto"/>
              </w:rPr>
            </w:pPr>
            <w:r>
              <w:rPr>
                <w:rFonts w:ascii="Arial" w:cs="Arial" w:eastAsia="Arial" w:hAnsi="Arial"/>
                <w:sz w:val="13"/>
                <w:szCs w:val="13"/>
                <w:color w:val="auto"/>
                <w:w w:val="98"/>
              </w:rPr>
              <w:t>4,000</w:t>
            </w:r>
          </w:p>
        </w:tc>
        <w:tc>
          <w:tcPr>
            <w:tcW w:w="80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8"/>
              </w:rPr>
              <w:t>8,000</w:t>
            </w:r>
          </w:p>
        </w:tc>
        <w:tc>
          <w:tcPr>
            <w:tcW w:w="900" w:type="dxa"/>
            <w:vAlign w:val="bottom"/>
            <w:tcBorders>
              <w:bottom w:val="single" w:sz="8" w:color="CFF0FC"/>
            </w:tcBorders>
            <w:shd w:val="clear" w:color="auto" w:fill="CFF0FC"/>
          </w:tcPr>
          <w:p>
            <w:pPr>
              <w:jc w:val="center"/>
              <w:ind w:left="17"/>
              <w:spacing w:after="0" w:line="133" w:lineRule="exact"/>
              <w:rPr>
                <w:sz w:val="20"/>
                <w:szCs w:val="20"/>
                <w:color w:val="auto"/>
              </w:rPr>
            </w:pPr>
            <w:r>
              <w:rPr>
                <w:rFonts w:ascii="Arial" w:cs="Arial" w:eastAsia="Arial" w:hAnsi="Arial"/>
                <w:sz w:val="13"/>
                <w:szCs w:val="13"/>
                <w:color w:val="auto"/>
                <w:w w:val="95"/>
              </w:rPr>
              <w:t>16,000</w:t>
            </w:r>
          </w:p>
        </w:tc>
        <w:tc>
          <w:tcPr>
            <w:tcW w:w="114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8"/>
              </w:rPr>
              <w:t>8,000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117"/>
        </w:trPr>
        <w:tc>
          <w:tcPr>
            <w:tcW w:w="1220" w:type="dxa"/>
            <w:vAlign w:val="bottom"/>
            <w:shd w:val="clear" w:color="auto" w:fill="CFF0FC"/>
          </w:tcPr>
          <w:p>
            <w:pPr>
              <w:spacing w:after="0" w:line="117" w:lineRule="exact"/>
              <w:rPr>
                <w:sz w:val="20"/>
                <w:szCs w:val="20"/>
                <w:color w:val="auto"/>
              </w:rPr>
            </w:pPr>
            <w:r>
              <w:rPr>
                <w:rFonts w:ascii="Arial" w:cs="Arial" w:eastAsia="Arial" w:hAnsi="Arial"/>
                <w:sz w:val="13"/>
                <w:szCs w:val="13"/>
                <w:b w:val="1"/>
                <w:bCs w:val="1"/>
                <w:color w:val="auto"/>
              </w:rPr>
              <w:t>Andy (Kuo-Ting)</w:t>
            </w:r>
          </w:p>
        </w:tc>
        <w:tc>
          <w:tcPr>
            <w:tcW w:w="148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20" w:type="dxa"/>
            <w:vAlign w:val="bottom"/>
            <w:tcBorders>
              <w:bottom w:val="single" w:sz="8" w:color="CFF0FC"/>
            </w:tcBorders>
            <w:shd w:val="clear" w:color="auto" w:fill="CFF0FC"/>
          </w:tcPr>
          <w:p>
            <w:pPr>
              <w:spacing w:after="0" w:line="133" w:lineRule="exact"/>
              <w:rPr>
                <w:sz w:val="20"/>
                <w:szCs w:val="20"/>
                <w:color w:val="auto"/>
              </w:rPr>
            </w:pPr>
            <w:r>
              <w:rPr>
                <w:rFonts w:ascii="Arial" w:cs="Arial" w:eastAsia="Arial" w:hAnsi="Arial"/>
                <w:sz w:val="13"/>
                <w:szCs w:val="13"/>
                <w:b w:val="1"/>
                <w:bCs w:val="1"/>
                <w:color w:val="auto"/>
              </w:rPr>
              <w:t>Tsong</w:t>
            </w:r>
          </w:p>
        </w:tc>
        <w:tc>
          <w:tcPr>
            <w:tcW w:w="1480" w:type="dxa"/>
            <w:vAlign w:val="bottom"/>
            <w:tcBorders>
              <w:bottom w:val="single" w:sz="8" w:color="CFF0FC"/>
            </w:tcBorders>
            <w:shd w:val="clear" w:color="auto" w:fill="CFF0FC"/>
          </w:tcPr>
          <w:p>
            <w:pPr>
              <w:ind w:left="160"/>
              <w:spacing w:after="0" w:line="133" w:lineRule="exact"/>
              <w:rPr>
                <w:sz w:val="20"/>
                <w:szCs w:val="20"/>
                <w:color w:val="auto"/>
              </w:rPr>
            </w:pPr>
            <w:r>
              <w:rPr>
                <w:rFonts w:ascii="Arial" w:cs="Arial" w:eastAsia="Arial" w:hAnsi="Arial"/>
                <w:sz w:val="13"/>
                <w:szCs w:val="13"/>
                <w:color w:val="auto"/>
              </w:rPr>
              <w:t>Cash Incentive</w:t>
            </w:r>
          </w:p>
        </w:tc>
        <w:tc>
          <w:tcPr>
            <w:tcW w:w="1100" w:type="dxa"/>
            <w:vAlign w:val="bottom"/>
            <w:tcBorders>
              <w:bottom w:val="single" w:sz="8" w:color="CFF0FC"/>
            </w:tcBorders>
            <w:vMerge w:val="continue"/>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center"/>
              <w:ind w:right="37"/>
              <w:spacing w:after="0" w:line="133" w:lineRule="exact"/>
              <w:rPr>
                <w:sz w:val="20"/>
                <w:szCs w:val="20"/>
                <w:color w:val="auto"/>
              </w:rPr>
            </w:pPr>
            <w:r>
              <w:rPr>
                <w:rFonts w:ascii="Arial" w:cs="Arial" w:eastAsia="Arial" w:hAnsi="Arial"/>
                <w:sz w:val="13"/>
                <w:szCs w:val="13"/>
                <w:color w:val="auto"/>
                <w:w w:val="97"/>
              </w:rPr>
              <w:t>122,500</w:t>
            </w:r>
          </w:p>
        </w:tc>
        <w:tc>
          <w:tcPr>
            <w:tcW w:w="86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7"/>
              </w:rPr>
              <w:t>245,000</w:t>
            </w:r>
          </w:p>
        </w:tc>
        <w:tc>
          <w:tcPr>
            <w:tcW w:w="940" w:type="dxa"/>
            <w:vAlign w:val="bottom"/>
            <w:tcBorders>
              <w:bottom w:val="single" w:sz="8" w:color="CFF0FC"/>
            </w:tcBorders>
            <w:shd w:val="clear" w:color="auto" w:fill="CFF0FC"/>
          </w:tcPr>
          <w:p>
            <w:pPr>
              <w:jc w:val="center"/>
              <w:ind w:left="17"/>
              <w:spacing w:after="0" w:line="133" w:lineRule="exact"/>
              <w:rPr>
                <w:sz w:val="20"/>
                <w:szCs w:val="20"/>
                <w:color w:val="auto"/>
              </w:rPr>
            </w:pPr>
            <w:r>
              <w:rPr>
                <w:rFonts w:ascii="Arial" w:cs="Arial" w:eastAsia="Arial" w:hAnsi="Arial"/>
                <w:sz w:val="13"/>
                <w:szCs w:val="13"/>
                <w:color w:val="auto"/>
                <w:w w:val="97"/>
              </w:rPr>
              <w:t>490,000</w:t>
            </w: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ind w:right="37"/>
              <w:spacing w:after="0" w:line="133" w:lineRule="exact"/>
              <w:rPr>
                <w:sz w:val="20"/>
                <w:szCs w:val="20"/>
                <w:color w:val="auto"/>
              </w:rPr>
            </w:pPr>
            <w:r>
              <w:rPr>
                <w:rFonts w:ascii="Arial" w:cs="Arial" w:eastAsia="Arial" w:hAnsi="Arial"/>
                <w:sz w:val="13"/>
                <w:szCs w:val="13"/>
                <w:color w:val="auto"/>
                <w:w w:val="91"/>
              </w:rPr>
              <w:t>—</w:t>
            </w:r>
          </w:p>
        </w:tc>
        <w:tc>
          <w:tcPr>
            <w:tcW w:w="80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CFF0FC"/>
            </w:tcBorders>
            <w:shd w:val="clear" w:color="auto" w:fill="CFF0FC"/>
          </w:tcPr>
          <w:p>
            <w:pPr>
              <w:jc w:val="center"/>
              <w:ind w:left="17"/>
              <w:spacing w:after="0" w:line="133"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80" w:type="dxa"/>
            <w:vAlign w:val="bottom"/>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480" w:type="dxa"/>
            <w:vAlign w:val="bottom"/>
            <w:vMerge w:val="restart"/>
          </w:tcPr>
          <w:p>
            <w:pPr>
              <w:ind w:left="160"/>
              <w:spacing w:after="0"/>
              <w:rPr>
                <w:sz w:val="20"/>
                <w:szCs w:val="20"/>
                <w:color w:val="auto"/>
              </w:rPr>
            </w:pPr>
            <w:r>
              <w:rPr>
                <w:rFonts w:ascii="Arial" w:cs="Arial" w:eastAsia="Arial" w:hAnsi="Arial"/>
                <w:sz w:val="13"/>
                <w:szCs w:val="13"/>
                <w:color w:val="auto"/>
              </w:rPr>
              <w:t>RSUs</w:t>
            </w:r>
          </w:p>
        </w:tc>
        <w:tc>
          <w:tcPr>
            <w:tcW w:w="1100" w:type="dxa"/>
            <w:vAlign w:val="bottom"/>
            <w:vMerge w:val="continue"/>
          </w:tcPr>
          <w:p>
            <w:pPr>
              <w:spacing w:after="0"/>
              <w:rPr>
                <w:sz w:val="8"/>
                <w:szCs w:val="8"/>
                <w:color w:val="auto"/>
              </w:rPr>
            </w:pPr>
          </w:p>
        </w:tc>
        <w:tc>
          <w:tcPr>
            <w:tcW w:w="880" w:type="dxa"/>
            <w:vAlign w:val="bottom"/>
            <w:vMerge w:val="restart"/>
          </w:tcPr>
          <w:p>
            <w:pPr>
              <w:jc w:val="center"/>
              <w:ind w:right="17"/>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vMerge w:val="restart"/>
          </w:tcPr>
          <w:p>
            <w:pPr>
              <w:jc w:val="center"/>
              <w:ind w:left="17"/>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4,000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8,000</w:t>
            </w:r>
          </w:p>
        </w:tc>
        <w:tc>
          <w:tcPr>
            <w:tcW w:w="900" w:type="dxa"/>
            <w:vAlign w:val="bottom"/>
            <w:vMerge w:val="restart"/>
          </w:tcPr>
          <w:p>
            <w:pPr>
              <w:jc w:val="center"/>
              <w:ind w:left="17"/>
              <w:spacing w:after="0"/>
              <w:rPr>
                <w:sz w:val="20"/>
                <w:szCs w:val="20"/>
                <w:color w:val="auto"/>
              </w:rPr>
            </w:pPr>
            <w:r>
              <w:rPr>
                <w:rFonts w:ascii="Arial" w:cs="Arial" w:eastAsia="Arial" w:hAnsi="Arial"/>
                <w:sz w:val="13"/>
                <w:szCs w:val="13"/>
                <w:color w:val="auto"/>
                <w:w w:val="95"/>
              </w:rPr>
              <w:t>16,000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rPr>
                <w:sz w:val="11"/>
                <w:szCs w:val="11"/>
                <w:color w:val="auto"/>
              </w:rPr>
            </w:pP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shd w:val="clear" w:color="auto" w:fill="CFF0FC"/>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8"/>
              </w:rPr>
              <w:t>8,000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135"/>
        </w:trPr>
        <w:tc>
          <w:tcPr>
            <w:tcW w:w="1220" w:type="dxa"/>
            <w:vAlign w:val="bottom"/>
          </w:tcPr>
          <w:p>
            <w:pPr>
              <w:spacing w:after="0" w:line="135" w:lineRule="exact"/>
              <w:rPr>
                <w:sz w:val="20"/>
                <w:szCs w:val="20"/>
                <w:color w:val="auto"/>
              </w:rPr>
            </w:pPr>
            <w:r>
              <w:rPr>
                <w:rFonts w:ascii="Arial" w:cs="Arial" w:eastAsia="Arial" w:hAnsi="Arial"/>
                <w:sz w:val="13"/>
                <w:szCs w:val="13"/>
                <w:b w:val="1"/>
                <w:bCs w:val="1"/>
                <w:color w:val="auto"/>
              </w:rPr>
              <w:t>Emily Yang</w:t>
            </w:r>
          </w:p>
        </w:tc>
        <w:tc>
          <w:tcPr>
            <w:tcW w:w="1480" w:type="dxa"/>
            <w:vAlign w:val="bottom"/>
          </w:tcPr>
          <w:p>
            <w:pPr>
              <w:ind w:left="160"/>
              <w:spacing w:after="0" w:line="135" w:lineRule="exact"/>
              <w:rPr>
                <w:sz w:val="20"/>
                <w:szCs w:val="20"/>
                <w:color w:val="auto"/>
              </w:rPr>
            </w:pPr>
            <w:r>
              <w:rPr>
                <w:rFonts w:ascii="Arial" w:cs="Arial" w:eastAsia="Arial" w:hAnsi="Arial"/>
                <w:sz w:val="13"/>
                <w:szCs w:val="13"/>
                <w:color w:val="auto"/>
              </w:rPr>
              <w:t>Cash Incentive</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7"/>
              </w:rPr>
              <w:t>122,500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7"/>
              </w:rPr>
              <w:t>245,000</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7"/>
              </w:rPr>
              <w:t>490,000</w:t>
            </w:r>
          </w:p>
        </w:tc>
        <w:tc>
          <w:tcPr>
            <w:tcW w:w="12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shd w:val="clear" w:color="auto" w:fill="CFF0FC"/>
          </w:tcPr>
          <w:p>
            <w:pPr>
              <w:spacing w:after="0"/>
              <w:rPr>
                <w:sz w:val="10"/>
                <w:szCs w:val="10"/>
                <w:color w:val="auto"/>
              </w:rPr>
            </w:pPr>
          </w:p>
        </w:tc>
        <w:tc>
          <w:tcPr>
            <w:tcW w:w="1480" w:type="dxa"/>
            <w:vAlign w:val="bottom"/>
            <w:shd w:val="clear" w:color="auto" w:fill="CFF0FC"/>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vMerge w:val="restart"/>
            <w:shd w:val="clear" w:color="auto" w:fill="CFF0FC"/>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2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shd w:val="clear" w:color="auto" w:fill="CFF0FC"/>
          </w:tcPr>
          <w:p>
            <w:pPr>
              <w:ind w:left="160"/>
              <w:spacing w:after="0" w:line="133" w:lineRule="exact"/>
              <w:rPr>
                <w:sz w:val="20"/>
                <w:szCs w:val="20"/>
                <w:color w:val="auto"/>
              </w:rPr>
            </w:pPr>
            <w:r>
              <w:rPr>
                <w:rFonts w:ascii="Arial" w:cs="Arial" w:eastAsia="Arial" w:hAnsi="Arial"/>
                <w:sz w:val="13"/>
                <w:szCs w:val="13"/>
                <w:color w:val="auto"/>
              </w:rPr>
              <w:t>RSUs</w:t>
            </w:r>
          </w:p>
        </w:tc>
        <w:tc>
          <w:tcPr>
            <w:tcW w:w="1100" w:type="dxa"/>
            <w:vAlign w:val="bottom"/>
            <w:tcBorders>
              <w:bottom w:val="single" w:sz="8" w:color="CFF0FC"/>
            </w:tcBorders>
            <w:vMerge w:val="continue"/>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center"/>
              <w:ind w:right="17"/>
              <w:spacing w:after="0" w:line="133" w:lineRule="exact"/>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1"/>
              </w:rPr>
              <w:t>—</w:t>
            </w:r>
          </w:p>
        </w:tc>
        <w:tc>
          <w:tcPr>
            <w:tcW w:w="940" w:type="dxa"/>
            <w:vAlign w:val="bottom"/>
            <w:tcBorders>
              <w:bottom w:val="single" w:sz="8" w:color="CFF0FC"/>
            </w:tcBorders>
            <w:shd w:val="clear" w:color="auto" w:fill="CFF0FC"/>
          </w:tcPr>
          <w:p>
            <w:pPr>
              <w:jc w:val="center"/>
              <w:ind w:left="17"/>
              <w:spacing w:after="0" w:line="133"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CFF0FC"/>
            </w:tcBorders>
            <w:gridSpan w:val="2"/>
            <w:shd w:val="clear" w:color="auto" w:fill="CFF0FC"/>
          </w:tcPr>
          <w:p>
            <w:pPr>
              <w:jc w:val="center"/>
              <w:spacing w:after="0" w:line="133" w:lineRule="exact"/>
              <w:rPr>
                <w:sz w:val="20"/>
                <w:szCs w:val="20"/>
                <w:color w:val="auto"/>
              </w:rPr>
            </w:pPr>
            <w:r>
              <w:rPr>
                <w:rFonts w:ascii="Arial" w:cs="Arial" w:eastAsia="Arial" w:hAnsi="Arial"/>
                <w:sz w:val="13"/>
                <w:szCs w:val="13"/>
                <w:color w:val="auto"/>
                <w:w w:val="98"/>
              </w:rPr>
              <w:t>4,000</w:t>
            </w:r>
          </w:p>
        </w:tc>
        <w:tc>
          <w:tcPr>
            <w:tcW w:w="80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8"/>
              </w:rPr>
              <w:t>8,000</w:t>
            </w:r>
          </w:p>
        </w:tc>
        <w:tc>
          <w:tcPr>
            <w:tcW w:w="900" w:type="dxa"/>
            <w:vAlign w:val="bottom"/>
            <w:tcBorders>
              <w:bottom w:val="single" w:sz="8" w:color="CFF0FC"/>
            </w:tcBorders>
            <w:shd w:val="clear" w:color="auto" w:fill="CFF0FC"/>
          </w:tcPr>
          <w:p>
            <w:pPr>
              <w:jc w:val="center"/>
              <w:ind w:left="17"/>
              <w:spacing w:after="0" w:line="133" w:lineRule="exact"/>
              <w:rPr>
                <w:sz w:val="20"/>
                <w:szCs w:val="20"/>
                <w:color w:val="auto"/>
              </w:rPr>
            </w:pPr>
            <w:r>
              <w:rPr>
                <w:rFonts w:ascii="Arial" w:cs="Arial" w:eastAsia="Arial" w:hAnsi="Arial"/>
                <w:sz w:val="13"/>
                <w:szCs w:val="13"/>
                <w:color w:val="auto"/>
                <w:w w:val="95"/>
              </w:rPr>
              <w:t>16,000</w:t>
            </w:r>
          </w:p>
        </w:tc>
        <w:tc>
          <w:tcPr>
            <w:tcW w:w="114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CFF0FC"/>
            </w:tcBorders>
            <w:shd w:val="clear" w:color="auto" w:fill="CFF0FC"/>
          </w:tcPr>
          <w:p>
            <w:pPr>
              <w:jc w:val="center"/>
              <w:spacing w:after="0" w:line="133"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80" w:type="dxa"/>
            <w:vAlign w:val="bottom"/>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center"/>
              <w:spacing w:after="0" w:line="135" w:lineRule="exact"/>
              <w:rPr>
                <w:sz w:val="20"/>
                <w:szCs w:val="20"/>
                <w:color w:val="auto"/>
              </w:rPr>
            </w:pPr>
            <w:r>
              <w:rPr>
                <w:rFonts w:ascii="Arial" w:cs="Arial" w:eastAsia="Arial" w:hAnsi="Arial"/>
                <w:sz w:val="13"/>
                <w:szCs w:val="13"/>
                <w:color w:val="auto"/>
                <w:w w:val="98"/>
              </w:rPr>
              <w:t>8,000</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135"/>
        </w:trPr>
        <w:tc>
          <w:tcPr>
            <w:tcW w:w="122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Jin Zhao</w:t>
            </w:r>
          </w:p>
        </w:tc>
        <w:tc>
          <w:tcPr>
            <w:tcW w:w="1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Cash Incentive</w:t>
            </w:r>
          </w:p>
        </w:tc>
        <w:tc>
          <w:tcPr>
            <w:tcW w:w="11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7"/>
              </w:rPr>
              <w:t>122,500</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7"/>
              </w:rPr>
              <w:t>245,000</w:t>
            </w:r>
          </w:p>
        </w:tc>
        <w:tc>
          <w:tcPr>
            <w:tcW w:w="94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w w:val="97"/>
              </w:rPr>
              <w:t>490,000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80" w:type="dxa"/>
            <w:vAlign w:val="bottom"/>
          </w:tcPr>
          <w:p>
            <w:pPr>
              <w:ind w:left="160"/>
              <w:spacing w:after="0" w:line="117" w:lineRule="exact"/>
              <w:rPr>
                <w:sz w:val="20"/>
                <w:szCs w:val="20"/>
                <w:color w:val="auto"/>
              </w:rPr>
            </w:pPr>
            <w:r>
              <w:rPr>
                <w:rFonts w:ascii="Arial" w:cs="Arial" w:eastAsia="Arial" w:hAnsi="Arial"/>
                <w:sz w:val="13"/>
                <w:szCs w:val="13"/>
                <w:color w:val="auto"/>
              </w:rPr>
              <w:t>Performance-based</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auto"/>
                <w:w w:val="99"/>
              </w:rPr>
              <w:t>2/3/25</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480" w:type="dxa"/>
            <w:vAlign w:val="bottom"/>
            <w:vMerge w:val="restart"/>
          </w:tcPr>
          <w:p>
            <w:pPr>
              <w:ind w:left="160"/>
              <w:spacing w:after="0"/>
              <w:rPr>
                <w:sz w:val="20"/>
                <w:szCs w:val="20"/>
                <w:color w:val="auto"/>
              </w:rPr>
            </w:pPr>
            <w:r>
              <w:rPr>
                <w:rFonts w:ascii="Arial" w:cs="Arial" w:eastAsia="Arial" w:hAnsi="Arial"/>
                <w:sz w:val="13"/>
                <w:szCs w:val="13"/>
                <w:color w:val="auto"/>
              </w:rPr>
              <w:t>RSUs</w:t>
            </w:r>
          </w:p>
        </w:tc>
        <w:tc>
          <w:tcPr>
            <w:tcW w:w="1100" w:type="dxa"/>
            <w:vAlign w:val="bottom"/>
            <w:vMerge w:val="continue"/>
          </w:tcPr>
          <w:p>
            <w:pPr>
              <w:spacing w:after="0"/>
              <w:rPr>
                <w:sz w:val="8"/>
                <w:szCs w:val="8"/>
                <w:color w:val="auto"/>
              </w:rPr>
            </w:pPr>
          </w:p>
        </w:tc>
        <w:tc>
          <w:tcPr>
            <w:tcW w:w="880" w:type="dxa"/>
            <w:vAlign w:val="bottom"/>
            <w:vMerge w:val="restart"/>
          </w:tcPr>
          <w:p>
            <w:pPr>
              <w:jc w:val="center"/>
              <w:ind w:right="17"/>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40" w:type="dxa"/>
            <w:vAlign w:val="bottom"/>
            <w:vMerge w:val="restart"/>
          </w:tcPr>
          <w:p>
            <w:pPr>
              <w:jc w:val="center"/>
              <w:ind w:left="17"/>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auto"/>
                <w:w w:val="98"/>
              </w:rPr>
              <w:t>4,000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98"/>
              </w:rPr>
              <w:t>8,000</w:t>
            </w:r>
          </w:p>
        </w:tc>
        <w:tc>
          <w:tcPr>
            <w:tcW w:w="900" w:type="dxa"/>
            <w:vAlign w:val="bottom"/>
            <w:vMerge w:val="restart"/>
          </w:tcPr>
          <w:p>
            <w:pPr>
              <w:jc w:val="center"/>
              <w:ind w:left="17"/>
              <w:spacing w:after="0"/>
              <w:rPr>
                <w:sz w:val="20"/>
                <w:szCs w:val="20"/>
                <w:color w:val="auto"/>
              </w:rPr>
            </w:pPr>
            <w:r>
              <w:rPr>
                <w:rFonts w:ascii="Arial" w:cs="Arial" w:eastAsia="Arial" w:hAnsi="Arial"/>
                <w:sz w:val="13"/>
                <w:szCs w:val="13"/>
                <w:color w:val="auto"/>
                <w:w w:val="95"/>
              </w:rPr>
              <w:t>16,000</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r>
        <w:trPr>
          <w:trHeight w:val="55"/>
        </w:trPr>
        <w:tc>
          <w:tcPr>
            <w:tcW w:w="12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005CA9"/>
            </w:tcBorders>
            <w:shd w:val="clear" w:color="auto" w:fill="CFF0FC"/>
          </w:tcPr>
          <w:p>
            <w:pPr>
              <w:spacing w:after="0"/>
              <w:rPr>
                <w:sz w:val="11"/>
                <w:szCs w:val="11"/>
                <w:color w:val="auto"/>
              </w:rPr>
            </w:pPr>
          </w:p>
        </w:tc>
        <w:tc>
          <w:tcPr>
            <w:tcW w:w="1480" w:type="dxa"/>
            <w:vAlign w:val="bottom"/>
            <w:tcBorders>
              <w:bottom w:val="single" w:sz="8" w:color="005CA9"/>
            </w:tcBorders>
            <w:shd w:val="clear" w:color="auto" w:fill="CFF0FC"/>
          </w:tcPr>
          <w:p>
            <w:pPr>
              <w:ind w:left="160"/>
              <w:spacing w:after="0" w:line="135" w:lineRule="exact"/>
              <w:rPr>
                <w:sz w:val="20"/>
                <w:szCs w:val="20"/>
                <w:color w:val="auto"/>
              </w:rPr>
            </w:pPr>
            <w:r>
              <w:rPr>
                <w:rFonts w:ascii="Arial" w:cs="Arial" w:eastAsia="Arial" w:hAnsi="Arial"/>
                <w:sz w:val="13"/>
                <w:szCs w:val="13"/>
                <w:color w:val="auto"/>
              </w:rPr>
              <w:t>Time-based RSUs</w:t>
            </w:r>
          </w:p>
        </w:tc>
        <w:tc>
          <w:tcPr>
            <w:tcW w:w="1100" w:type="dxa"/>
            <w:vAlign w:val="bottom"/>
            <w:tcBorders>
              <w:bottom w:val="single" w:sz="8" w:color="005CA9"/>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9"/>
              </w:rPr>
              <w:t>2/3/25</w:t>
            </w:r>
          </w:p>
        </w:tc>
        <w:tc>
          <w:tcPr>
            <w:tcW w:w="880" w:type="dxa"/>
            <w:vAlign w:val="bottom"/>
            <w:tcBorders>
              <w:bottom w:val="single" w:sz="8" w:color="005CA9"/>
            </w:tcBorders>
            <w:shd w:val="clear" w:color="auto" w:fill="CFF0FC"/>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860" w:type="dxa"/>
            <w:vAlign w:val="bottom"/>
            <w:tcBorders>
              <w:bottom w:val="single" w:sz="8" w:color="005CA9"/>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1"/>
              </w:rPr>
              <w:t>—</w:t>
            </w:r>
          </w:p>
        </w:tc>
        <w:tc>
          <w:tcPr>
            <w:tcW w:w="940" w:type="dxa"/>
            <w:vAlign w:val="bottom"/>
            <w:tcBorders>
              <w:bottom w:val="single" w:sz="8" w:color="005CA9"/>
            </w:tcBorders>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005CA9"/>
            </w:tcBorders>
            <w:shd w:val="clear" w:color="auto" w:fill="CFF0FC"/>
          </w:tcPr>
          <w:p>
            <w:pPr>
              <w:spacing w:after="0"/>
              <w:rPr>
                <w:sz w:val="11"/>
                <w:szCs w:val="11"/>
                <w:color w:val="auto"/>
              </w:rPr>
            </w:pPr>
          </w:p>
        </w:tc>
        <w:tc>
          <w:tcPr>
            <w:tcW w:w="940" w:type="dxa"/>
            <w:vAlign w:val="bottom"/>
            <w:tcBorders>
              <w:bottom w:val="single" w:sz="8" w:color="005CA9"/>
            </w:tcBorders>
            <w:shd w:val="clear" w:color="auto" w:fill="CFF0FC"/>
          </w:tcPr>
          <w:p>
            <w:pPr>
              <w:jc w:val="center"/>
              <w:ind w:right="37"/>
              <w:spacing w:after="0" w:line="135" w:lineRule="exact"/>
              <w:rPr>
                <w:sz w:val="20"/>
                <w:szCs w:val="20"/>
                <w:color w:val="auto"/>
              </w:rPr>
            </w:pPr>
            <w:r>
              <w:rPr>
                <w:rFonts w:ascii="Arial" w:cs="Arial" w:eastAsia="Arial" w:hAnsi="Arial"/>
                <w:sz w:val="13"/>
                <w:szCs w:val="13"/>
                <w:color w:val="auto"/>
                <w:w w:val="91"/>
              </w:rPr>
              <w:t>—</w:t>
            </w:r>
          </w:p>
        </w:tc>
        <w:tc>
          <w:tcPr>
            <w:tcW w:w="800" w:type="dxa"/>
            <w:vAlign w:val="bottom"/>
            <w:tcBorders>
              <w:bottom w:val="single" w:sz="8" w:color="005CA9"/>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005CA9"/>
            </w:tcBorders>
            <w:shd w:val="clear" w:color="auto" w:fill="CFF0FC"/>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005CA9"/>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8"/>
              </w:rPr>
              <w:t>8,000</w:t>
            </w:r>
          </w:p>
        </w:tc>
        <w:tc>
          <w:tcPr>
            <w:tcW w:w="860" w:type="dxa"/>
            <w:vAlign w:val="bottom"/>
            <w:tcBorders>
              <w:bottom w:val="single" w:sz="8" w:color="005CA9"/>
            </w:tcBorders>
            <w:shd w:val="clear" w:color="auto" w:fill="CFF0FC"/>
          </w:tcPr>
          <w:p>
            <w:pPr>
              <w:jc w:val="center"/>
              <w:spacing w:after="0" w:line="135" w:lineRule="exact"/>
              <w:rPr>
                <w:sz w:val="20"/>
                <w:szCs w:val="20"/>
                <w:color w:val="auto"/>
              </w:rPr>
            </w:pPr>
            <w:r>
              <w:rPr>
                <w:rFonts w:ascii="Arial" w:cs="Arial" w:eastAsia="Arial" w:hAnsi="Arial"/>
                <w:sz w:val="13"/>
                <w:szCs w:val="13"/>
                <w:color w:val="auto"/>
                <w:w w:val="93"/>
              </w:rPr>
              <w:t>451,600</w:t>
            </w:r>
          </w:p>
        </w:tc>
        <w:tc>
          <w:tcPr>
            <w:tcW w:w="0" w:type="dxa"/>
            <w:vAlign w:val="bottom"/>
          </w:tcPr>
          <w:p>
            <w:pPr>
              <w:spacing w:after="0"/>
              <w:rPr>
                <w:sz w:val="1"/>
                <w:szCs w:val="1"/>
                <w:color w:val="auto"/>
              </w:rPr>
            </w:pPr>
          </w:p>
        </w:tc>
      </w:tr>
    </w:tbl>
    <w:p>
      <w:pPr>
        <w:jc w:val="both"/>
        <w:ind w:left="300" w:hanging="292"/>
        <w:spacing w:after="0"/>
        <w:tabs>
          <w:tab w:leader="none" w:pos="300" w:val="left"/>
        </w:tabs>
        <w:numPr>
          <w:ilvl w:val="0"/>
          <w:numId w:val="34"/>
        </w:numPr>
        <w:rPr>
          <w:rFonts w:ascii="Calibri" w:cs="Calibri" w:eastAsia="Calibri" w:hAnsi="Calibri"/>
          <w:sz w:val="14"/>
          <w:szCs w:val="14"/>
          <w:color w:val="auto"/>
        </w:rPr>
      </w:pPr>
      <w:r>
        <w:rPr>
          <w:rFonts w:ascii="Arial" w:cs="Arial" w:eastAsia="Arial" w:hAnsi="Arial"/>
          <w:sz w:val="14"/>
          <w:szCs w:val="14"/>
          <w:color w:val="auto"/>
        </w:rPr>
        <w:t>The amounts shown are the cash bonus threshold, target, and maximum for 2025. This amount consists of any performance-based bonus and any discretionary bonus. Under the executive bonus formula that established the target bonus for each executive officer (i) 80% of the bonus was tied to the financial metrics of the Company and (ii) 20% of the bonus was tied to individual goals for each NEO. See “Compensation Discussion and Analysis – Principal Components of Compensation – Annual (Bonus) Incentive Plan.”</w:t>
      </w:r>
    </w:p>
    <w:p>
      <w:pPr>
        <w:spacing w:after="0" w:line="159" w:lineRule="exact"/>
        <w:rPr>
          <w:rFonts w:ascii="Calibri" w:cs="Calibri" w:eastAsia="Calibri" w:hAnsi="Calibri"/>
          <w:sz w:val="14"/>
          <w:szCs w:val="14"/>
          <w:color w:val="auto"/>
        </w:rPr>
      </w:pPr>
    </w:p>
    <w:p>
      <w:pPr>
        <w:jc w:val="both"/>
        <w:ind w:left="300" w:hanging="292"/>
        <w:spacing w:after="0" w:line="242" w:lineRule="auto"/>
        <w:tabs>
          <w:tab w:leader="none" w:pos="300" w:val="left"/>
        </w:tabs>
        <w:numPr>
          <w:ilvl w:val="0"/>
          <w:numId w:val="34"/>
        </w:numPr>
        <w:rPr>
          <w:rFonts w:ascii="Calibri" w:cs="Calibri" w:eastAsia="Calibri" w:hAnsi="Calibri"/>
          <w:sz w:val="14"/>
          <w:szCs w:val="14"/>
          <w:color w:val="auto"/>
        </w:rPr>
      </w:pPr>
      <w:r>
        <w:rPr>
          <w:rFonts w:ascii="Arial" w:cs="Arial" w:eastAsia="Arial" w:hAnsi="Arial"/>
          <w:sz w:val="14"/>
          <w:szCs w:val="14"/>
          <w:color w:val="auto"/>
        </w:rPr>
        <w:t>These amounts reflect the value determined by the Company for accounting purposes for these awards and do not reflect whether each NEO has actually realized a financial benefit from the awards. Pursuant to SEC rules, the amounts shown exclude the impact of estimated forfeitures related to service-based vesting conditions. Grant date fair value reported for stock awards in the form of RSUs and PSUs is calculated by multiplying the number of shares subject to the award by the closing price of the Company’s Common Stock on the grant date. See Note 14, Share-Based Compensation, to the Company’s audited financial statements for the fiscal year ended December 31, 2025, included in the Company’s Annual Report on Form 10-K filed with the SEC on February 10, 2026, for a further discussion of the relevant valuation assumptions used in calculating grant date fair value. RSU awards vest in four equal annual installments. PSUs contain a performance-based vesting condition under which the PSUs will vest upon the Company achieving a cumulative 3-year performance-related condition.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48" w:name="page49"/>
    <w:bookmarkEnd w:id="48"/>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CEO Pay Ratio — 2025</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At the end of 2025 the Company had approximately 7,989 employees worldwide, located mainly in Asia. The annual total compensation for our median employee for 2025 was $23,574 and $4,331,731 for our CEO. The resulting ratio of our CEO’s pay to the pay of our median employee for 2025 was 184 to 1. The annual total compensation for our median US employee for 2025 was $122,637 and the resulting ratio of our CEO’s pay to the pay of our median US employee for 2025 was 35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identified the median employee by examining the 2025 compensation data for all individuals, excluding our CEO, who were employed by us as of December 31, 2025. We included all employees, whether employed on a full-time, part-time or seasonal basis. We did not make any cost-of-living adjustments in identifying the median employee. We also did not make any assumptions or adjustments with respect to total cash compensation. We calculated the median employee’s annual total compensation using the same methodology we use for our NEOs as set forth in the 2025 Summary Compensation Table in this Proxy Statement.</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9" w:name="page50"/>
    <w:bookmarkEnd w:id="49"/>
    <w:p>
      <w:pPr>
        <w:jc w:val="both"/>
        <w:spacing w:after="0" w:line="266" w:lineRule="auto"/>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612140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t>NARRATIVE TO SUMMARY COMPENSATION TABLE AND 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22"/>
          <w:szCs w:val="22"/>
          <w:b w:val="1"/>
          <w:bCs w:val="1"/>
          <w:color w:val="005CA9"/>
        </w:rPr>
        <w:t>Gary Yu Employment Agreement</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b w:val="1"/>
          <w:bCs w:val="1"/>
          <w:i w:val="1"/>
          <w:iCs w:val="1"/>
          <w:color w:val="auto"/>
        </w:rPr>
        <w:t xml:space="preserve">2025 Employment Agreement </w:t>
      </w:r>
      <w:r>
        <w:rPr>
          <w:rFonts w:ascii="Arial" w:cs="Arial" w:eastAsia="Arial" w:hAnsi="Arial"/>
          <w:sz w:val="20"/>
          <w:szCs w:val="20"/>
          <w:color w:val="auto"/>
        </w:rPr>
        <w:t>The following is a summary of Mr. Yu’s employment agreement entered into on May 13, 2025.</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employment agreement memorializes Mr. Yu as President and Chief Executive Officer, and provides that Mr. Yu is entitled to (i) receive an annual base salary of $740,000 (subject to adjustment at the discretion of the Company's Board of Directors);</w:t>
      </w:r>
    </w:p>
    <w:p>
      <w:pPr>
        <w:spacing w:after="0" w:line="1" w:lineRule="exact"/>
        <w:rPr>
          <w:sz w:val="20"/>
          <w:szCs w:val="20"/>
          <w:color w:val="auto"/>
        </w:rPr>
      </w:pPr>
    </w:p>
    <w:p>
      <w:pPr>
        <w:jc w:val="both"/>
        <w:ind w:firstLine="8"/>
        <w:spacing w:after="0" w:line="231" w:lineRule="auto"/>
        <w:tabs>
          <w:tab w:leader="none" w:pos="282" w:val="left"/>
        </w:tabs>
        <w:numPr>
          <w:ilvl w:val="0"/>
          <w:numId w:val="35"/>
        </w:numPr>
        <w:rPr>
          <w:rFonts w:ascii="Arial" w:cs="Arial" w:eastAsia="Arial" w:hAnsi="Arial"/>
          <w:sz w:val="20"/>
          <w:szCs w:val="20"/>
          <w:color w:val="auto"/>
        </w:rPr>
      </w:pPr>
      <w:r>
        <w:rPr>
          <w:rFonts w:ascii="Arial" w:cs="Arial" w:eastAsia="Arial" w:hAnsi="Arial"/>
          <w:sz w:val="20"/>
          <w:szCs w:val="20"/>
          <w:color w:val="auto"/>
        </w:rPr>
        <w:t>participate in any executive bonus plan of the Company and maintain continued eligibility for additional equity compensation grants; (iii) receive reimbursement for all reasonable and documented business expenses; (iv) receive paid vacation in accordance with the Company's vacation policy for employees; (v) participate in all plans and programs sponsored by the Company for employees in general; (vi) receive a life insurance policy; and (vii) receive a disability insurance policy in the maximum insurable amount.</w:t>
      </w:r>
    </w:p>
    <w:p>
      <w:pPr>
        <w:spacing w:after="0" w:line="6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term of Mr. Yu’s employment agreement commenced on May 13, 2025 and is scheduled to end on May 13, 2030, unless sooner terminated as provided in the agreement. Employment is “at will” and may be terminated by either the Company or Mr. Yu at any time. See Exhibit 10.1 to the Current Report on Form 8-K filed with the SEC on May 14, 2025, for a complete copy of the employment agreement between the Company and Mr. Yu.</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Dr. Keh-Shew Lu Employment Agreement</w:t>
      </w:r>
    </w:p>
    <w:p>
      <w:pPr>
        <w:spacing w:after="0" w:line="1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Company and Dr. Lu are parties to an employment agreement dated July 21, 2015, as amended on February 22, 2017, May 31, 2022, January 2, 2024, and May 13, 2025. This agreement originally addressed certain terms of Dr. Lu’s employment as the Company’s President and Chief Executive Officer, and the various amendments reflect changes in compensation, employment, and officer status. The current agreement (i) specifies Dr. Lu is not an officer and has an employee title of “Special Advisor to the CEO;” (ii) specifies that Dr. Lu will receive an annual salary of $100,000 subject to such periodic changes, if any, as the Board of Directors and/or the CEO may determine; (iii) has no restrictions as to the location of the performance of services; (iv) provides that Dr. Lu will no longer participate in the Company's bonus programs or equity-compensation programs;</w:t>
      </w:r>
    </w:p>
    <w:p>
      <w:pPr>
        <w:spacing w:after="0" w:line="2" w:lineRule="exact"/>
        <w:rPr>
          <w:sz w:val="20"/>
          <w:szCs w:val="20"/>
          <w:color w:val="auto"/>
        </w:rPr>
      </w:pPr>
    </w:p>
    <w:p>
      <w:pPr>
        <w:jc w:val="both"/>
        <w:ind w:firstLine="8"/>
        <w:spacing w:after="0" w:line="234" w:lineRule="auto"/>
        <w:tabs>
          <w:tab w:leader="none" w:pos="342" w:val="left"/>
        </w:tabs>
        <w:numPr>
          <w:ilvl w:val="0"/>
          <w:numId w:val="36"/>
        </w:numPr>
        <w:rPr>
          <w:rFonts w:ascii="Arial" w:cs="Arial" w:eastAsia="Arial" w:hAnsi="Arial"/>
          <w:sz w:val="20"/>
          <w:szCs w:val="20"/>
          <w:color w:val="auto"/>
        </w:rPr>
      </w:pPr>
      <w:r>
        <w:rPr>
          <w:rFonts w:ascii="Arial" w:cs="Arial" w:eastAsia="Arial" w:hAnsi="Arial"/>
          <w:sz w:val="20"/>
          <w:szCs w:val="20"/>
          <w:color w:val="auto"/>
        </w:rPr>
        <w:t>allows for Dr. Lu's continued participation in the extended medical expense reimbursement plan as set forth in the Company’s Executive Health Policy dated April 17, 2020 with the annual maximum reimbursement limit set at $6,000; and (vi) expires May 31, 2027, unless sooner terminated.</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See Exhibits 99.1 to the Current Reports on Form 8-K filed with the SEC on July 27, 2015, February 27, 2017, June 1, 2022, and January 22, 2024, and Exhibit 10.2 to the Current Report on Form 8-K filed with the SEC on May 14, 2025, for a complete copy of the employment agreement and the Amendments thereto between the Company and Dr. Lu.</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Executive Bonus Plan</w:t>
      </w:r>
    </w:p>
    <w:p>
      <w:pPr>
        <w:spacing w:after="0" w:line="10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For a description of the Company’s executive bonus plan, including the amount granted to NEOs in 2023, 2024, and 2025, and the method for determining the executive bonuses, see “Compensation Discussion and Analysis – Principal Components of Compensation – Annual (Bonus) Incentive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2022 Equity Incentive Plan</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At the 2022 annual meeting of stockholders, the Company stockholders approved the Diodes Incorporated 2022 Equity Incentive Plan (“2022 Plan”) pursuant to which stock-based incentive awards can be granted to our employees (including our named executive officers), consultants and directors (collectively, “Selected Participants”). Up to a maximum aggregate of 7,000,000 shares of our common stock may be issued under the 2022 Plan. However, a share that is issued pursuant to an award other than a stock option or stock appreciation right shall count as two (2) shares against this limit. If not terminated earlier by the Board, the 2022 Plan will terminate on March 10, 2032. Awards are subject to recoupment of compensation policies adopted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The purpose of the 2022 Plan is to promote our long-term success and the creation of stockholder value by:</w:t>
      </w:r>
    </w:p>
    <w:p>
      <w:pPr>
        <w:spacing w:after="0" w:line="94" w:lineRule="exact"/>
        <w:rPr>
          <w:sz w:val="20"/>
          <w:szCs w:val="20"/>
          <w:color w:val="auto"/>
        </w:rPr>
      </w:pPr>
    </w:p>
    <w:p>
      <w:pPr>
        <w:ind w:left="1020" w:hanging="503"/>
        <w:spacing w:after="0" w:line="256" w:lineRule="auto"/>
        <w:tabs>
          <w:tab w:leader="none" w:pos="102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Attracting and retaining the services of key employees who would be eligible to receive grants as Selected Participants;</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37"/>
        </w:numPr>
        <w:rPr>
          <w:rFonts w:ascii="Times New Roman" w:cs="Times New Roman" w:eastAsia="Times New Roman" w:hAnsi="Times New Roman"/>
          <w:sz w:val="20"/>
          <w:szCs w:val="20"/>
          <w:color w:val="auto"/>
        </w:rPr>
      </w:pPr>
      <w:r>
        <w:rPr>
          <w:rFonts w:ascii="Arial" w:cs="Arial" w:eastAsia="Arial" w:hAnsi="Arial"/>
          <w:sz w:val="20"/>
          <w:szCs w:val="20"/>
          <w:color w:val="auto"/>
        </w:rPr>
        <w:t>Motivating Selected Participants through equity-based compensation that is based upon the performance of our Common Stock; and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0" w:name="page51"/>
    <w:bookmarkEnd w:id="50"/>
    <w:p>
      <w:pPr>
        <w:jc w:val="both"/>
        <w:ind w:left="1020" w:right="20" w:hanging="503"/>
        <w:spacing w:after="0" w:line="283" w:lineRule="auto"/>
        <w:tabs>
          <w:tab w:leader="none" w:pos="1020" w:val="left"/>
        </w:tabs>
        <w:numPr>
          <w:ilvl w:val="0"/>
          <w:numId w:val="38"/>
        </w:numPr>
        <w:rPr>
          <w:rFonts w:ascii="Times New Roman" w:cs="Times New Roman" w:eastAsia="Times New Roman" w:hAnsi="Times New Roman"/>
          <w:sz w:val="19"/>
          <w:szCs w:val="19"/>
          <w:color w:val="auto"/>
        </w:rPr>
      </w:pPr>
      <w:r>
        <w:rPr>
          <w:rFonts w:ascii="Arial" w:cs="Arial" w:eastAsia="Arial" w:hAnsi="Arial"/>
          <w:sz w:val="19"/>
          <w:szCs w:val="19"/>
          <w:color w:val="auto"/>
        </w:rPr>
        <w:t>Further aligning Selected Participants’ interests with stockholders, through the award of equity compensation grants which increases their proprietary interest in the Company, to achieve long-term growth over short-term performance.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2022 Plan permits the grant of the following types of equity-based incentive awards:</w:t>
      </w:r>
    </w:p>
    <w:p>
      <w:pPr>
        <w:spacing w:after="0" w:line="9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stock options (which can be either incentive or nonstatutory);</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stock appreciation rights;</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stock;</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restricted stock units; and</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20"/>
          <w:szCs w:val="20"/>
          <w:color w:val="auto"/>
        </w:rPr>
      </w:pPr>
      <w:r>
        <w:rPr>
          <w:rFonts w:ascii="Arial" w:cs="Arial" w:eastAsia="Arial" w:hAnsi="Arial"/>
          <w:sz w:val="20"/>
          <w:szCs w:val="20"/>
          <w:color w:val="auto"/>
        </w:rPr>
        <w:t>other equity awards.</w:t>
      </w:r>
    </w:p>
    <w:p>
      <w:pPr>
        <w:spacing w:after="0" w:line="10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Stock options and stock appreciation rights may not be granted at a per share exercise price below the fair market value of a share of our common stock on the date of grant. The maximum exercisable term of stock options and stock appreciation rights may not exceed eight years. Stock options and stock appreciation rights may not be repriced or exchanged without stockholder approval. Shares (after applicable tax withholding) acquired from the exercise of stock options must be held for at least one year after exercise or until an earlier termination of service.</w:t>
      </w:r>
    </w:p>
    <w:p>
      <w:pPr>
        <w:spacing w:after="0" w:line="6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vesting of awards can be based on continuous service and/or performance goals. Discretionary acceleration of vesting of awards is not permitted except in the case of a participant’s death or disability. If a Change in Control or similar transaction occurs then (i) if there is no assumption, substitution or continuation of outstanding awards, then all awards shall vest (with performance-based awards vesting and being paid out at their target levels) and (ii) if a participant’s service is terminated without Cause by the Company (or its acquirer) within two years after a Change in Control or similar transaction, then all of such participant’s awards shall vest (with performance-based awards vesting and being paid out at their target levels).</w:t>
      </w:r>
    </w:p>
    <w:p>
      <w:pPr>
        <w:spacing w:after="0" w:line="6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2022 Plan is generally administered by a committee comprised solely of independent members of the Board. This committee will be the Compensation Committee unless otherwise designated by the Board (the “2022 Plan Committee”). The Board or the 2022 Plan Committee may designate a separate committee to make awards to employees who are not officers subject to the reporting requirements of Section 16 of the Securities Exchange Act of 1934. The 2022 Plan Committee has the discretion, among other things, to determine (i) which service providers shall receive any awards, and (ii) the terms and conditions of such awards.</w:t>
      </w:r>
    </w:p>
    <w:p>
      <w:pPr>
        <w:spacing w:after="0" w:line="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2022 Plan provides that any non-employee director cannot receive awards in any fiscal year that in the aggregate exceeds 100,000 shares for the Chairperson, 80,000 shares for the Vice Chairperson, and 10,000 shares for other non-employee directors. Provided that the Board affirmatively acts to implement such a process, the 2022 Plan also provides that non-employee directors may elect to receive stock grants or stock units (which would be issued under the 2022 Plan) in lieu of fees that would otherwise be paid in cash.</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401(k) Plan and Other Retirement Plans</w:t>
      </w:r>
    </w:p>
    <w:p>
      <w:pPr>
        <w:spacing w:after="0" w:line="10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Company maintains a 401(k) Plan for the benefit of qualified employees at our U.S. locations. Employees who participate in the 401(k) Plan may elect to make salary deferral contributions to the 401(k) Plan up to 100% of the employees’ eligible payroll subject to annual Internal Revenue Code maximum. We currently make a discretionary matching contribution of $ 1 for every $2 contributed by the participant up to 6% (3% maximum matching) of the participant’s eligible payroll, which vests over an initial four years. In addition, we may make a discretionary contribution to the entire qualified employee pool, in accordance with the 401(k) Plan. As stipulated by the regulations of the People’s Republic of China, we maintain a retirement plan pursuant to the local municipal government for the employees in China. We are required to make contributions to the retirement plan at a rate between 10% and 22% of the employee’s eligible payroll. Pursuant to the Taiwan Labor Standard Law and Factory Law, we maintain a retirement plan for the employees in Taiwan, whereby we make contributions at a rate of 6% of the employee’s eligible payroll.</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48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1" w:name="page52"/>
    <w:bookmarkEnd w:id="51"/>
    <w:p>
      <w:pPr>
        <w:ind w:left="60"/>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t>OUTSTANDING EQUITY AWARDS AT FISCAL YEAR-END — 2025</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regarding equity-based awards held by NEOs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Borders>
              <w:top w:val="single" w:sz="8" w:color="005CA9"/>
            </w:tcBorders>
          </w:tcPr>
          <w:p>
            <w:pPr>
              <w:spacing w:after="0"/>
              <w:rPr>
                <w:sz w:val="17"/>
                <w:szCs w:val="17"/>
                <w:color w:val="auto"/>
              </w:rPr>
            </w:pPr>
          </w:p>
        </w:tc>
        <w:tc>
          <w:tcPr>
            <w:tcW w:w="320" w:type="dxa"/>
            <w:vAlign w:val="bottom"/>
            <w:tcBorders>
              <w:top w:val="single" w:sz="8" w:color="005CA9"/>
            </w:tcBorders>
          </w:tcPr>
          <w:p>
            <w:pPr>
              <w:spacing w:after="0"/>
              <w:rPr>
                <w:sz w:val="17"/>
                <w:szCs w:val="17"/>
                <w:color w:val="auto"/>
              </w:rPr>
            </w:pPr>
          </w:p>
        </w:tc>
        <w:tc>
          <w:tcPr>
            <w:tcW w:w="1380" w:type="dxa"/>
            <w:vAlign w:val="bottom"/>
            <w:tcBorders>
              <w:top w:val="single" w:sz="8" w:color="005CA9"/>
              <w:bottom w:val="single" w:sz="8" w:color="005CA9"/>
            </w:tcBorders>
          </w:tcPr>
          <w:p>
            <w:pPr>
              <w:spacing w:after="0"/>
              <w:rPr>
                <w:sz w:val="17"/>
                <w:szCs w:val="17"/>
                <w:color w:val="auto"/>
              </w:rPr>
            </w:pPr>
          </w:p>
        </w:tc>
        <w:tc>
          <w:tcPr>
            <w:tcW w:w="1180" w:type="dxa"/>
            <w:vAlign w:val="bottom"/>
            <w:tcBorders>
              <w:top w:val="single" w:sz="8" w:color="005CA9"/>
              <w:bottom w:val="single" w:sz="8" w:color="005CA9"/>
            </w:tcBorders>
          </w:tcPr>
          <w:p>
            <w:pPr>
              <w:jc w:val="right"/>
              <w:ind w:right="249"/>
              <w:spacing w:after="0"/>
              <w:rPr>
                <w:sz w:val="20"/>
                <w:szCs w:val="20"/>
                <w:color w:val="auto"/>
              </w:rPr>
            </w:pPr>
            <w:r>
              <w:rPr>
                <w:rFonts w:ascii="Arial" w:cs="Arial" w:eastAsia="Arial" w:hAnsi="Arial"/>
                <w:sz w:val="14"/>
                <w:szCs w:val="14"/>
                <w:color w:val="auto"/>
              </w:rPr>
              <w:t>RSUs</w:t>
            </w:r>
          </w:p>
        </w:tc>
        <w:tc>
          <w:tcPr>
            <w:tcW w:w="1660" w:type="dxa"/>
            <w:vAlign w:val="bottom"/>
            <w:tcBorders>
              <w:top w:val="single" w:sz="8" w:color="005CA9"/>
              <w:bottom w:val="single" w:sz="8" w:color="005CA9"/>
            </w:tcBorders>
          </w:tcPr>
          <w:p>
            <w:pPr>
              <w:spacing w:after="0"/>
              <w:rPr>
                <w:sz w:val="17"/>
                <w:szCs w:val="17"/>
                <w:color w:val="auto"/>
              </w:rPr>
            </w:pPr>
          </w:p>
        </w:tc>
        <w:tc>
          <w:tcPr>
            <w:tcW w:w="380" w:type="dxa"/>
            <w:vAlign w:val="bottom"/>
            <w:tcBorders>
              <w:top w:val="single" w:sz="8" w:color="005CA9"/>
            </w:tcBorders>
          </w:tcPr>
          <w:p>
            <w:pPr>
              <w:spacing w:after="0"/>
              <w:rPr>
                <w:sz w:val="17"/>
                <w:szCs w:val="17"/>
                <w:color w:val="auto"/>
              </w:rPr>
            </w:pPr>
          </w:p>
        </w:tc>
        <w:tc>
          <w:tcPr>
            <w:tcW w:w="1360" w:type="dxa"/>
            <w:vAlign w:val="bottom"/>
            <w:tcBorders>
              <w:top w:val="single" w:sz="8" w:color="005CA9"/>
              <w:bottom w:val="single" w:sz="8" w:color="005CA9"/>
            </w:tcBorders>
          </w:tcPr>
          <w:p>
            <w:pPr>
              <w:spacing w:after="0"/>
              <w:rPr>
                <w:sz w:val="17"/>
                <w:szCs w:val="17"/>
                <w:color w:val="auto"/>
              </w:rPr>
            </w:pPr>
          </w:p>
        </w:tc>
        <w:tc>
          <w:tcPr>
            <w:tcW w:w="120" w:type="dxa"/>
            <w:vAlign w:val="bottom"/>
            <w:tcBorders>
              <w:top w:val="single" w:sz="8" w:color="005CA9"/>
              <w:bottom w:val="single" w:sz="8" w:color="005CA9"/>
            </w:tcBorders>
          </w:tcPr>
          <w:p>
            <w:pPr>
              <w:spacing w:after="0"/>
              <w:rPr>
                <w:sz w:val="17"/>
                <w:szCs w:val="17"/>
                <w:color w:val="auto"/>
              </w:rPr>
            </w:pPr>
          </w:p>
        </w:tc>
        <w:tc>
          <w:tcPr>
            <w:tcW w:w="1420" w:type="dxa"/>
            <w:vAlign w:val="bottom"/>
            <w:tcBorders>
              <w:top w:val="single" w:sz="8" w:color="005CA9"/>
              <w:bottom w:val="single" w:sz="8" w:color="005CA9"/>
            </w:tcBorders>
          </w:tcPr>
          <w:p>
            <w:pPr>
              <w:jc w:val="right"/>
              <w:ind w:right="488"/>
              <w:spacing w:after="0"/>
              <w:rPr>
                <w:sz w:val="20"/>
                <w:szCs w:val="20"/>
                <w:color w:val="auto"/>
              </w:rPr>
            </w:pPr>
            <w:r>
              <w:rPr>
                <w:rFonts w:ascii="Arial" w:cs="Arial" w:eastAsia="Arial" w:hAnsi="Arial"/>
                <w:sz w:val="14"/>
                <w:szCs w:val="14"/>
                <w:color w:val="auto"/>
              </w:rPr>
              <w:t>PSUs</w:t>
            </w:r>
          </w:p>
        </w:tc>
        <w:tc>
          <w:tcPr>
            <w:tcW w:w="1560" w:type="dxa"/>
            <w:vAlign w:val="bottom"/>
            <w:tcBorders>
              <w:top w:val="single" w:sz="8" w:color="005CA9"/>
              <w:bottom w:val="single" w:sz="8" w:color="005CA9"/>
            </w:tcBorders>
          </w:tcPr>
          <w:p>
            <w:pPr>
              <w:spacing w:after="0"/>
              <w:rPr>
                <w:sz w:val="17"/>
                <w:szCs w:val="17"/>
                <w:color w:val="auto"/>
              </w:rPr>
            </w:pPr>
          </w:p>
        </w:tc>
      </w:tr>
      <w:tr>
        <w:trPr>
          <w:trHeight w:val="153"/>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rPr>
              <w:t>Equity Incentive</w:t>
            </w: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Equity Incentive</w:t>
            </w:r>
          </w:p>
        </w:tc>
      </w:tr>
      <w:tr>
        <w:trPr>
          <w:trHeight w:val="162"/>
        </w:trPr>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rPr>
              <w:t>Plan Awards: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jc w:val="right"/>
              <w:ind w:right="129"/>
              <w:spacing w:after="0"/>
              <w:rPr>
                <w:sz w:val="20"/>
                <w:szCs w:val="20"/>
                <w:color w:val="auto"/>
              </w:rPr>
            </w:pPr>
            <w:r>
              <w:rPr>
                <w:rFonts w:ascii="Arial" w:cs="Arial" w:eastAsia="Arial" w:hAnsi="Arial"/>
                <w:sz w:val="14"/>
                <w:szCs w:val="14"/>
                <w:b w:val="1"/>
                <w:bCs w:val="1"/>
                <w:color w:val="auto"/>
              </w:rPr>
              <w:t>Number of</w:t>
            </w:r>
          </w:p>
        </w:tc>
        <w:tc>
          <w:tcPr>
            <w:tcW w:w="1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Market or Payout</w:t>
            </w:r>
          </w:p>
        </w:tc>
      </w:tr>
      <w:tr>
        <w:trPr>
          <w:trHeight w:val="162"/>
        </w:trPr>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jc w:val="center"/>
              <w:ind w:left="9"/>
              <w:spacing w:after="0"/>
              <w:rPr>
                <w:sz w:val="20"/>
                <w:szCs w:val="20"/>
                <w:color w:val="auto"/>
              </w:rPr>
            </w:pPr>
            <w:r>
              <w:rPr>
                <w:rFonts w:ascii="Arial" w:cs="Arial" w:eastAsia="Arial" w:hAnsi="Arial"/>
                <w:sz w:val="14"/>
                <w:szCs w:val="14"/>
                <w:b w:val="1"/>
                <w:bCs w:val="1"/>
                <w:color w:val="auto"/>
              </w:rPr>
              <w:t>Shares or Units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Market Value of</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rPr>
              <w:t>Unearned Shares,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Value of Unearned</w:t>
            </w:r>
          </w:p>
        </w:tc>
      </w:tr>
      <w:tr>
        <w:trPr>
          <w:trHeight w:val="162"/>
        </w:trPr>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Shares or Units of</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rPr>
              <w:t>Units or Other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Shares, Units, or</w:t>
            </w:r>
          </w:p>
        </w:tc>
      </w:tr>
      <w:tr>
        <w:trPr>
          <w:trHeight w:val="162"/>
        </w:trPr>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Stock That Have</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rPr>
              <w:t>Rights That Have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Other Rights That</w:t>
            </w:r>
          </w:p>
        </w:tc>
      </w:tr>
      <w:tr>
        <w:trPr>
          <w:trHeight w:val="144"/>
        </w:trPr>
        <w:tc>
          <w:tcPr>
            <w:tcW w:w="1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jc w:val="center"/>
              <w:ind w:left="29"/>
              <w:spacing w:after="0" w:line="145" w:lineRule="exact"/>
              <w:rPr>
                <w:sz w:val="20"/>
                <w:szCs w:val="20"/>
                <w:color w:val="auto"/>
              </w:rPr>
            </w:pPr>
            <w:r>
              <w:rPr>
                <w:rFonts w:ascii="Arial" w:cs="Arial" w:eastAsia="Arial" w:hAnsi="Arial"/>
                <w:sz w:val="14"/>
                <w:szCs w:val="14"/>
                <w:b w:val="1"/>
                <w:bCs w:val="1"/>
                <w:color w:val="auto"/>
              </w:rPr>
              <w:t>Vested</w:t>
            </w:r>
          </w:p>
        </w:tc>
        <w:tc>
          <w:tcPr>
            <w:tcW w:w="166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Not Vested</w:t>
            </w: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Not Vested</w:t>
            </w:r>
          </w:p>
        </w:tc>
        <w:tc>
          <w:tcPr>
            <w:tcW w:w="1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Have Not Vested</w:t>
            </w:r>
          </w:p>
        </w:tc>
      </w:tr>
      <w:tr>
        <w:trPr>
          <w:trHeight w:val="180"/>
        </w:trPr>
        <w:tc>
          <w:tcPr>
            <w:tcW w:w="1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jc w:val="center"/>
              <w:ind w:left="29"/>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 xml:space="preserve"> (1)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center"/>
              <w:spacing w:after="0" w:line="180"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 xml:space="preserve">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92"/>
        </w:trPr>
        <w:tc>
          <w:tcPr>
            <w:tcW w:w="1860" w:type="dxa"/>
            <w:vAlign w:val="bottom"/>
            <w:tcBorders>
              <w:bottom w:val="single" w:sz="8" w:color="005CA9"/>
            </w:tcBorders>
          </w:tcPr>
          <w:p>
            <w:pPr>
              <w:spacing w:after="0"/>
              <w:rPr>
                <w:sz w:val="20"/>
                <w:szCs w:val="20"/>
                <w:color w:val="auto"/>
              </w:rPr>
            </w:pPr>
            <w:r>
              <w:rPr>
                <w:rFonts w:ascii="Arial" w:cs="Arial" w:eastAsia="Arial" w:hAnsi="Arial"/>
                <w:sz w:val="14"/>
                <w:szCs w:val="14"/>
                <w:b w:val="1"/>
                <w:bCs w:val="1"/>
                <w:color w:val="auto"/>
              </w:rPr>
              <w:t>(a)</w:t>
            </w:r>
          </w:p>
        </w:tc>
        <w:tc>
          <w:tcPr>
            <w:tcW w:w="320" w:type="dxa"/>
            <w:vAlign w:val="bottom"/>
            <w:tcBorders>
              <w:bottom w:val="single" w:sz="8" w:color="005CA9"/>
            </w:tcBorders>
          </w:tcPr>
          <w:p>
            <w:pPr>
              <w:spacing w:after="0"/>
              <w:rPr>
                <w:sz w:val="16"/>
                <w:szCs w:val="16"/>
                <w:color w:val="auto"/>
              </w:rPr>
            </w:pPr>
          </w:p>
        </w:tc>
        <w:tc>
          <w:tcPr>
            <w:tcW w:w="1380" w:type="dxa"/>
            <w:vAlign w:val="bottom"/>
            <w:tcBorders>
              <w:bottom w:val="single" w:sz="8" w:color="005CA9"/>
            </w:tcBorders>
          </w:tcPr>
          <w:p>
            <w:pPr>
              <w:ind w:left="320"/>
              <w:spacing w:after="0"/>
              <w:rPr>
                <w:sz w:val="20"/>
                <w:szCs w:val="20"/>
                <w:color w:val="auto"/>
              </w:rPr>
            </w:pPr>
            <w:r>
              <w:rPr>
                <w:rFonts w:ascii="Arial" w:cs="Arial" w:eastAsia="Arial" w:hAnsi="Arial"/>
                <w:sz w:val="14"/>
                <w:szCs w:val="14"/>
                <w:b w:val="1"/>
                <w:bCs w:val="1"/>
                <w:color w:val="auto"/>
              </w:rPr>
              <w:t>Grant Date</w:t>
            </w:r>
          </w:p>
        </w:tc>
        <w:tc>
          <w:tcPr>
            <w:tcW w:w="1180" w:type="dxa"/>
            <w:vAlign w:val="bottom"/>
            <w:tcBorders>
              <w:bottom w:val="single" w:sz="8" w:color="005CA9"/>
            </w:tcBorders>
          </w:tcPr>
          <w:p>
            <w:pPr>
              <w:jc w:val="center"/>
              <w:ind w:left="29"/>
              <w:spacing w:after="0"/>
              <w:rPr>
                <w:sz w:val="20"/>
                <w:szCs w:val="20"/>
                <w:color w:val="auto"/>
              </w:rPr>
            </w:pPr>
            <w:r>
              <w:rPr>
                <w:rFonts w:ascii="Arial" w:cs="Arial" w:eastAsia="Arial" w:hAnsi="Arial"/>
                <w:sz w:val="14"/>
                <w:szCs w:val="14"/>
                <w:b w:val="1"/>
                <w:bCs w:val="1"/>
                <w:color w:val="auto"/>
              </w:rPr>
              <w:t>(g)</w:t>
            </w:r>
          </w:p>
        </w:tc>
        <w:tc>
          <w:tcPr>
            <w:tcW w:w="1660" w:type="dxa"/>
            <w:vAlign w:val="bottom"/>
            <w:tcBorders>
              <w:bottom w:val="single" w:sz="8" w:color="005CA9"/>
            </w:tcBorders>
          </w:tcPr>
          <w:p>
            <w:pPr>
              <w:jc w:val="center"/>
              <w:ind w:left="8"/>
              <w:spacing w:after="0"/>
              <w:rPr>
                <w:sz w:val="20"/>
                <w:szCs w:val="20"/>
                <w:color w:val="auto"/>
              </w:rPr>
            </w:pPr>
            <w:r>
              <w:rPr>
                <w:rFonts w:ascii="Arial" w:cs="Arial" w:eastAsia="Arial" w:hAnsi="Arial"/>
                <w:sz w:val="14"/>
                <w:szCs w:val="14"/>
                <w:b w:val="1"/>
                <w:bCs w:val="1"/>
                <w:color w:val="auto"/>
              </w:rPr>
              <w:t>(h)</w:t>
            </w:r>
          </w:p>
        </w:tc>
        <w:tc>
          <w:tcPr>
            <w:tcW w:w="380" w:type="dxa"/>
            <w:vAlign w:val="bottom"/>
          </w:tcPr>
          <w:p>
            <w:pPr>
              <w:spacing w:after="0"/>
              <w:rPr>
                <w:sz w:val="16"/>
                <w:szCs w:val="16"/>
                <w:color w:val="auto"/>
              </w:rPr>
            </w:pPr>
          </w:p>
        </w:tc>
        <w:tc>
          <w:tcPr>
            <w:tcW w:w="1360" w:type="dxa"/>
            <w:vAlign w:val="bottom"/>
            <w:tcBorders>
              <w:bottom w:val="single" w:sz="8" w:color="005CA9"/>
            </w:tcBorders>
          </w:tcPr>
          <w:p>
            <w:pPr>
              <w:ind w:left="30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6"/>
                <w:szCs w:val="16"/>
                <w:color w:val="auto"/>
              </w:rPr>
            </w:pPr>
          </w:p>
        </w:tc>
        <w:tc>
          <w:tcPr>
            <w:tcW w:w="1420" w:type="dxa"/>
            <w:vAlign w:val="bottom"/>
            <w:tcBorders>
              <w:bottom w:val="single" w:sz="8" w:color="005CA9"/>
            </w:tcBorders>
          </w:tcPr>
          <w:p>
            <w:pPr>
              <w:jc w:val="right"/>
              <w:ind w:right="628"/>
              <w:spacing w:after="0"/>
              <w:rPr>
                <w:sz w:val="20"/>
                <w:szCs w:val="20"/>
                <w:color w:val="auto"/>
              </w:rPr>
            </w:pPr>
            <w:r>
              <w:rPr>
                <w:rFonts w:ascii="Arial" w:cs="Arial" w:eastAsia="Arial" w:hAnsi="Arial"/>
                <w:sz w:val="14"/>
                <w:szCs w:val="14"/>
                <w:b w:val="1"/>
                <w:bCs w:val="1"/>
                <w:color w:val="auto"/>
              </w:rPr>
              <w:t>(i)</w:t>
            </w:r>
          </w:p>
        </w:tc>
        <w:tc>
          <w:tcPr>
            <w:tcW w:w="156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Dr. Keh-Shew Lu</w:t>
            </w:r>
          </w:p>
        </w:tc>
        <w:tc>
          <w:tcPr>
            <w:tcW w:w="17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02/01/2022</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394,720</w:t>
            </w:r>
          </w:p>
        </w:tc>
        <w:tc>
          <w:tcPr>
            <w:tcW w:w="1740" w:type="dxa"/>
            <w:vAlign w:val="bottom"/>
            <w:gridSpan w:val="2"/>
            <w:shd w:val="clear" w:color="auto" w:fill="CFF0FC"/>
          </w:tcPr>
          <w:p>
            <w:pPr>
              <w:jc w:val="center"/>
              <w:ind w:left="308"/>
              <w:spacing w:after="0"/>
              <w:rPr>
                <w:sz w:val="20"/>
                <w:szCs w:val="20"/>
                <w:color w:val="auto"/>
              </w:rPr>
            </w:pPr>
            <w:r>
              <w:rPr>
                <w:rFonts w:ascii="Arial" w:cs="Arial" w:eastAsia="Arial" w:hAnsi="Arial"/>
                <w:sz w:val="14"/>
                <w:szCs w:val="14"/>
                <w:color w:val="auto"/>
              </w:rPr>
              <w:t>02/01/2023</w:t>
            </w:r>
          </w:p>
        </w:tc>
        <w:tc>
          <w:tcPr>
            <w:tcW w:w="15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42,000</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2,072,280</w:t>
            </w:r>
          </w:p>
        </w:tc>
      </w:tr>
      <w:tr>
        <w:trPr>
          <w:trHeight w:val="162"/>
        </w:trPr>
        <w:tc>
          <w:tcPr>
            <w:tcW w:w="186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05/26/2022</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61,675</w:t>
            </w:r>
          </w:p>
        </w:tc>
        <w:tc>
          <w:tcPr>
            <w:tcW w:w="1740" w:type="dxa"/>
            <w:vAlign w:val="bottom"/>
            <w:gridSpan w:val="2"/>
            <w:shd w:val="clear" w:color="auto" w:fill="CFF0FC"/>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25,000</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1,233,500</w:t>
            </w:r>
          </w:p>
        </w:tc>
      </w:tr>
      <w:tr>
        <w:trPr>
          <w:trHeight w:val="162"/>
        </w:trPr>
        <w:tc>
          <w:tcPr>
            <w:tcW w:w="1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02/01/2023</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21,000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1,036,140</w:t>
            </w:r>
          </w:p>
        </w:tc>
        <w:tc>
          <w:tcPr>
            <w:tcW w:w="1740" w:type="dxa"/>
            <w:vAlign w:val="bottom"/>
            <w:gridSpan w:val="2"/>
            <w:shd w:val="clear" w:color="auto" w:fill="CFF0FC"/>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25,000</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1,233,500</w:t>
            </w:r>
          </w:p>
        </w:tc>
      </w:tr>
      <w:tr>
        <w:trPr>
          <w:trHeight w:val="162"/>
        </w:trPr>
        <w:tc>
          <w:tcPr>
            <w:tcW w:w="1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05/24/2023</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148,020</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02/01/2024</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925,125</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05/13/2025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222,030</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02/03/2025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1,233,500</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05/13/2025</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1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148,020</w:t>
            </w: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b w:val="1"/>
                <w:bCs w:val="1"/>
                <w:color w:val="auto"/>
              </w:rPr>
              <w:t>Gary Yu</w:t>
            </w:r>
          </w:p>
        </w:tc>
        <w:tc>
          <w:tcPr>
            <w:tcW w:w="320" w:type="dxa"/>
            <w:vAlign w:val="bottom"/>
          </w:tcPr>
          <w:p>
            <w:pPr>
              <w:spacing w:after="0"/>
              <w:rPr>
                <w:sz w:val="13"/>
                <w:szCs w:val="13"/>
                <w:color w:val="auto"/>
              </w:rPr>
            </w:pPr>
          </w:p>
        </w:tc>
        <w:tc>
          <w:tcPr>
            <w:tcW w:w="1380" w:type="dxa"/>
            <w:vAlign w:val="bottom"/>
          </w:tcPr>
          <w:p>
            <w:pPr>
              <w:ind w:left="320"/>
              <w:spacing w:after="0" w:line="153" w:lineRule="exact"/>
              <w:rPr>
                <w:sz w:val="20"/>
                <w:szCs w:val="20"/>
                <w:color w:val="auto"/>
              </w:rPr>
            </w:pPr>
            <w:r>
              <w:rPr>
                <w:rFonts w:ascii="Arial" w:cs="Arial" w:eastAsia="Arial" w:hAnsi="Arial"/>
                <w:sz w:val="14"/>
                <w:szCs w:val="14"/>
                <w:color w:val="auto"/>
              </w:rPr>
              <w:t>02/01/2022</w:t>
            </w:r>
          </w:p>
        </w:tc>
        <w:tc>
          <w:tcPr>
            <w:tcW w:w="1180" w:type="dxa"/>
            <w:vAlign w:val="bottom"/>
          </w:tcPr>
          <w:p>
            <w:pPr>
              <w:jc w:val="right"/>
              <w:spacing w:after="0" w:line="153" w:lineRule="exact"/>
              <w:rPr>
                <w:sz w:val="20"/>
                <w:szCs w:val="20"/>
                <w:color w:val="auto"/>
              </w:rPr>
            </w:pPr>
            <w:r>
              <w:rPr>
                <w:rFonts w:ascii="Arial" w:cs="Arial" w:eastAsia="Arial" w:hAnsi="Arial"/>
                <w:sz w:val="14"/>
                <w:szCs w:val="14"/>
                <w:color w:val="auto"/>
              </w:rPr>
              <w:t>2,125</w:t>
            </w:r>
          </w:p>
        </w:tc>
        <w:tc>
          <w:tcPr>
            <w:tcW w:w="16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104,848</w:t>
            </w:r>
          </w:p>
        </w:tc>
        <w:tc>
          <w:tcPr>
            <w:tcW w:w="1740" w:type="dxa"/>
            <w:vAlign w:val="bottom"/>
            <w:gridSpan w:val="2"/>
          </w:tcPr>
          <w:p>
            <w:pPr>
              <w:jc w:val="center"/>
              <w:ind w:left="308"/>
              <w:spacing w:after="0" w:line="153" w:lineRule="exact"/>
              <w:rPr>
                <w:sz w:val="20"/>
                <w:szCs w:val="20"/>
                <w:color w:val="auto"/>
              </w:rPr>
            </w:pPr>
            <w:r>
              <w:rPr>
                <w:rFonts w:ascii="Arial" w:cs="Arial" w:eastAsia="Arial" w:hAnsi="Arial"/>
                <w:sz w:val="14"/>
                <w:szCs w:val="14"/>
                <w:color w:val="auto"/>
              </w:rPr>
              <w:t>02/01/2023</w:t>
            </w:r>
          </w:p>
        </w:tc>
        <w:tc>
          <w:tcPr>
            <w:tcW w:w="1540" w:type="dxa"/>
            <w:vAlign w:val="bottom"/>
            <w:gridSpan w:val="2"/>
          </w:tcPr>
          <w:p>
            <w:pPr>
              <w:jc w:val="right"/>
              <w:ind w:right="48"/>
              <w:spacing w:after="0" w:line="153" w:lineRule="exact"/>
              <w:rPr>
                <w:sz w:val="20"/>
                <w:szCs w:val="20"/>
                <w:color w:val="auto"/>
              </w:rPr>
            </w:pPr>
            <w:r>
              <w:rPr>
                <w:rFonts w:ascii="Arial" w:cs="Arial" w:eastAsia="Arial" w:hAnsi="Arial"/>
                <w:sz w:val="14"/>
                <w:szCs w:val="14"/>
                <w:color w:val="auto"/>
              </w:rPr>
              <w:t>13,000</w:t>
            </w:r>
          </w:p>
        </w:tc>
        <w:tc>
          <w:tcPr>
            <w:tcW w:w="15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641,420</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02/01/2023</w:t>
            </w:r>
          </w:p>
        </w:tc>
        <w:tc>
          <w:tcPr>
            <w:tcW w:w="1180" w:type="dxa"/>
            <w:vAlign w:val="bottom"/>
          </w:tcPr>
          <w:p>
            <w:pPr>
              <w:jc w:val="right"/>
              <w:spacing w:after="0"/>
              <w:rPr>
                <w:sz w:val="20"/>
                <w:szCs w:val="20"/>
                <w:color w:val="auto"/>
              </w:rPr>
            </w:pPr>
            <w:r>
              <w:rPr>
                <w:rFonts w:ascii="Arial" w:cs="Arial" w:eastAsia="Arial" w:hAnsi="Arial"/>
                <w:sz w:val="14"/>
                <w:szCs w:val="14"/>
                <w:color w:val="auto"/>
              </w:rPr>
              <w:t>6,500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320,710</w:t>
            </w:r>
          </w:p>
        </w:tc>
        <w:tc>
          <w:tcPr>
            <w:tcW w:w="1740" w:type="dxa"/>
            <w:vAlign w:val="bottom"/>
            <w:gridSpan w:val="2"/>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22,000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1,085,480</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02/01/2024</w:t>
            </w:r>
          </w:p>
        </w:tc>
        <w:tc>
          <w:tcPr>
            <w:tcW w:w="1180" w:type="dxa"/>
            <w:vAlign w:val="bottom"/>
          </w:tcPr>
          <w:p>
            <w:pPr>
              <w:jc w:val="right"/>
              <w:spacing w:after="0"/>
              <w:rPr>
                <w:sz w:val="20"/>
                <w:szCs w:val="20"/>
                <w:color w:val="auto"/>
              </w:rPr>
            </w:pPr>
            <w:r>
              <w:rPr>
                <w:rFonts w:ascii="Arial" w:cs="Arial" w:eastAsia="Arial" w:hAnsi="Arial"/>
                <w:sz w:val="14"/>
                <w:szCs w:val="14"/>
                <w:color w:val="auto"/>
              </w:rPr>
              <w:t>16,500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814,110</w:t>
            </w:r>
          </w:p>
        </w:tc>
        <w:tc>
          <w:tcPr>
            <w:tcW w:w="1740" w:type="dxa"/>
            <w:vAlign w:val="bottom"/>
            <w:gridSpan w:val="2"/>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22,000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1,085,480</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05/30/2024</w:t>
            </w:r>
          </w:p>
        </w:tc>
        <w:tc>
          <w:tcPr>
            <w:tcW w:w="1180" w:type="dxa"/>
            <w:vAlign w:val="bottom"/>
          </w:tcPr>
          <w:p>
            <w:pPr>
              <w:jc w:val="right"/>
              <w:spacing w:after="0"/>
              <w:rPr>
                <w:sz w:val="20"/>
                <w:szCs w:val="20"/>
                <w:color w:val="auto"/>
              </w:rPr>
            </w:pPr>
            <w:r>
              <w:rPr>
                <w:rFonts w:ascii="Arial" w:cs="Arial" w:eastAsia="Arial" w:hAnsi="Arial"/>
                <w:sz w:val="14"/>
                <w:szCs w:val="14"/>
                <w:color w:val="auto"/>
              </w:rPr>
              <w:t>2,250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111,015</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02/03/2025</w:t>
            </w:r>
          </w:p>
        </w:tc>
        <w:tc>
          <w:tcPr>
            <w:tcW w:w="1180" w:type="dxa"/>
            <w:vAlign w:val="bottom"/>
          </w:tcPr>
          <w:p>
            <w:pPr>
              <w:jc w:val="right"/>
              <w:spacing w:after="0"/>
              <w:rPr>
                <w:sz w:val="20"/>
                <w:szCs w:val="20"/>
                <w:color w:val="auto"/>
              </w:rPr>
            </w:pPr>
            <w:r>
              <w:rPr>
                <w:rFonts w:ascii="Arial" w:cs="Arial" w:eastAsia="Arial" w:hAnsi="Arial"/>
                <w:sz w:val="14"/>
                <w:szCs w:val="14"/>
                <w:color w:val="auto"/>
              </w:rPr>
              <w:t>22,000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1"/>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05/13/2025</w:t>
            </w:r>
          </w:p>
        </w:tc>
        <w:tc>
          <w:tcPr>
            <w:tcW w:w="1180" w:type="dxa"/>
            <w:vAlign w:val="bottom"/>
          </w:tcPr>
          <w:p>
            <w:pPr>
              <w:jc w:val="right"/>
              <w:spacing w:after="0"/>
              <w:rPr>
                <w:sz w:val="20"/>
                <w:szCs w:val="20"/>
                <w:color w:val="auto"/>
              </w:rPr>
            </w:pPr>
            <w:r>
              <w:rPr>
                <w:rFonts w:ascii="Arial" w:cs="Arial" w:eastAsia="Arial" w:hAnsi="Arial"/>
                <w:sz w:val="14"/>
                <w:szCs w:val="14"/>
                <w:color w:val="auto"/>
              </w:rPr>
              <w:t>4,915</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A"/>
          </w:tcPr>
          <w:p>
            <w:pPr>
              <w:spacing w:after="0"/>
              <w:rPr>
                <w:sz w:val="20"/>
                <w:szCs w:val="20"/>
                <w:color w:val="auto"/>
              </w:rPr>
            </w:pPr>
            <w:r>
              <w:rPr>
                <w:rFonts w:ascii="Arial" w:cs="Arial" w:eastAsia="Arial" w:hAnsi="Arial"/>
                <w:sz w:val="14"/>
                <w:szCs w:val="14"/>
                <w:b w:val="1"/>
                <w:bCs w:val="1"/>
                <w:color w:val="auto"/>
              </w:rPr>
              <w:t>Brett R. Whitmire</w:t>
            </w:r>
          </w:p>
        </w:tc>
        <w:tc>
          <w:tcPr>
            <w:tcW w:w="1700" w:type="dxa"/>
            <w:vAlign w:val="bottom"/>
            <w:gridSpan w:val="2"/>
            <w:shd w:val="clear" w:color="auto" w:fill="CFF0FA"/>
          </w:tcPr>
          <w:p>
            <w:pPr>
              <w:ind w:left="640"/>
              <w:spacing w:after="0"/>
              <w:rPr>
                <w:sz w:val="20"/>
                <w:szCs w:val="20"/>
                <w:color w:val="auto"/>
              </w:rPr>
            </w:pPr>
            <w:r>
              <w:rPr>
                <w:rFonts w:ascii="Arial" w:cs="Arial" w:eastAsia="Arial" w:hAnsi="Arial"/>
                <w:sz w:val="14"/>
                <w:szCs w:val="14"/>
                <w:color w:val="auto"/>
              </w:rPr>
              <w:t>02/01/2022</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1,900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93,746</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02/01/2023</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9,000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444,060</w:t>
            </w:r>
          </w:p>
        </w:tc>
      </w:tr>
      <w:tr>
        <w:trPr>
          <w:trHeight w:val="162"/>
        </w:trPr>
        <w:tc>
          <w:tcPr>
            <w:tcW w:w="1860" w:type="dxa"/>
            <w:vAlign w:val="bottom"/>
            <w:shd w:val="clear" w:color="auto" w:fill="CFF0FA"/>
          </w:tcPr>
          <w:p>
            <w:pPr>
              <w:spacing w:after="0"/>
              <w:rPr>
                <w:sz w:val="14"/>
                <w:szCs w:val="14"/>
                <w:color w:val="auto"/>
              </w:rPr>
            </w:pPr>
          </w:p>
        </w:tc>
        <w:tc>
          <w:tcPr>
            <w:tcW w:w="1700" w:type="dxa"/>
            <w:vAlign w:val="bottom"/>
            <w:gridSpan w:val="2"/>
            <w:shd w:val="clear" w:color="auto" w:fill="CFF0FA"/>
          </w:tcPr>
          <w:p>
            <w:pPr>
              <w:ind w:left="640"/>
              <w:spacing w:after="0"/>
              <w:rPr>
                <w:sz w:val="20"/>
                <w:szCs w:val="20"/>
                <w:color w:val="auto"/>
              </w:rPr>
            </w:pPr>
            <w:r>
              <w:rPr>
                <w:rFonts w:ascii="Arial" w:cs="Arial" w:eastAsia="Arial" w:hAnsi="Arial"/>
                <w:sz w:val="14"/>
                <w:szCs w:val="14"/>
                <w:color w:val="auto"/>
              </w:rPr>
              <w:t>02/01/2023</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4,500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222,030</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6,100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300,974</w:t>
            </w:r>
          </w:p>
        </w:tc>
      </w:tr>
      <w:tr>
        <w:trPr>
          <w:trHeight w:val="162"/>
        </w:trPr>
        <w:tc>
          <w:tcPr>
            <w:tcW w:w="1860" w:type="dxa"/>
            <w:vAlign w:val="bottom"/>
            <w:shd w:val="clear" w:color="auto" w:fill="CFF0FA"/>
          </w:tcPr>
          <w:p>
            <w:pPr>
              <w:spacing w:after="0"/>
              <w:rPr>
                <w:sz w:val="14"/>
                <w:szCs w:val="14"/>
                <w:color w:val="auto"/>
              </w:rPr>
            </w:pPr>
          </w:p>
        </w:tc>
        <w:tc>
          <w:tcPr>
            <w:tcW w:w="320" w:type="dxa"/>
            <w:vAlign w:val="bottom"/>
            <w:shd w:val="clear" w:color="auto" w:fill="CFF0FA"/>
          </w:tcPr>
          <w:p>
            <w:pPr>
              <w:spacing w:after="0"/>
              <w:rPr>
                <w:sz w:val="14"/>
                <w:szCs w:val="14"/>
                <w:color w:val="auto"/>
              </w:rPr>
            </w:pPr>
          </w:p>
        </w:tc>
        <w:tc>
          <w:tcPr>
            <w:tcW w:w="1380" w:type="dxa"/>
            <w:vAlign w:val="bottom"/>
            <w:shd w:val="clear" w:color="auto" w:fill="CFF0FA"/>
          </w:tcPr>
          <w:p>
            <w:pPr>
              <w:ind w:left="320"/>
              <w:spacing w:after="0"/>
              <w:rPr>
                <w:sz w:val="20"/>
                <w:szCs w:val="20"/>
                <w:color w:val="auto"/>
              </w:rPr>
            </w:pPr>
            <w:r>
              <w:rPr>
                <w:rFonts w:ascii="Arial" w:cs="Arial" w:eastAsia="Arial" w:hAnsi="Arial"/>
                <w:sz w:val="14"/>
                <w:szCs w:val="14"/>
                <w:color w:val="auto"/>
              </w:rPr>
              <w:t>02/01/2024</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4,575</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225,731</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8,000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394,720</w:t>
            </w:r>
          </w:p>
        </w:tc>
      </w:tr>
      <w:tr>
        <w:trPr>
          <w:trHeight w:val="162"/>
        </w:trPr>
        <w:tc>
          <w:tcPr>
            <w:tcW w:w="1860" w:type="dxa"/>
            <w:vAlign w:val="bottom"/>
            <w:shd w:val="clear" w:color="auto" w:fill="CFF0FA"/>
          </w:tcPr>
          <w:p>
            <w:pPr>
              <w:spacing w:after="0"/>
              <w:rPr>
                <w:sz w:val="14"/>
                <w:szCs w:val="14"/>
                <w:color w:val="auto"/>
              </w:rPr>
            </w:pPr>
          </w:p>
        </w:tc>
        <w:tc>
          <w:tcPr>
            <w:tcW w:w="320" w:type="dxa"/>
            <w:vAlign w:val="bottom"/>
            <w:shd w:val="clear" w:color="auto" w:fill="CFF0FA"/>
          </w:tcPr>
          <w:p>
            <w:pPr>
              <w:spacing w:after="0"/>
              <w:rPr>
                <w:sz w:val="14"/>
                <w:szCs w:val="14"/>
                <w:color w:val="auto"/>
              </w:rPr>
            </w:pPr>
          </w:p>
        </w:tc>
        <w:tc>
          <w:tcPr>
            <w:tcW w:w="1380" w:type="dxa"/>
            <w:vAlign w:val="bottom"/>
            <w:shd w:val="clear" w:color="auto" w:fill="CFF0FA"/>
          </w:tcPr>
          <w:p>
            <w:pPr>
              <w:ind w:left="320"/>
              <w:spacing w:after="0"/>
              <w:rPr>
                <w:sz w:val="20"/>
                <w:szCs w:val="20"/>
                <w:color w:val="auto"/>
              </w:rPr>
            </w:pPr>
            <w:r>
              <w:rPr>
                <w:rFonts w:ascii="Arial" w:cs="Arial" w:eastAsia="Arial" w:hAnsi="Arial"/>
                <w:sz w:val="14"/>
                <w:szCs w:val="14"/>
                <w:color w:val="auto"/>
              </w:rPr>
              <w:t>02/03/2025</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8,000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394,720</w:t>
            </w:r>
          </w:p>
        </w:tc>
        <w:tc>
          <w:tcPr>
            <w:tcW w:w="380" w:type="dxa"/>
            <w:vAlign w:val="bottom"/>
            <w:shd w:val="clear" w:color="auto" w:fill="CFF0FA"/>
          </w:tcPr>
          <w:p>
            <w:pPr>
              <w:spacing w:after="0"/>
              <w:rPr>
                <w:sz w:val="14"/>
                <w:szCs w:val="14"/>
                <w:color w:val="auto"/>
              </w:rPr>
            </w:pPr>
          </w:p>
        </w:tc>
        <w:tc>
          <w:tcPr>
            <w:tcW w:w="1360" w:type="dxa"/>
            <w:vAlign w:val="bottom"/>
            <w:shd w:val="clear" w:color="auto" w:fill="CFF0FA"/>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A"/>
          </w:tcPr>
          <w:p>
            <w:pPr>
              <w:spacing w:after="0"/>
              <w:rPr>
                <w:sz w:val="14"/>
                <w:szCs w:val="14"/>
                <w:color w:val="auto"/>
              </w:rPr>
            </w:pPr>
          </w:p>
        </w:tc>
        <w:tc>
          <w:tcPr>
            <w:tcW w:w="142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w:t>
            </w: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b w:val="1"/>
                <w:bCs w:val="1"/>
                <w:color w:val="auto"/>
              </w:rPr>
              <w:t>Francis Tang</w:t>
            </w:r>
          </w:p>
        </w:tc>
        <w:tc>
          <w:tcPr>
            <w:tcW w:w="320" w:type="dxa"/>
            <w:vAlign w:val="bottom"/>
          </w:tcPr>
          <w:p>
            <w:pPr>
              <w:spacing w:after="0"/>
              <w:rPr>
                <w:sz w:val="13"/>
                <w:szCs w:val="13"/>
                <w:color w:val="auto"/>
              </w:rPr>
            </w:pPr>
          </w:p>
        </w:tc>
        <w:tc>
          <w:tcPr>
            <w:tcW w:w="1380" w:type="dxa"/>
            <w:vAlign w:val="bottom"/>
          </w:tcPr>
          <w:p>
            <w:pPr>
              <w:ind w:left="320"/>
              <w:spacing w:after="0" w:line="153" w:lineRule="exact"/>
              <w:rPr>
                <w:sz w:val="20"/>
                <w:szCs w:val="20"/>
                <w:color w:val="auto"/>
              </w:rPr>
            </w:pPr>
            <w:r>
              <w:rPr>
                <w:rFonts w:ascii="Arial" w:cs="Arial" w:eastAsia="Arial" w:hAnsi="Arial"/>
                <w:sz w:val="14"/>
                <w:szCs w:val="14"/>
                <w:color w:val="auto"/>
              </w:rPr>
              <w:t>02/01/2022</w:t>
            </w:r>
          </w:p>
        </w:tc>
        <w:tc>
          <w:tcPr>
            <w:tcW w:w="1180" w:type="dxa"/>
            <w:vAlign w:val="bottom"/>
          </w:tcPr>
          <w:p>
            <w:pPr>
              <w:jc w:val="right"/>
              <w:spacing w:after="0" w:line="153" w:lineRule="exact"/>
              <w:rPr>
                <w:sz w:val="20"/>
                <w:szCs w:val="20"/>
                <w:color w:val="auto"/>
              </w:rPr>
            </w:pPr>
            <w:r>
              <w:rPr>
                <w:rFonts w:ascii="Arial" w:cs="Arial" w:eastAsia="Arial" w:hAnsi="Arial"/>
                <w:sz w:val="14"/>
                <w:szCs w:val="14"/>
                <w:color w:val="auto"/>
              </w:rPr>
              <w:t>1,900</w:t>
            </w:r>
          </w:p>
        </w:tc>
        <w:tc>
          <w:tcPr>
            <w:tcW w:w="16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93,746</w:t>
            </w:r>
          </w:p>
        </w:tc>
        <w:tc>
          <w:tcPr>
            <w:tcW w:w="1740" w:type="dxa"/>
            <w:vAlign w:val="bottom"/>
            <w:gridSpan w:val="2"/>
          </w:tcPr>
          <w:p>
            <w:pPr>
              <w:jc w:val="center"/>
              <w:ind w:left="308"/>
              <w:spacing w:after="0" w:line="153" w:lineRule="exact"/>
              <w:rPr>
                <w:sz w:val="20"/>
                <w:szCs w:val="20"/>
                <w:color w:val="auto"/>
              </w:rPr>
            </w:pPr>
            <w:r>
              <w:rPr>
                <w:rFonts w:ascii="Arial" w:cs="Arial" w:eastAsia="Arial" w:hAnsi="Arial"/>
                <w:sz w:val="14"/>
                <w:szCs w:val="14"/>
                <w:color w:val="auto"/>
              </w:rPr>
              <w:t>02/01/2023</w:t>
            </w:r>
          </w:p>
        </w:tc>
        <w:tc>
          <w:tcPr>
            <w:tcW w:w="1540" w:type="dxa"/>
            <w:vAlign w:val="bottom"/>
            <w:gridSpan w:val="2"/>
          </w:tcPr>
          <w:p>
            <w:pPr>
              <w:jc w:val="right"/>
              <w:ind w:right="48"/>
              <w:spacing w:after="0" w:line="153" w:lineRule="exact"/>
              <w:rPr>
                <w:sz w:val="20"/>
                <w:szCs w:val="20"/>
                <w:color w:val="auto"/>
              </w:rPr>
            </w:pPr>
            <w:r>
              <w:rPr>
                <w:rFonts w:ascii="Arial" w:cs="Arial" w:eastAsia="Arial" w:hAnsi="Arial"/>
                <w:sz w:val="14"/>
                <w:szCs w:val="14"/>
                <w:color w:val="auto"/>
              </w:rPr>
              <w:t>9,000</w:t>
            </w:r>
          </w:p>
        </w:tc>
        <w:tc>
          <w:tcPr>
            <w:tcW w:w="15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444,060</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02/01/2023</w:t>
            </w:r>
          </w:p>
        </w:tc>
        <w:tc>
          <w:tcPr>
            <w:tcW w:w="1180" w:type="dxa"/>
            <w:vAlign w:val="bottom"/>
          </w:tcPr>
          <w:p>
            <w:pPr>
              <w:jc w:val="right"/>
              <w:spacing w:after="0"/>
              <w:rPr>
                <w:sz w:val="20"/>
                <w:szCs w:val="20"/>
                <w:color w:val="auto"/>
              </w:rPr>
            </w:pPr>
            <w:r>
              <w:rPr>
                <w:rFonts w:ascii="Arial" w:cs="Arial" w:eastAsia="Arial" w:hAnsi="Arial"/>
                <w:sz w:val="14"/>
                <w:szCs w:val="14"/>
                <w:color w:val="auto"/>
              </w:rPr>
              <w:t>4,500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222,030</w:t>
            </w:r>
          </w:p>
        </w:tc>
        <w:tc>
          <w:tcPr>
            <w:tcW w:w="1740" w:type="dxa"/>
            <w:vAlign w:val="bottom"/>
            <w:gridSpan w:val="2"/>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7,200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355,248</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02/01/2024</w:t>
            </w:r>
          </w:p>
        </w:tc>
        <w:tc>
          <w:tcPr>
            <w:tcW w:w="1180" w:type="dxa"/>
            <w:vAlign w:val="bottom"/>
          </w:tcPr>
          <w:p>
            <w:pPr>
              <w:jc w:val="right"/>
              <w:spacing w:after="0"/>
              <w:rPr>
                <w:sz w:val="20"/>
                <w:szCs w:val="20"/>
                <w:color w:val="auto"/>
              </w:rPr>
            </w:pPr>
            <w:r>
              <w:rPr>
                <w:rFonts w:ascii="Arial" w:cs="Arial" w:eastAsia="Arial" w:hAnsi="Arial"/>
                <w:sz w:val="14"/>
                <w:szCs w:val="14"/>
                <w:color w:val="auto"/>
              </w:rPr>
              <w:t>5,400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266,436</w:t>
            </w:r>
          </w:p>
        </w:tc>
        <w:tc>
          <w:tcPr>
            <w:tcW w:w="1740" w:type="dxa"/>
            <w:vAlign w:val="bottom"/>
            <w:gridSpan w:val="2"/>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8,000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394,720</w:t>
            </w:r>
          </w:p>
        </w:tc>
      </w:tr>
      <w:tr>
        <w:trPr>
          <w:trHeight w:val="171"/>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02/03/2025</w:t>
            </w:r>
          </w:p>
        </w:tc>
        <w:tc>
          <w:tcPr>
            <w:tcW w:w="1180" w:type="dxa"/>
            <w:vAlign w:val="bottom"/>
          </w:tcPr>
          <w:p>
            <w:pPr>
              <w:jc w:val="right"/>
              <w:spacing w:after="0"/>
              <w:rPr>
                <w:sz w:val="20"/>
                <w:szCs w:val="20"/>
                <w:color w:val="auto"/>
              </w:rPr>
            </w:pPr>
            <w:r>
              <w:rPr>
                <w:rFonts w:ascii="Arial" w:cs="Arial" w:eastAsia="Arial" w:hAnsi="Arial"/>
                <w:sz w:val="14"/>
                <w:szCs w:val="14"/>
                <w:color w:val="auto"/>
              </w:rPr>
              <w:t>8,000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394,720</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A"/>
          </w:tcPr>
          <w:p>
            <w:pPr>
              <w:spacing w:after="0"/>
              <w:rPr>
                <w:sz w:val="20"/>
                <w:szCs w:val="20"/>
                <w:color w:val="auto"/>
              </w:rPr>
            </w:pPr>
            <w:r>
              <w:rPr>
                <w:rFonts w:ascii="Arial" w:cs="Arial" w:eastAsia="Arial" w:hAnsi="Arial"/>
                <w:sz w:val="14"/>
                <w:szCs w:val="14"/>
                <w:b w:val="1"/>
                <w:bCs w:val="1"/>
                <w:color w:val="auto"/>
              </w:rPr>
              <w:t>Andy (Kuo-Ting) Tsong</w:t>
            </w:r>
          </w:p>
        </w:tc>
        <w:tc>
          <w:tcPr>
            <w:tcW w:w="1700" w:type="dxa"/>
            <w:vAlign w:val="bottom"/>
            <w:gridSpan w:val="2"/>
            <w:shd w:val="clear" w:color="auto" w:fill="CFF0FA"/>
          </w:tcPr>
          <w:p>
            <w:pPr>
              <w:ind w:left="640"/>
              <w:spacing w:after="0"/>
              <w:rPr>
                <w:sz w:val="20"/>
                <w:szCs w:val="20"/>
                <w:color w:val="auto"/>
              </w:rPr>
            </w:pPr>
            <w:r>
              <w:rPr>
                <w:rFonts w:ascii="Arial" w:cs="Arial" w:eastAsia="Arial" w:hAnsi="Arial"/>
                <w:sz w:val="14"/>
                <w:szCs w:val="14"/>
                <w:color w:val="auto"/>
              </w:rPr>
              <w:t>07/01/2022</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1,313</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64,783</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02/01/2023</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9,000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444,060</w:t>
            </w:r>
          </w:p>
        </w:tc>
      </w:tr>
      <w:tr>
        <w:trPr>
          <w:trHeight w:val="162"/>
        </w:trPr>
        <w:tc>
          <w:tcPr>
            <w:tcW w:w="1860" w:type="dxa"/>
            <w:vAlign w:val="bottom"/>
            <w:shd w:val="clear" w:color="auto" w:fill="CFF0FA"/>
          </w:tcPr>
          <w:p>
            <w:pPr>
              <w:spacing w:after="0"/>
              <w:rPr>
                <w:sz w:val="14"/>
                <w:szCs w:val="14"/>
                <w:color w:val="auto"/>
              </w:rPr>
            </w:pPr>
          </w:p>
        </w:tc>
        <w:tc>
          <w:tcPr>
            <w:tcW w:w="1700" w:type="dxa"/>
            <w:vAlign w:val="bottom"/>
            <w:gridSpan w:val="2"/>
            <w:shd w:val="clear" w:color="auto" w:fill="CFF0FA"/>
          </w:tcPr>
          <w:p>
            <w:pPr>
              <w:ind w:left="640"/>
              <w:spacing w:after="0"/>
              <w:rPr>
                <w:sz w:val="20"/>
                <w:szCs w:val="20"/>
                <w:color w:val="auto"/>
              </w:rPr>
            </w:pPr>
            <w:r>
              <w:rPr>
                <w:rFonts w:ascii="Arial" w:cs="Arial" w:eastAsia="Arial" w:hAnsi="Arial"/>
                <w:sz w:val="14"/>
                <w:szCs w:val="14"/>
                <w:color w:val="auto"/>
              </w:rPr>
              <w:t>02/01/2023</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4,500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222,030</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6,100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300,974</w:t>
            </w:r>
          </w:p>
        </w:tc>
      </w:tr>
      <w:tr>
        <w:trPr>
          <w:trHeight w:val="162"/>
        </w:trPr>
        <w:tc>
          <w:tcPr>
            <w:tcW w:w="1860" w:type="dxa"/>
            <w:vAlign w:val="bottom"/>
            <w:shd w:val="clear" w:color="auto" w:fill="CFF0FA"/>
          </w:tcPr>
          <w:p>
            <w:pPr>
              <w:spacing w:after="0"/>
              <w:rPr>
                <w:sz w:val="14"/>
                <w:szCs w:val="14"/>
                <w:color w:val="auto"/>
              </w:rPr>
            </w:pPr>
          </w:p>
        </w:tc>
        <w:tc>
          <w:tcPr>
            <w:tcW w:w="320" w:type="dxa"/>
            <w:vAlign w:val="bottom"/>
            <w:shd w:val="clear" w:color="auto" w:fill="CFF0FA"/>
          </w:tcPr>
          <w:p>
            <w:pPr>
              <w:spacing w:after="0"/>
              <w:rPr>
                <w:sz w:val="14"/>
                <w:szCs w:val="14"/>
                <w:color w:val="auto"/>
              </w:rPr>
            </w:pPr>
          </w:p>
        </w:tc>
        <w:tc>
          <w:tcPr>
            <w:tcW w:w="1380" w:type="dxa"/>
            <w:vAlign w:val="bottom"/>
            <w:shd w:val="clear" w:color="auto" w:fill="CFF0FA"/>
          </w:tcPr>
          <w:p>
            <w:pPr>
              <w:ind w:left="320"/>
              <w:spacing w:after="0"/>
              <w:rPr>
                <w:sz w:val="20"/>
                <w:szCs w:val="20"/>
                <w:color w:val="auto"/>
              </w:rPr>
            </w:pPr>
            <w:r>
              <w:rPr>
                <w:rFonts w:ascii="Arial" w:cs="Arial" w:eastAsia="Arial" w:hAnsi="Arial"/>
                <w:sz w:val="14"/>
                <w:szCs w:val="14"/>
                <w:color w:val="auto"/>
              </w:rPr>
              <w:t>02/01/2024</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4,575</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225,731</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8,000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A"/>
          </w:tcPr>
          <w:p>
            <w:pPr>
              <w:spacing w:after="0"/>
              <w:rPr>
                <w:sz w:val="14"/>
                <w:szCs w:val="14"/>
                <w:color w:val="auto"/>
              </w:rPr>
            </w:pPr>
          </w:p>
        </w:tc>
        <w:tc>
          <w:tcPr>
            <w:tcW w:w="320" w:type="dxa"/>
            <w:vAlign w:val="bottom"/>
            <w:shd w:val="clear" w:color="auto" w:fill="CFF0FA"/>
          </w:tcPr>
          <w:p>
            <w:pPr>
              <w:spacing w:after="0"/>
              <w:rPr>
                <w:sz w:val="14"/>
                <w:szCs w:val="14"/>
                <w:color w:val="auto"/>
              </w:rPr>
            </w:pPr>
          </w:p>
        </w:tc>
        <w:tc>
          <w:tcPr>
            <w:tcW w:w="1380" w:type="dxa"/>
            <w:vAlign w:val="bottom"/>
            <w:shd w:val="clear" w:color="auto" w:fill="CFF0FA"/>
          </w:tcPr>
          <w:p>
            <w:pPr>
              <w:ind w:left="320"/>
              <w:spacing w:after="0"/>
              <w:rPr>
                <w:sz w:val="20"/>
                <w:szCs w:val="20"/>
                <w:color w:val="auto"/>
              </w:rPr>
            </w:pPr>
            <w:r>
              <w:rPr>
                <w:rFonts w:ascii="Arial" w:cs="Arial" w:eastAsia="Arial" w:hAnsi="Arial"/>
                <w:sz w:val="14"/>
                <w:szCs w:val="14"/>
                <w:color w:val="auto"/>
              </w:rPr>
              <w:t>02/03/2025</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8,000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394,720</w:t>
            </w:r>
          </w:p>
        </w:tc>
        <w:tc>
          <w:tcPr>
            <w:tcW w:w="380" w:type="dxa"/>
            <w:vAlign w:val="bottom"/>
            <w:shd w:val="clear" w:color="auto" w:fill="CFF0FA"/>
          </w:tcPr>
          <w:p>
            <w:pPr>
              <w:spacing w:after="0"/>
              <w:rPr>
                <w:sz w:val="14"/>
                <w:szCs w:val="14"/>
                <w:color w:val="auto"/>
              </w:rPr>
            </w:pPr>
          </w:p>
        </w:tc>
        <w:tc>
          <w:tcPr>
            <w:tcW w:w="1360" w:type="dxa"/>
            <w:vAlign w:val="bottom"/>
            <w:shd w:val="clear" w:color="auto" w:fill="CFF0FA"/>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FF0FA"/>
          </w:tcPr>
          <w:p>
            <w:pPr>
              <w:spacing w:after="0"/>
              <w:rPr>
                <w:sz w:val="14"/>
                <w:szCs w:val="14"/>
                <w:color w:val="auto"/>
              </w:rPr>
            </w:pPr>
          </w:p>
        </w:tc>
        <w:tc>
          <w:tcPr>
            <w:tcW w:w="142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w:t>
            </w: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b w:val="1"/>
                <w:bCs w:val="1"/>
                <w:color w:val="auto"/>
              </w:rPr>
              <w:t>Emily Yang</w:t>
            </w:r>
          </w:p>
        </w:tc>
        <w:tc>
          <w:tcPr>
            <w:tcW w:w="320" w:type="dxa"/>
            <w:vAlign w:val="bottom"/>
          </w:tcPr>
          <w:p>
            <w:pPr>
              <w:spacing w:after="0"/>
              <w:rPr>
                <w:sz w:val="13"/>
                <w:szCs w:val="13"/>
                <w:color w:val="auto"/>
              </w:rPr>
            </w:pPr>
          </w:p>
        </w:tc>
        <w:tc>
          <w:tcPr>
            <w:tcW w:w="1380" w:type="dxa"/>
            <w:vAlign w:val="bottom"/>
          </w:tcPr>
          <w:p>
            <w:pPr>
              <w:ind w:left="320"/>
              <w:spacing w:after="0" w:line="153" w:lineRule="exact"/>
              <w:rPr>
                <w:sz w:val="20"/>
                <w:szCs w:val="20"/>
                <w:color w:val="auto"/>
              </w:rPr>
            </w:pPr>
            <w:r>
              <w:rPr>
                <w:rFonts w:ascii="Arial" w:cs="Arial" w:eastAsia="Arial" w:hAnsi="Arial"/>
                <w:sz w:val="14"/>
                <w:szCs w:val="14"/>
                <w:color w:val="auto"/>
              </w:rPr>
              <w:t>02/01/2022</w:t>
            </w:r>
          </w:p>
        </w:tc>
        <w:tc>
          <w:tcPr>
            <w:tcW w:w="1180" w:type="dxa"/>
            <w:vAlign w:val="bottom"/>
          </w:tcPr>
          <w:p>
            <w:pPr>
              <w:jc w:val="right"/>
              <w:spacing w:after="0" w:line="153" w:lineRule="exact"/>
              <w:rPr>
                <w:sz w:val="20"/>
                <w:szCs w:val="20"/>
                <w:color w:val="auto"/>
              </w:rPr>
            </w:pPr>
            <w:r>
              <w:rPr>
                <w:rFonts w:ascii="Arial" w:cs="Arial" w:eastAsia="Arial" w:hAnsi="Arial"/>
                <w:sz w:val="14"/>
                <w:szCs w:val="14"/>
                <w:color w:val="auto"/>
              </w:rPr>
              <w:t>1,900</w:t>
            </w:r>
          </w:p>
        </w:tc>
        <w:tc>
          <w:tcPr>
            <w:tcW w:w="16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93,746</w:t>
            </w:r>
          </w:p>
        </w:tc>
        <w:tc>
          <w:tcPr>
            <w:tcW w:w="1740" w:type="dxa"/>
            <w:vAlign w:val="bottom"/>
            <w:gridSpan w:val="2"/>
          </w:tcPr>
          <w:p>
            <w:pPr>
              <w:jc w:val="center"/>
              <w:ind w:left="308"/>
              <w:spacing w:after="0" w:line="153" w:lineRule="exact"/>
              <w:rPr>
                <w:sz w:val="20"/>
                <w:szCs w:val="20"/>
                <w:color w:val="auto"/>
              </w:rPr>
            </w:pPr>
            <w:r>
              <w:rPr>
                <w:rFonts w:ascii="Arial" w:cs="Arial" w:eastAsia="Arial" w:hAnsi="Arial"/>
                <w:sz w:val="14"/>
                <w:szCs w:val="14"/>
                <w:color w:val="auto"/>
              </w:rPr>
              <w:t>02/01/2023</w:t>
            </w:r>
          </w:p>
        </w:tc>
        <w:tc>
          <w:tcPr>
            <w:tcW w:w="1540" w:type="dxa"/>
            <w:vAlign w:val="bottom"/>
            <w:gridSpan w:val="2"/>
          </w:tcPr>
          <w:p>
            <w:pPr>
              <w:jc w:val="right"/>
              <w:ind w:right="48"/>
              <w:spacing w:after="0" w:line="153" w:lineRule="exact"/>
              <w:rPr>
                <w:sz w:val="20"/>
                <w:szCs w:val="20"/>
                <w:color w:val="auto"/>
              </w:rPr>
            </w:pPr>
            <w:r>
              <w:rPr>
                <w:rFonts w:ascii="Arial" w:cs="Arial" w:eastAsia="Arial" w:hAnsi="Arial"/>
                <w:sz w:val="14"/>
                <w:szCs w:val="14"/>
                <w:color w:val="auto"/>
              </w:rPr>
              <w:t>9,000</w:t>
            </w:r>
          </w:p>
        </w:tc>
        <w:tc>
          <w:tcPr>
            <w:tcW w:w="1560" w:type="dxa"/>
            <w:vAlign w:val="bottom"/>
          </w:tcPr>
          <w:p>
            <w:pPr>
              <w:jc w:val="right"/>
              <w:ind w:right="48"/>
              <w:spacing w:after="0" w:line="153" w:lineRule="exact"/>
              <w:rPr>
                <w:sz w:val="20"/>
                <w:szCs w:val="20"/>
                <w:color w:val="auto"/>
              </w:rPr>
            </w:pPr>
            <w:r>
              <w:rPr>
                <w:rFonts w:ascii="Arial" w:cs="Arial" w:eastAsia="Arial" w:hAnsi="Arial"/>
                <w:sz w:val="14"/>
                <w:szCs w:val="14"/>
                <w:color w:val="auto"/>
              </w:rPr>
              <w:t>444,060</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02/01/2023</w:t>
            </w:r>
          </w:p>
        </w:tc>
        <w:tc>
          <w:tcPr>
            <w:tcW w:w="1180" w:type="dxa"/>
            <w:vAlign w:val="bottom"/>
          </w:tcPr>
          <w:p>
            <w:pPr>
              <w:jc w:val="right"/>
              <w:spacing w:after="0"/>
              <w:rPr>
                <w:sz w:val="20"/>
                <w:szCs w:val="20"/>
                <w:color w:val="auto"/>
              </w:rPr>
            </w:pPr>
            <w:r>
              <w:rPr>
                <w:rFonts w:ascii="Arial" w:cs="Arial" w:eastAsia="Arial" w:hAnsi="Arial"/>
                <w:sz w:val="14"/>
                <w:szCs w:val="14"/>
                <w:color w:val="auto"/>
              </w:rPr>
              <w:t>4,500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222,030</w:t>
            </w:r>
          </w:p>
        </w:tc>
        <w:tc>
          <w:tcPr>
            <w:tcW w:w="1740" w:type="dxa"/>
            <w:vAlign w:val="bottom"/>
            <w:gridSpan w:val="2"/>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6,100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300,974</w:t>
            </w:r>
          </w:p>
        </w:tc>
      </w:tr>
      <w:tr>
        <w:trPr>
          <w:trHeight w:val="162"/>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02/01/2024</w:t>
            </w:r>
          </w:p>
        </w:tc>
        <w:tc>
          <w:tcPr>
            <w:tcW w:w="1180" w:type="dxa"/>
            <w:vAlign w:val="bottom"/>
          </w:tcPr>
          <w:p>
            <w:pPr>
              <w:jc w:val="right"/>
              <w:spacing w:after="0"/>
              <w:rPr>
                <w:sz w:val="20"/>
                <w:szCs w:val="20"/>
                <w:color w:val="auto"/>
              </w:rPr>
            </w:pPr>
            <w:r>
              <w:rPr>
                <w:rFonts w:ascii="Arial" w:cs="Arial" w:eastAsia="Arial" w:hAnsi="Arial"/>
                <w:sz w:val="14"/>
                <w:szCs w:val="14"/>
                <w:color w:val="auto"/>
              </w:rPr>
              <w:t>4,575</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225,731</w:t>
            </w:r>
          </w:p>
        </w:tc>
        <w:tc>
          <w:tcPr>
            <w:tcW w:w="1740" w:type="dxa"/>
            <w:vAlign w:val="bottom"/>
            <w:gridSpan w:val="2"/>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8,000</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394,720</w:t>
            </w:r>
          </w:p>
        </w:tc>
      </w:tr>
      <w:tr>
        <w:trPr>
          <w:trHeight w:val="171"/>
        </w:trPr>
        <w:tc>
          <w:tcPr>
            <w:tcW w:w="186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02/03/2025</w:t>
            </w:r>
          </w:p>
        </w:tc>
        <w:tc>
          <w:tcPr>
            <w:tcW w:w="1180" w:type="dxa"/>
            <w:vAlign w:val="bottom"/>
          </w:tcPr>
          <w:p>
            <w:pPr>
              <w:jc w:val="right"/>
              <w:spacing w:after="0"/>
              <w:rPr>
                <w:sz w:val="20"/>
                <w:szCs w:val="20"/>
                <w:color w:val="auto"/>
              </w:rPr>
            </w:pPr>
            <w:r>
              <w:rPr>
                <w:rFonts w:ascii="Arial" w:cs="Arial" w:eastAsia="Arial" w:hAnsi="Arial"/>
                <w:sz w:val="14"/>
                <w:szCs w:val="14"/>
                <w:color w:val="auto"/>
              </w:rPr>
              <w:t>8,000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394,720</w:t>
            </w:r>
          </w:p>
        </w:tc>
        <w:tc>
          <w:tcPr>
            <w:tcW w:w="3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shd w:val="clear" w:color="auto" w:fill="CFF0FA"/>
          </w:tcPr>
          <w:p>
            <w:pPr>
              <w:spacing w:after="0"/>
              <w:rPr>
                <w:sz w:val="20"/>
                <w:szCs w:val="20"/>
                <w:color w:val="auto"/>
              </w:rPr>
            </w:pPr>
            <w:r>
              <w:rPr>
                <w:rFonts w:ascii="Arial" w:cs="Arial" w:eastAsia="Arial" w:hAnsi="Arial"/>
                <w:sz w:val="14"/>
                <w:szCs w:val="14"/>
                <w:b w:val="1"/>
                <w:bCs w:val="1"/>
                <w:color w:val="auto"/>
              </w:rPr>
              <w:t>Jin Zhao</w:t>
            </w:r>
          </w:p>
        </w:tc>
        <w:tc>
          <w:tcPr>
            <w:tcW w:w="1700" w:type="dxa"/>
            <w:vAlign w:val="bottom"/>
            <w:gridSpan w:val="2"/>
            <w:shd w:val="clear" w:color="auto" w:fill="CFF0FA"/>
          </w:tcPr>
          <w:p>
            <w:pPr>
              <w:ind w:left="640"/>
              <w:spacing w:after="0"/>
              <w:rPr>
                <w:sz w:val="20"/>
                <w:szCs w:val="20"/>
                <w:color w:val="auto"/>
              </w:rPr>
            </w:pPr>
            <w:r>
              <w:rPr>
                <w:rFonts w:ascii="Arial" w:cs="Arial" w:eastAsia="Arial" w:hAnsi="Arial"/>
                <w:sz w:val="14"/>
                <w:szCs w:val="14"/>
                <w:color w:val="auto"/>
              </w:rPr>
              <w:t>02/01/2022</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1,250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61,675</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02/01/2023</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9,000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444,060</w:t>
            </w:r>
          </w:p>
        </w:tc>
      </w:tr>
      <w:tr>
        <w:trPr>
          <w:trHeight w:val="162"/>
        </w:trPr>
        <w:tc>
          <w:tcPr>
            <w:tcW w:w="1860" w:type="dxa"/>
            <w:vAlign w:val="bottom"/>
            <w:shd w:val="clear" w:color="auto" w:fill="CFF0FA"/>
          </w:tcPr>
          <w:p>
            <w:pPr>
              <w:spacing w:after="0"/>
              <w:rPr>
                <w:sz w:val="14"/>
                <w:szCs w:val="14"/>
                <w:color w:val="auto"/>
              </w:rPr>
            </w:pPr>
          </w:p>
        </w:tc>
        <w:tc>
          <w:tcPr>
            <w:tcW w:w="1700" w:type="dxa"/>
            <w:vAlign w:val="bottom"/>
            <w:gridSpan w:val="2"/>
            <w:shd w:val="clear" w:color="auto" w:fill="CFF0FA"/>
          </w:tcPr>
          <w:p>
            <w:pPr>
              <w:ind w:left="640"/>
              <w:spacing w:after="0"/>
              <w:rPr>
                <w:sz w:val="20"/>
                <w:szCs w:val="20"/>
                <w:color w:val="auto"/>
              </w:rPr>
            </w:pPr>
            <w:r>
              <w:rPr>
                <w:rFonts w:ascii="Arial" w:cs="Arial" w:eastAsia="Arial" w:hAnsi="Arial"/>
                <w:sz w:val="14"/>
                <w:szCs w:val="14"/>
                <w:color w:val="auto"/>
              </w:rPr>
              <w:t>02/01/2023</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4,500</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222,030</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02/01/2024</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6,100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300,974</w:t>
            </w:r>
          </w:p>
        </w:tc>
      </w:tr>
      <w:tr>
        <w:trPr>
          <w:trHeight w:val="162"/>
        </w:trPr>
        <w:tc>
          <w:tcPr>
            <w:tcW w:w="1860" w:type="dxa"/>
            <w:vAlign w:val="bottom"/>
            <w:shd w:val="clear" w:color="auto" w:fill="CFF0FA"/>
          </w:tcPr>
          <w:p>
            <w:pPr>
              <w:spacing w:after="0"/>
              <w:rPr>
                <w:sz w:val="14"/>
                <w:szCs w:val="14"/>
                <w:color w:val="auto"/>
              </w:rPr>
            </w:pPr>
          </w:p>
        </w:tc>
        <w:tc>
          <w:tcPr>
            <w:tcW w:w="320" w:type="dxa"/>
            <w:vAlign w:val="bottom"/>
            <w:shd w:val="clear" w:color="auto" w:fill="CFF0FA"/>
          </w:tcPr>
          <w:p>
            <w:pPr>
              <w:spacing w:after="0"/>
              <w:rPr>
                <w:sz w:val="14"/>
                <w:szCs w:val="14"/>
                <w:color w:val="auto"/>
              </w:rPr>
            </w:pPr>
          </w:p>
        </w:tc>
        <w:tc>
          <w:tcPr>
            <w:tcW w:w="1380" w:type="dxa"/>
            <w:vAlign w:val="bottom"/>
            <w:shd w:val="clear" w:color="auto" w:fill="CFF0FA"/>
          </w:tcPr>
          <w:p>
            <w:pPr>
              <w:ind w:left="320"/>
              <w:spacing w:after="0"/>
              <w:rPr>
                <w:sz w:val="20"/>
                <w:szCs w:val="20"/>
                <w:color w:val="auto"/>
              </w:rPr>
            </w:pPr>
            <w:r>
              <w:rPr>
                <w:rFonts w:ascii="Arial" w:cs="Arial" w:eastAsia="Arial" w:hAnsi="Arial"/>
                <w:sz w:val="14"/>
                <w:szCs w:val="14"/>
                <w:color w:val="auto"/>
              </w:rPr>
              <w:t>02/01/2024</w:t>
            </w:r>
          </w:p>
        </w:tc>
        <w:tc>
          <w:tcPr>
            <w:tcW w:w="1180" w:type="dxa"/>
            <w:vAlign w:val="bottom"/>
            <w:shd w:val="clear" w:color="auto" w:fill="CFF0FA"/>
          </w:tcPr>
          <w:p>
            <w:pPr>
              <w:jc w:val="right"/>
              <w:spacing w:after="0"/>
              <w:rPr>
                <w:sz w:val="20"/>
                <w:szCs w:val="20"/>
                <w:color w:val="auto"/>
              </w:rPr>
            </w:pPr>
            <w:r>
              <w:rPr>
                <w:rFonts w:ascii="Arial" w:cs="Arial" w:eastAsia="Arial" w:hAnsi="Arial"/>
                <w:sz w:val="14"/>
                <w:szCs w:val="14"/>
                <w:color w:val="auto"/>
              </w:rPr>
              <w:t>4,575</w:t>
            </w:r>
          </w:p>
        </w:tc>
        <w:tc>
          <w:tcPr>
            <w:tcW w:w="16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225,731</w:t>
            </w:r>
          </w:p>
        </w:tc>
        <w:tc>
          <w:tcPr>
            <w:tcW w:w="1740" w:type="dxa"/>
            <w:vAlign w:val="bottom"/>
            <w:gridSpan w:val="2"/>
            <w:shd w:val="clear" w:color="auto" w:fill="CFF0FA"/>
          </w:tcPr>
          <w:p>
            <w:pPr>
              <w:jc w:val="center"/>
              <w:ind w:left="308"/>
              <w:spacing w:after="0"/>
              <w:rPr>
                <w:sz w:val="20"/>
                <w:szCs w:val="20"/>
                <w:color w:val="auto"/>
              </w:rPr>
            </w:pPr>
            <w:r>
              <w:rPr>
                <w:rFonts w:ascii="Arial" w:cs="Arial" w:eastAsia="Arial" w:hAnsi="Arial"/>
                <w:sz w:val="14"/>
                <w:szCs w:val="14"/>
                <w:color w:val="auto"/>
              </w:rPr>
              <w:t>02/03/2025</w:t>
            </w:r>
          </w:p>
        </w:tc>
        <w:tc>
          <w:tcPr>
            <w:tcW w:w="1540" w:type="dxa"/>
            <w:vAlign w:val="bottom"/>
            <w:gridSpan w:val="2"/>
            <w:shd w:val="clear" w:color="auto" w:fill="CFF0FA"/>
          </w:tcPr>
          <w:p>
            <w:pPr>
              <w:jc w:val="right"/>
              <w:ind w:right="48"/>
              <w:spacing w:after="0"/>
              <w:rPr>
                <w:sz w:val="20"/>
                <w:szCs w:val="20"/>
                <w:color w:val="auto"/>
              </w:rPr>
            </w:pPr>
            <w:r>
              <w:rPr>
                <w:rFonts w:ascii="Arial" w:cs="Arial" w:eastAsia="Arial" w:hAnsi="Arial"/>
                <w:sz w:val="14"/>
                <w:szCs w:val="14"/>
                <w:color w:val="auto"/>
              </w:rPr>
              <w:t>8,000</w:t>
            </w:r>
          </w:p>
        </w:tc>
        <w:tc>
          <w:tcPr>
            <w:tcW w:w="1560" w:type="dxa"/>
            <w:vAlign w:val="bottom"/>
            <w:shd w:val="clear" w:color="auto" w:fill="CFF0FA"/>
          </w:tcPr>
          <w:p>
            <w:pPr>
              <w:jc w:val="right"/>
              <w:ind w:right="48"/>
              <w:spacing w:after="0"/>
              <w:rPr>
                <w:sz w:val="20"/>
                <w:szCs w:val="20"/>
                <w:color w:val="auto"/>
              </w:rPr>
            </w:pPr>
            <w:r>
              <w:rPr>
                <w:rFonts w:ascii="Arial" w:cs="Arial" w:eastAsia="Arial" w:hAnsi="Arial"/>
                <w:sz w:val="14"/>
                <w:szCs w:val="14"/>
                <w:color w:val="auto"/>
              </w:rPr>
              <w:t>394,720</w:t>
            </w:r>
          </w:p>
        </w:tc>
      </w:tr>
      <w:tr>
        <w:trPr>
          <w:trHeight w:val="162"/>
        </w:trPr>
        <w:tc>
          <w:tcPr>
            <w:tcW w:w="1860" w:type="dxa"/>
            <w:vAlign w:val="bottom"/>
            <w:tcBorders>
              <w:bottom w:val="single" w:sz="8" w:color="005CA9"/>
            </w:tcBorders>
            <w:shd w:val="clear" w:color="auto" w:fill="CFF0FA"/>
          </w:tcPr>
          <w:p>
            <w:pPr>
              <w:spacing w:after="0"/>
              <w:rPr>
                <w:sz w:val="14"/>
                <w:szCs w:val="14"/>
                <w:color w:val="auto"/>
              </w:rPr>
            </w:pPr>
          </w:p>
        </w:tc>
        <w:tc>
          <w:tcPr>
            <w:tcW w:w="320" w:type="dxa"/>
            <w:vAlign w:val="bottom"/>
            <w:tcBorders>
              <w:bottom w:val="single" w:sz="8" w:color="005CA9"/>
            </w:tcBorders>
            <w:shd w:val="clear" w:color="auto" w:fill="CFF0FA"/>
          </w:tcPr>
          <w:p>
            <w:pPr>
              <w:spacing w:after="0"/>
              <w:rPr>
                <w:sz w:val="14"/>
                <w:szCs w:val="14"/>
                <w:color w:val="auto"/>
              </w:rPr>
            </w:pPr>
          </w:p>
        </w:tc>
        <w:tc>
          <w:tcPr>
            <w:tcW w:w="1380" w:type="dxa"/>
            <w:vAlign w:val="bottom"/>
            <w:tcBorders>
              <w:bottom w:val="single" w:sz="8" w:color="005CA9"/>
            </w:tcBorders>
            <w:shd w:val="clear" w:color="auto" w:fill="CFF0FA"/>
          </w:tcPr>
          <w:p>
            <w:pPr>
              <w:ind w:left="320"/>
              <w:spacing w:after="0"/>
              <w:rPr>
                <w:sz w:val="20"/>
                <w:szCs w:val="20"/>
                <w:color w:val="auto"/>
              </w:rPr>
            </w:pPr>
            <w:r>
              <w:rPr>
                <w:rFonts w:ascii="Arial" w:cs="Arial" w:eastAsia="Arial" w:hAnsi="Arial"/>
                <w:sz w:val="14"/>
                <w:szCs w:val="14"/>
                <w:color w:val="auto"/>
              </w:rPr>
              <w:t>02/03/2025</w:t>
            </w:r>
          </w:p>
        </w:tc>
        <w:tc>
          <w:tcPr>
            <w:tcW w:w="1180" w:type="dxa"/>
            <w:vAlign w:val="bottom"/>
            <w:tcBorders>
              <w:bottom w:val="single" w:sz="8" w:color="005CA9"/>
            </w:tcBorders>
            <w:shd w:val="clear" w:color="auto" w:fill="CFF0FA"/>
          </w:tcPr>
          <w:p>
            <w:pPr>
              <w:jc w:val="right"/>
              <w:spacing w:after="0"/>
              <w:rPr>
                <w:sz w:val="20"/>
                <w:szCs w:val="20"/>
                <w:color w:val="auto"/>
              </w:rPr>
            </w:pPr>
            <w:r>
              <w:rPr>
                <w:rFonts w:ascii="Arial" w:cs="Arial" w:eastAsia="Arial" w:hAnsi="Arial"/>
                <w:sz w:val="14"/>
                <w:szCs w:val="14"/>
                <w:color w:val="auto"/>
              </w:rPr>
              <w:t>8,000</w:t>
            </w:r>
          </w:p>
        </w:tc>
        <w:tc>
          <w:tcPr>
            <w:tcW w:w="1660" w:type="dxa"/>
            <w:vAlign w:val="bottom"/>
            <w:tcBorders>
              <w:bottom w:val="single" w:sz="8" w:color="005CA9"/>
            </w:tcBorders>
            <w:shd w:val="clear" w:color="auto" w:fill="CFF0FA"/>
          </w:tcPr>
          <w:p>
            <w:pPr>
              <w:jc w:val="right"/>
              <w:ind w:right="48"/>
              <w:spacing w:after="0"/>
              <w:rPr>
                <w:sz w:val="20"/>
                <w:szCs w:val="20"/>
                <w:color w:val="auto"/>
              </w:rPr>
            </w:pPr>
            <w:r>
              <w:rPr>
                <w:rFonts w:ascii="Arial" w:cs="Arial" w:eastAsia="Arial" w:hAnsi="Arial"/>
                <w:sz w:val="14"/>
                <w:szCs w:val="14"/>
                <w:color w:val="auto"/>
              </w:rPr>
              <w:t>394,720</w:t>
            </w:r>
          </w:p>
        </w:tc>
        <w:tc>
          <w:tcPr>
            <w:tcW w:w="380" w:type="dxa"/>
            <w:vAlign w:val="bottom"/>
            <w:tcBorders>
              <w:bottom w:val="single" w:sz="8" w:color="005CA9"/>
            </w:tcBorders>
            <w:shd w:val="clear" w:color="auto" w:fill="CFF0FA"/>
          </w:tcPr>
          <w:p>
            <w:pPr>
              <w:spacing w:after="0"/>
              <w:rPr>
                <w:sz w:val="14"/>
                <w:szCs w:val="14"/>
                <w:color w:val="auto"/>
              </w:rPr>
            </w:pPr>
          </w:p>
        </w:tc>
        <w:tc>
          <w:tcPr>
            <w:tcW w:w="1360" w:type="dxa"/>
            <w:vAlign w:val="bottom"/>
            <w:tcBorders>
              <w:bottom w:val="single" w:sz="8" w:color="005CA9"/>
            </w:tcBorders>
            <w:shd w:val="clear" w:color="auto" w:fill="CFF0FA"/>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005CA9"/>
            </w:tcBorders>
            <w:shd w:val="clear" w:color="auto" w:fill="CFF0FA"/>
          </w:tcPr>
          <w:p>
            <w:pPr>
              <w:spacing w:after="0"/>
              <w:rPr>
                <w:sz w:val="14"/>
                <w:szCs w:val="14"/>
                <w:color w:val="auto"/>
              </w:rPr>
            </w:pPr>
          </w:p>
        </w:tc>
        <w:tc>
          <w:tcPr>
            <w:tcW w:w="1420" w:type="dxa"/>
            <w:vAlign w:val="bottom"/>
            <w:tcBorders>
              <w:bottom w:val="single" w:sz="8" w:color="005CA9"/>
            </w:tcBorders>
            <w:shd w:val="clear" w:color="auto" w:fill="CFF0FA"/>
          </w:tcPr>
          <w:p>
            <w:pPr>
              <w:jc w:val="right"/>
              <w:ind w:right="4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005CA9"/>
            </w:tcBorders>
            <w:shd w:val="clear" w:color="auto" w:fill="CFF0FA"/>
          </w:tcPr>
          <w:p>
            <w:pPr>
              <w:jc w:val="right"/>
              <w:ind w:right="48"/>
              <w:spacing w:after="0"/>
              <w:rPr>
                <w:sz w:val="20"/>
                <w:szCs w:val="20"/>
                <w:color w:val="auto"/>
              </w:rPr>
            </w:pPr>
            <w:r>
              <w:rPr>
                <w:rFonts w:ascii="Arial" w:cs="Arial" w:eastAsia="Arial" w:hAnsi="Arial"/>
                <w:sz w:val="14"/>
                <w:szCs w:val="14"/>
                <w:color w:val="auto"/>
              </w:rPr>
              <w:t>—</w:t>
            </w:r>
          </w:p>
        </w:tc>
      </w:tr>
    </w:tbl>
    <w:p>
      <w:pPr>
        <w:jc w:val="both"/>
        <w:ind w:left="300" w:hanging="292"/>
        <w:spacing w:after="0" w:line="245" w:lineRule="auto"/>
        <w:tabs>
          <w:tab w:leader="none" w:pos="300" w:val="left"/>
        </w:tabs>
        <w:numPr>
          <w:ilvl w:val="0"/>
          <w:numId w:val="40"/>
        </w:numPr>
        <w:rPr>
          <w:rFonts w:ascii="Calibri" w:cs="Calibri" w:eastAsia="Calibri" w:hAnsi="Calibri"/>
          <w:sz w:val="14"/>
          <w:szCs w:val="14"/>
          <w:color w:val="auto"/>
        </w:rPr>
      </w:pPr>
      <w:r>
        <w:rPr>
          <w:rFonts w:ascii="Arial" w:cs="Arial" w:eastAsia="Arial" w:hAnsi="Arial"/>
          <w:sz w:val="14"/>
          <w:szCs w:val="14"/>
          <w:color w:val="auto"/>
        </w:rPr>
        <w:t>RSU awards vest in four equal annual installments. RSUs granted in February vest on February 1 of each year. RSUs granted in May vest on May 26 of each year. PSU awards can pay out between 0% and 200% of target, based on actual performance compared to pre-established, three-year financial performance targets. The amounts reflected in column (J) are based on an achievement level of 100%. The price per share to calculate the above value of equity awards was $49.34 which was the closing price per share on December 31, 2025. PSUs contain a performance-based vesting condition under which the PSUs will vest upon the Company achieving a cumulative 3-year performance-related condition. PSUs typically pay out upon the filing of the Company's Annual Report on Form 10-K. There are no outstanding stock options.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49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52" w:name="page53"/>
    <w:bookmarkEnd w:id="52"/>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OPTION EXERCISES AND STOCK VESTED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regarding vesting of RSU or PSUs held by NEOs during the year ended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(no stock options were exercised during the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60" w:type="dxa"/>
            <w:vAlign w:val="bottom"/>
            <w:tcBorders>
              <w:top w:val="single" w:sz="8" w:color="005CA9"/>
            </w:tcBorders>
          </w:tcPr>
          <w:p>
            <w:pPr>
              <w:spacing w:after="0"/>
              <w:rPr>
                <w:sz w:val="21"/>
                <w:szCs w:val="21"/>
                <w:color w:val="auto"/>
              </w:rPr>
            </w:pPr>
          </w:p>
        </w:tc>
        <w:tc>
          <w:tcPr>
            <w:tcW w:w="3200" w:type="dxa"/>
            <w:vAlign w:val="bottom"/>
            <w:tcBorders>
              <w:top w:val="single" w:sz="8" w:color="005CA9"/>
              <w:bottom w:val="single" w:sz="8" w:color="005CA9"/>
            </w:tcBorders>
          </w:tcPr>
          <w:p>
            <w:pPr>
              <w:jc w:val="right"/>
              <w:spacing w:after="0"/>
              <w:rPr>
                <w:sz w:val="20"/>
                <w:szCs w:val="20"/>
                <w:color w:val="auto"/>
              </w:rPr>
            </w:pPr>
            <w:r>
              <w:rPr>
                <w:rFonts w:ascii="Arial" w:cs="Arial" w:eastAsia="Arial" w:hAnsi="Arial"/>
                <w:sz w:val="20"/>
                <w:szCs w:val="20"/>
                <w:b w:val="1"/>
                <w:bCs w:val="1"/>
                <w:color w:val="auto"/>
              </w:rPr>
              <w:t>Stock Awards</w:t>
            </w:r>
          </w:p>
        </w:tc>
        <w:tc>
          <w:tcPr>
            <w:tcW w:w="1980" w:type="dxa"/>
            <w:vAlign w:val="bottom"/>
            <w:tcBorders>
              <w:top w:val="single" w:sz="8" w:color="005CA9"/>
              <w:bottom w:val="single" w:sz="8" w:color="005CA9"/>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200" w:type="dxa"/>
            <w:vAlign w:val="bottom"/>
          </w:tcPr>
          <w:p>
            <w:pPr>
              <w:jc w:val="center"/>
              <w:ind w:right="721"/>
              <w:spacing w:after="0" w:line="192" w:lineRule="exact"/>
              <w:rPr>
                <w:sz w:val="20"/>
                <w:szCs w:val="20"/>
                <w:color w:val="auto"/>
              </w:rPr>
            </w:pPr>
            <w:r>
              <w:rPr>
                <w:rFonts w:ascii="Arial" w:cs="Arial" w:eastAsia="Arial" w:hAnsi="Arial"/>
                <w:sz w:val="20"/>
                <w:szCs w:val="20"/>
                <w:b w:val="1"/>
                <w:bCs w:val="1"/>
                <w:color w:val="auto"/>
                <w:w w:val="98"/>
              </w:rPr>
              <w:t>Number of Shares</w:t>
            </w:r>
          </w:p>
        </w:tc>
        <w:tc>
          <w:tcPr>
            <w:tcW w:w="1980" w:type="dxa"/>
            <w:vAlign w:val="bottom"/>
            <w:vMerge w:val="restart"/>
          </w:tcPr>
          <w:p>
            <w:pPr>
              <w:jc w:val="center"/>
              <w:ind w:right="501"/>
              <w:spacing w:after="0"/>
              <w:rPr>
                <w:sz w:val="20"/>
                <w:szCs w:val="20"/>
                <w:color w:val="auto"/>
              </w:rPr>
            </w:pPr>
            <w:r>
              <w:rPr>
                <w:rFonts w:ascii="Arial" w:cs="Arial" w:eastAsia="Arial" w:hAnsi="Arial"/>
                <w:sz w:val="20"/>
                <w:szCs w:val="20"/>
                <w:b w:val="1"/>
                <w:bCs w:val="1"/>
                <w:color w:val="auto"/>
                <w:w w:val="98"/>
              </w:rPr>
              <w:t>Value Realized</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3200" w:type="dxa"/>
            <w:vAlign w:val="bottom"/>
          </w:tcPr>
          <w:p>
            <w:pPr>
              <w:jc w:val="center"/>
              <w:ind w:right="781"/>
              <w:spacing w:after="0" w:line="216" w:lineRule="exact"/>
              <w:rPr>
                <w:sz w:val="20"/>
                <w:szCs w:val="20"/>
                <w:color w:val="auto"/>
              </w:rPr>
            </w:pPr>
            <w:r>
              <w:rPr>
                <w:rFonts w:ascii="Arial" w:cs="Arial" w:eastAsia="Arial" w:hAnsi="Arial"/>
                <w:sz w:val="20"/>
                <w:szCs w:val="20"/>
                <w:b w:val="1"/>
                <w:bCs w:val="1"/>
                <w:color w:val="auto"/>
                <w:w w:val="99"/>
              </w:rPr>
              <w:t>Acquired on</w:t>
            </w: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60" w:type="dxa"/>
            <w:vAlign w:val="bottom"/>
            <w:vMerge w:val="restart"/>
          </w:tcPr>
          <w:p>
            <w:pPr>
              <w:spacing w:after="0"/>
              <w:rPr>
                <w:sz w:val="20"/>
                <w:szCs w:val="20"/>
                <w:color w:val="auto"/>
              </w:rPr>
            </w:pPr>
            <w:r>
              <w:rPr>
                <w:rFonts w:ascii="Arial" w:cs="Arial" w:eastAsia="Arial" w:hAnsi="Arial"/>
                <w:sz w:val="20"/>
                <w:szCs w:val="20"/>
                <w:b w:val="1"/>
                <w:bCs w:val="1"/>
                <w:color w:val="auto"/>
              </w:rPr>
              <w:t>Name</w:t>
            </w:r>
          </w:p>
        </w:tc>
        <w:tc>
          <w:tcPr>
            <w:tcW w:w="3200" w:type="dxa"/>
            <w:vAlign w:val="bottom"/>
          </w:tcPr>
          <w:p>
            <w:pPr>
              <w:jc w:val="center"/>
              <w:ind w:right="721"/>
              <w:spacing w:after="0" w:line="199" w:lineRule="exact"/>
              <w:rPr>
                <w:sz w:val="20"/>
                <w:szCs w:val="20"/>
                <w:color w:val="auto"/>
              </w:rPr>
            </w:pPr>
            <w:r>
              <w:rPr>
                <w:rFonts w:ascii="Arial" w:cs="Arial" w:eastAsia="Arial" w:hAnsi="Arial"/>
                <w:sz w:val="20"/>
                <w:szCs w:val="20"/>
                <w:b w:val="1"/>
                <w:bCs w:val="1"/>
                <w:color w:val="auto"/>
                <w:w w:val="96"/>
              </w:rPr>
              <w:t>Vesting</w:t>
            </w:r>
          </w:p>
        </w:tc>
        <w:tc>
          <w:tcPr>
            <w:tcW w:w="1980" w:type="dxa"/>
            <w:vAlign w:val="bottom"/>
          </w:tcPr>
          <w:p>
            <w:pPr>
              <w:jc w:val="center"/>
              <w:ind w:right="501"/>
              <w:spacing w:after="0" w:line="199" w:lineRule="exact"/>
              <w:rPr>
                <w:sz w:val="20"/>
                <w:szCs w:val="20"/>
                <w:color w:val="auto"/>
              </w:rPr>
            </w:pPr>
            <w:r>
              <w:rPr>
                <w:rFonts w:ascii="Arial" w:cs="Arial" w:eastAsia="Arial" w:hAnsi="Arial"/>
                <w:sz w:val="20"/>
                <w:szCs w:val="20"/>
                <w:b w:val="1"/>
                <w:bCs w:val="1"/>
                <w:color w:val="auto"/>
                <w:w w:val="99"/>
              </w:rPr>
              <w:t>on Vesting</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005CA9"/>
            </w:tcBorders>
            <w:vMerge w:val="continue"/>
          </w:tcPr>
          <w:p>
            <w:pPr>
              <w:spacing w:after="0"/>
              <w:rPr>
                <w:sz w:val="24"/>
                <w:szCs w:val="24"/>
                <w:color w:val="auto"/>
              </w:rPr>
            </w:pPr>
          </w:p>
        </w:tc>
        <w:tc>
          <w:tcPr>
            <w:tcW w:w="3200" w:type="dxa"/>
            <w:vAlign w:val="bottom"/>
            <w:tcBorders>
              <w:bottom w:val="single" w:sz="8" w:color="005CA9"/>
            </w:tcBorders>
          </w:tcPr>
          <w:p>
            <w:pPr>
              <w:jc w:val="center"/>
              <w:ind w:right="701"/>
              <w:spacing w:after="0"/>
              <w:rPr>
                <w:sz w:val="20"/>
                <w:szCs w:val="20"/>
                <w:color w:val="auto"/>
              </w:rPr>
            </w:pPr>
            <w:r>
              <w:rPr>
                <w:rFonts w:ascii="Arial" w:cs="Arial" w:eastAsia="Arial" w:hAnsi="Arial"/>
                <w:sz w:val="20"/>
                <w:szCs w:val="20"/>
                <w:b w:val="1"/>
                <w:bCs w:val="1"/>
                <w:color w:val="auto"/>
                <w:w w:val="97"/>
              </w:rPr>
              <w:t>(#)</w:t>
            </w:r>
          </w:p>
        </w:tc>
        <w:tc>
          <w:tcPr>
            <w:tcW w:w="1980" w:type="dxa"/>
            <w:vAlign w:val="bottom"/>
            <w:tcBorders>
              <w:bottom w:val="single" w:sz="8" w:color="005CA9"/>
            </w:tcBorders>
          </w:tcPr>
          <w:p>
            <w:pPr>
              <w:jc w:val="center"/>
              <w:ind w:right="501"/>
              <w:spacing w:after="0" w:line="256" w:lineRule="exact"/>
              <w:rPr>
                <w:sz w:val="20"/>
                <w:szCs w:val="20"/>
                <w:color w:val="auto"/>
              </w:rPr>
            </w:pPr>
            <w:r>
              <w:rPr>
                <w:rFonts w:ascii="Arial" w:cs="Arial" w:eastAsia="Arial" w:hAnsi="Arial"/>
                <w:sz w:val="20"/>
                <w:szCs w:val="20"/>
                <w:b w:val="1"/>
                <w:bCs w:val="1"/>
                <w:color w:val="auto"/>
                <w:w w:val="89"/>
              </w:rPr>
              <w:t xml:space="preserve">($) </w:t>
            </w:r>
            <w:r>
              <w:rPr>
                <w:rFonts w:ascii="Arial" w:cs="Arial" w:eastAsia="Arial" w:hAnsi="Arial"/>
                <w:sz w:val="26"/>
                <w:szCs w:val="26"/>
                <w:b w:val="1"/>
                <w:bCs w:val="1"/>
                <w:color w:val="auto"/>
                <w:w w:val="89"/>
                <w:vertAlign w:val="superscript"/>
              </w:rPr>
              <w:t>(1)</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Dr. Keh-Shew Lu</w:t>
            </w:r>
          </w:p>
        </w:tc>
        <w:tc>
          <w:tcPr>
            <w:tcW w:w="3200" w:type="dxa"/>
            <w:vAlign w:val="bottom"/>
            <w:shd w:val="clear" w:color="auto" w:fill="CFF0FC"/>
          </w:tcPr>
          <w:p>
            <w:pPr>
              <w:jc w:val="right"/>
              <w:ind w:right="721"/>
              <w:spacing w:after="0" w:line="216" w:lineRule="exact"/>
              <w:rPr>
                <w:sz w:val="20"/>
                <w:szCs w:val="20"/>
                <w:color w:val="auto"/>
              </w:rPr>
            </w:pPr>
            <w:r>
              <w:rPr>
                <w:rFonts w:ascii="Arial" w:cs="Arial" w:eastAsia="Arial" w:hAnsi="Arial"/>
                <w:sz w:val="20"/>
                <w:szCs w:val="20"/>
                <w:color w:val="auto"/>
              </w:rPr>
              <w:t>38,250</w:t>
            </w:r>
          </w:p>
        </w:tc>
        <w:tc>
          <w:tcPr>
            <w:tcW w:w="19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2,087,573</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Arial" w:cs="Arial" w:eastAsia="Arial" w:hAnsi="Arial"/>
                <w:sz w:val="20"/>
                <w:szCs w:val="20"/>
                <w:b w:val="1"/>
                <w:bCs w:val="1"/>
                <w:color w:val="auto"/>
              </w:rPr>
              <w:t>Gary Yu</w:t>
            </w:r>
          </w:p>
        </w:tc>
        <w:tc>
          <w:tcPr>
            <w:tcW w:w="3200" w:type="dxa"/>
            <w:vAlign w:val="bottom"/>
          </w:tcPr>
          <w:p>
            <w:pPr>
              <w:jc w:val="right"/>
              <w:ind w:right="721"/>
              <w:spacing w:after="0" w:line="216" w:lineRule="exact"/>
              <w:rPr>
                <w:sz w:val="20"/>
                <w:szCs w:val="20"/>
                <w:color w:val="auto"/>
              </w:rPr>
            </w:pPr>
            <w:r>
              <w:rPr>
                <w:rFonts w:ascii="Arial" w:cs="Arial" w:eastAsia="Arial" w:hAnsi="Arial"/>
                <w:sz w:val="20"/>
                <w:szCs w:val="20"/>
                <w:color w:val="auto"/>
              </w:rPr>
              <w:t>13,750</w:t>
            </w:r>
          </w:p>
        </w:tc>
        <w:tc>
          <w:tcPr>
            <w:tcW w:w="19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764,154</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Brett R. Whitmire</w:t>
            </w:r>
          </w:p>
        </w:tc>
        <w:tc>
          <w:tcPr>
            <w:tcW w:w="3200" w:type="dxa"/>
            <w:vAlign w:val="bottom"/>
            <w:shd w:val="clear" w:color="auto" w:fill="CFF0FC"/>
          </w:tcPr>
          <w:p>
            <w:pPr>
              <w:jc w:val="right"/>
              <w:ind w:right="721"/>
              <w:spacing w:after="0" w:line="216" w:lineRule="exact"/>
              <w:rPr>
                <w:sz w:val="20"/>
                <w:szCs w:val="20"/>
                <w:color w:val="auto"/>
              </w:rPr>
            </w:pPr>
            <w:r>
              <w:rPr>
                <w:rFonts w:ascii="Arial" w:cs="Arial" w:eastAsia="Arial" w:hAnsi="Arial"/>
                <w:sz w:val="20"/>
                <w:szCs w:val="20"/>
                <w:color w:val="auto"/>
              </w:rPr>
              <w:t>7,575</w:t>
            </w:r>
          </w:p>
        </w:tc>
        <w:tc>
          <w:tcPr>
            <w:tcW w:w="19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423,448</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Arial" w:cs="Arial" w:eastAsia="Arial" w:hAnsi="Arial"/>
                <w:sz w:val="20"/>
                <w:szCs w:val="20"/>
                <w:b w:val="1"/>
                <w:bCs w:val="1"/>
                <w:color w:val="auto"/>
              </w:rPr>
              <w:t>Francis Tang</w:t>
            </w:r>
          </w:p>
        </w:tc>
        <w:tc>
          <w:tcPr>
            <w:tcW w:w="3200" w:type="dxa"/>
            <w:vAlign w:val="bottom"/>
          </w:tcPr>
          <w:p>
            <w:pPr>
              <w:jc w:val="right"/>
              <w:ind w:right="721"/>
              <w:spacing w:after="0" w:line="216" w:lineRule="exact"/>
              <w:rPr>
                <w:sz w:val="20"/>
                <w:szCs w:val="20"/>
                <w:color w:val="auto"/>
              </w:rPr>
            </w:pPr>
            <w:r>
              <w:rPr>
                <w:rFonts w:ascii="Arial" w:cs="Arial" w:eastAsia="Arial" w:hAnsi="Arial"/>
                <w:sz w:val="20"/>
                <w:szCs w:val="20"/>
                <w:color w:val="auto"/>
              </w:rPr>
              <w:t>7,850</w:t>
            </w:r>
          </w:p>
        </w:tc>
        <w:tc>
          <w:tcPr>
            <w:tcW w:w="19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438,972</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Andy (Kuo-Ting) Tsong</w:t>
            </w:r>
          </w:p>
        </w:tc>
        <w:tc>
          <w:tcPr>
            <w:tcW w:w="3200" w:type="dxa"/>
            <w:vAlign w:val="bottom"/>
            <w:shd w:val="clear" w:color="auto" w:fill="CFF0FC"/>
          </w:tcPr>
          <w:p>
            <w:pPr>
              <w:jc w:val="right"/>
              <w:ind w:right="721"/>
              <w:spacing w:after="0" w:line="216" w:lineRule="exact"/>
              <w:rPr>
                <w:sz w:val="20"/>
                <w:szCs w:val="20"/>
                <w:color w:val="auto"/>
              </w:rPr>
            </w:pPr>
            <w:r>
              <w:rPr>
                <w:rFonts w:ascii="Arial" w:cs="Arial" w:eastAsia="Arial" w:hAnsi="Arial"/>
                <w:sz w:val="20"/>
                <w:szCs w:val="20"/>
                <w:color w:val="auto"/>
              </w:rPr>
              <w:t>6,401</w:t>
            </w:r>
          </w:p>
        </w:tc>
        <w:tc>
          <w:tcPr>
            <w:tcW w:w="19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342,272</w:t>
            </w: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Arial" w:cs="Arial" w:eastAsia="Arial" w:hAnsi="Arial"/>
                <w:sz w:val="20"/>
                <w:szCs w:val="20"/>
                <w:b w:val="1"/>
                <w:bCs w:val="1"/>
                <w:color w:val="auto"/>
              </w:rPr>
              <w:t>Emily Yang</w:t>
            </w:r>
          </w:p>
        </w:tc>
        <w:tc>
          <w:tcPr>
            <w:tcW w:w="3200" w:type="dxa"/>
            <w:vAlign w:val="bottom"/>
          </w:tcPr>
          <w:p>
            <w:pPr>
              <w:jc w:val="right"/>
              <w:ind w:right="721"/>
              <w:spacing w:after="0" w:line="216" w:lineRule="exact"/>
              <w:rPr>
                <w:sz w:val="20"/>
                <w:szCs w:val="20"/>
                <w:color w:val="auto"/>
              </w:rPr>
            </w:pPr>
            <w:r>
              <w:rPr>
                <w:rFonts w:ascii="Arial" w:cs="Arial" w:eastAsia="Arial" w:hAnsi="Arial"/>
                <w:sz w:val="20"/>
                <w:szCs w:val="20"/>
                <w:color w:val="auto"/>
              </w:rPr>
              <w:t>7,575</w:t>
            </w:r>
          </w:p>
        </w:tc>
        <w:tc>
          <w:tcPr>
            <w:tcW w:w="19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423,448</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005CA9"/>
            </w:tcBorders>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Jin Zhao</w:t>
            </w:r>
          </w:p>
        </w:tc>
        <w:tc>
          <w:tcPr>
            <w:tcW w:w="3200" w:type="dxa"/>
            <w:vAlign w:val="bottom"/>
            <w:tcBorders>
              <w:bottom w:val="single" w:sz="8" w:color="005CA9"/>
            </w:tcBorders>
            <w:shd w:val="clear" w:color="auto" w:fill="CFF0FC"/>
          </w:tcPr>
          <w:p>
            <w:pPr>
              <w:jc w:val="right"/>
              <w:ind w:right="721"/>
              <w:spacing w:after="0" w:line="216" w:lineRule="exact"/>
              <w:rPr>
                <w:sz w:val="20"/>
                <w:szCs w:val="20"/>
                <w:color w:val="auto"/>
              </w:rPr>
            </w:pPr>
            <w:r>
              <w:rPr>
                <w:rFonts w:ascii="Arial" w:cs="Arial" w:eastAsia="Arial" w:hAnsi="Arial"/>
                <w:sz w:val="20"/>
                <w:szCs w:val="20"/>
                <w:color w:val="auto"/>
              </w:rPr>
              <w:t>6,025</w:t>
            </w:r>
          </w:p>
        </w:tc>
        <w:tc>
          <w:tcPr>
            <w:tcW w:w="1980" w:type="dxa"/>
            <w:vAlign w:val="bottom"/>
            <w:tcBorders>
              <w:bottom w:val="single" w:sz="8" w:color="005CA9"/>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337,921</w:t>
            </w:r>
          </w:p>
        </w:tc>
        <w:tc>
          <w:tcPr>
            <w:tcW w:w="0" w:type="dxa"/>
            <w:vAlign w:val="bottom"/>
          </w:tcPr>
          <w:p>
            <w:pPr>
              <w:spacing w:after="0"/>
              <w:rPr>
                <w:sz w:val="1"/>
                <w:szCs w:val="1"/>
                <w:color w:val="auto"/>
              </w:rPr>
            </w:pPr>
          </w:p>
        </w:tc>
      </w:tr>
    </w:tbl>
    <w:p>
      <w:pPr>
        <w:jc w:val="both"/>
        <w:ind w:left="300" w:hanging="292"/>
        <w:spacing w:after="0" w:line="248" w:lineRule="auto"/>
        <w:tabs>
          <w:tab w:leader="none" w:pos="300" w:val="left"/>
        </w:tabs>
        <w:numPr>
          <w:ilvl w:val="0"/>
          <w:numId w:val="41"/>
        </w:numPr>
        <w:rPr>
          <w:rFonts w:ascii="Calibri" w:cs="Calibri" w:eastAsia="Calibri" w:hAnsi="Calibri"/>
          <w:sz w:val="14"/>
          <w:szCs w:val="14"/>
          <w:color w:val="auto"/>
        </w:rPr>
      </w:pPr>
      <w:r>
        <w:rPr>
          <w:rFonts w:ascii="Arial" w:cs="Arial" w:eastAsia="Arial" w:hAnsi="Arial"/>
          <w:sz w:val="14"/>
          <w:szCs w:val="14"/>
          <w:color w:val="auto"/>
        </w:rPr>
        <w:t>Value realized on vesting is calculated by (i) multiplying the number of shares acquired upon vesting by (ii) the closing share price of the Common Stock of the Company on the vesting date and does not necessarily reflect the actual value realized. The actual value ultimately realized depends upon the number of shares actually sold by each NEO, if any, and the value received upon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table sets forth information with respect to shares of Common Stock that may be issued under the Company’s equity compensation plans as of December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40" w:type="dxa"/>
            <w:vAlign w:val="bottom"/>
            <w:tcBorders>
              <w:top w:val="single" w:sz="8" w:color="005CA9"/>
            </w:tcBorders>
          </w:tcPr>
          <w:p>
            <w:pPr>
              <w:spacing w:after="0"/>
              <w:rPr>
                <w:sz w:val="16"/>
                <w:szCs w:val="16"/>
                <w:color w:val="auto"/>
              </w:rPr>
            </w:pPr>
          </w:p>
        </w:tc>
        <w:tc>
          <w:tcPr>
            <w:tcW w:w="3520" w:type="dxa"/>
            <w:vAlign w:val="bottom"/>
            <w:tcBorders>
              <w:top w:val="single" w:sz="8" w:color="005CA9"/>
            </w:tcBorders>
          </w:tcPr>
          <w:p>
            <w:pPr>
              <w:jc w:val="center"/>
              <w:ind w:left="1339"/>
              <w:spacing w:after="0"/>
              <w:rPr>
                <w:sz w:val="20"/>
                <w:szCs w:val="20"/>
                <w:color w:val="auto"/>
              </w:rPr>
            </w:pPr>
            <w:r>
              <w:rPr>
                <w:rFonts w:ascii="Arial" w:cs="Arial" w:eastAsia="Arial" w:hAnsi="Arial"/>
                <w:sz w:val="16"/>
                <w:szCs w:val="16"/>
                <w:b w:val="1"/>
                <w:bCs w:val="1"/>
                <w:color w:val="auto"/>
              </w:rPr>
              <w:t>Number of</w:t>
            </w:r>
          </w:p>
        </w:tc>
        <w:tc>
          <w:tcPr>
            <w:tcW w:w="2040" w:type="dxa"/>
            <w:vAlign w:val="bottom"/>
            <w:tcBorders>
              <w:top w:val="single" w:sz="8" w:color="005CA9"/>
            </w:tcBorders>
          </w:tcPr>
          <w:p>
            <w:pPr>
              <w:spacing w:after="0"/>
              <w:rPr>
                <w:sz w:val="16"/>
                <w:szCs w:val="16"/>
                <w:color w:val="auto"/>
              </w:rPr>
            </w:pPr>
          </w:p>
        </w:tc>
        <w:tc>
          <w:tcPr>
            <w:tcW w:w="2540" w:type="dxa"/>
            <w:vAlign w:val="bottom"/>
            <w:tcBorders>
              <w:top w:val="single" w:sz="8" w:color="005CA9"/>
            </w:tcBorders>
          </w:tcPr>
          <w:p>
            <w:pPr>
              <w:jc w:val="center"/>
              <w:ind w:right="59"/>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520" w:type="dxa"/>
            <w:vAlign w:val="bottom"/>
          </w:tcPr>
          <w:p>
            <w:pPr>
              <w:jc w:val="center"/>
              <w:ind w:left="1339"/>
              <w:spacing w:after="0"/>
              <w:rPr>
                <w:sz w:val="20"/>
                <w:szCs w:val="20"/>
                <w:color w:val="auto"/>
              </w:rPr>
            </w:pPr>
            <w:r>
              <w:rPr>
                <w:rFonts w:ascii="Arial" w:cs="Arial" w:eastAsia="Arial" w:hAnsi="Arial"/>
                <w:sz w:val="16"/>
                <w:szCs w:val="16"/>
                <w:b w:val="1"/>
                <w:bCs w:val="1"/>
                <w:color w:val="auto"/>
              </w:rPr>
              <w:t>Securities to be</w:t>
            </w:r>
          </w:p>
        </w:tc>
        <w:tc>
          <w:tcPr>
            <w:tcW w:w="2040" w:type="dxa"/>
            <w:vAlign w:val="bottom"/>
          </w:tcPr>
          <w:p>
            <w:pPr>
              <w:spacing w:after="0"/>
              <w:rPr>
                <w:sz w:val="16"/>
                <w:szCs w:val="16"/>
                <w:color w:val="auto"/>
              </w:rPr>
            </w:pPr>
          </w:p>
        </w:tc>
        <w:tc>
          <w:tcPr>
            <w:tcW w:w="2540" w:type="dxa"/>
            <w:vAlign w:val="bottom"/>
          </w:tcPr>
          <w:p>
            <w:pPr>
              <w:jc w:val="center"/>
              <w:ind w:right="59"/>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520" w:type="dxa"/>
            <w:vAlign w:val="bottom"/>
          </w:tcPr>
          <w:p>
            <w:pPr>
              <w:jc w:val="center"/>
              <w:ind w:left="1339"/>
              <w:spacing w:after="0"/>
              <w:rPr>
                <w:sz w:val="20"/>
                <w:szCs w:val="20"/>
                <w:color w:val="auto"/>
              </w:rPr>
            </w:pPr>
            <w:r>
              <w:rPr>
                <w:rFonts w:ascii="Arial" w:cs="Arial" w:eastAsia="Arial" w:hAnsi="Arial"/>
                <w:sz w:val="16"/>
                <w:szCs w:val="16"/>
                <w:b w:val="1"/>
                <w:bCs w:val="1"/>
                <w:color w:val="auto"/>
              </w:rPr>
              <w:t>Issued Upon</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2540" w:type="dxa"/>
            <w:vAlign w:val="bottom"/>
          </w:tcPr>
          <w:p>
            <w:pPr>
              <w:jc w:val="center"/>
              <w:ind w:right="59"/>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520" w:type="dxa"/>
            <w:vAlign w:val="bottom"/>
          </w:tcPr>
          <w:p>
            <w:pPr>
              <w:jc w:val="center"/>
              <w:ind w:left="1339"/>
              <w:spacing w:after="0"/>
              <w:rPr>
                <w:sz w:val="20"/>
                <w:szCs w:val="20"/>
                <w:color w:val="auto"/>
              </w:rPr>
            </w:pPr>
            <w:r>
              <w:rPr>
                <w:rFonts w:ascii="Arial" w:cs="Arial" w:eastAsia="Arial" w:hAnsi="Arial"/>
                <w:sz w:val="16"/>
                <w:szCs w:val="16"/>
                <w:b w:val="1"/>
                <w:bCs w:val="1"/>
                <w:color w:val="auto"/>
              </w:rPr>
              <w:t>Exercise of</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Exercise Price of</w:t>
            </w:r>
          </w:p>
        </w:tc>
        <w:tc>
          <w:tcPr>
            <w:tcW w:w="2540" w:type="dxa"/>
            <w:vAlign w:val="bottom"/>
          </w:tcPr>
          <w:p>
            <w:pPr>
              <w:jc w:val="center"/>
              <w:ind w:right="99"/>
              <w:spacing w:after="0"/>
              <w:rPr>
                <w:sz w:val="20"/>
                <w:szCs w:val="20"/>
                <w:color w:val="auto"/>
              </w:rPr>
            </w:pPr>
            <w:r>
              <w:rPr>
                <w:rFonts w:ascii="Arial" w:cs="Arial" w:eastAsia="Arial" w:hAnsi="Arial"/>
                <w:sz w:val="16"/>
                <w:szCs w:val="16"/>
                <w:b w:val="1"/>
                <w:bCs w:val="1"/>
                <w:color w:val="auto"/>
              </w:rPr>
              <w:t>Equity Compensation</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520" w:type="dxa"/>
            <w:vAlign w:val="bottom"/>
          </w:tcPr>
          <w:p>
            <w:pPr>
              <w:jc w:val="center"/>
              <w:ind w:left="1339"/>
              <w:spacing w:after="0"/>
              <w:rPr>
                <w:sz w:val="20"/>
                <w:szCs w:val="20"/>
                <w:color w:val="auto"/>
              </w:rPr>
            </w:pPr>
            <w:r>
              <w:rPr>
                <w:rFonts w:ascii="Arial" w:cs="Arial" w:eastAsia="Arial" w:hAnsi="Arial"/>
                <w:sz w:val="16"/>
                <w:szCs w:val="16"/>
                <w:b w:val="1"/>
                <w:bCs w:val="1"/>
                <w:color w:val="auto"/>
                <w:w w:val="99"/>
              </w:rPr>
              <w:t>Outstanding</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540" w:type="dxa"/>
            <w:vAlign w:val="bottom"/>
          </w:tcPr>
          <w:p>
            <w:pPr>
              <w:jc w:val="center"/>
              <w:ind w:right="59"/>
              <w:spacing w:after="0"/>
              <w:rPr>
                <w:sz w:val="20"/>
                <w:szCs w:val="20"/>
                <w:color w:val="auto"/>
              </w:rPr>
            </w:pPr>
            <w:r>
              <w:rPr>
                <w:rFonts w:ascii="Arial" w:cs="Arial" w:eastAsia="Arial" w:hAnsi="Arial"/>
                <w:sz w:val="16"/>
                <w:szCs w:val="16"/>
                <w:b w:val="1"/>
                <w:bCs w:val="1"/>
                <w:color w:val="auto"/>
              </w:rPr>
              <w:t>Plans</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3520" w:type="dxa"/>
            <w:vAlign w:val="bottom"/>
          </w:tcPr>
          <w:p>
            <w:pPr>
              <w:jc w:val="center"/>
              <w:ind w:left="1399"/>
              <w:spacing w:after="0"/>
              <w:rPr>
                <w:sz w:val="20"/>
                <w:szCs w:val="20"/>
                <w:color w:val="auto"/>
              </w:rPr>
            </w:pPr>
            <w:r>
              <w:rPr>
                <w:rFonts w:ascii="Arial" w:cs="Arial" w:eastAsia="Arial" w:hAnsi="Arial"/>
                <w:sz w:val="16"/>
                <w:szCs w:val="16"/>
                <w:b w:val="1"/>
                <w:bCs w:val="1"/>
                <w:color w:val="auto"/>
              </w:rPr>
              <w:t>Options, Warrants</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Options, Warrants</w:t>
            </w:r>
          </w:p>
        </w:tc>
        <w:tc>
          <w:tcPr>
            <w:tcW w:w="2540" w:type="dxa"/>
            <w:vAlign w:val="bottom"/>
          </w:tcPr>
          <w:p>
            <w:pPr>
              <w:jc w:val="center"/>
              <w:ind w:right="59"/>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189"/>
        </w:trPr>
        <w:tc>
          <w:tcPr>
            <w:tcW w:w="3140" w:type="dxa"/>
            <w:vAlign w:val="bottom"/>
            <w:vMerge w:val="restart"/>
          </w:tcPr>
          <w:p>
            <w:pPr>
              <w:spacing w:after="0"/>
              <w:rPr>
                <w:sz w:val="20"/>
                <w:szCs w:val="20"/>
                <w:color w:val="auto"/>
              </w:rPr>
            </w:pPr>
            <w:r>
              <w:rPr>
                <w:rFonts w:ascii="Arial" w:cs="Arial" w:eastAsia="Arial" w:hAnsi="Arial"/>
                <w:sz w:val="20"/>
                <w:szCs w:val="20"/>
                <w:b w:val="1"/>
                <w:bCs w:val="1"/>
                <w:color w:val="auto"/>
              </w:rPr>
              <w:t>Plan Category</w:t>
            </w:r>
          </w:p>
        </w:tc>
        <w:tc>
          <w:tcPr>
            <w:tcW w:w="3520" w:type="dxa"/>
            <w:vAlign w:val="bottom"/>
          </w:tcPr>
          <w:p>
            <w:pPr>
              <w:jc w:val="center"/>
              <w:ind w:left="1399"/>
              <w:spacing w:after="0"/>
              <w:rPr>
                <w:sz w:val="20"/>
                <w:szCs w:val="20"/>
                <w:color w:val="auto"/>
              </w:rPr>
            </w:pPr>
            <w:r>
              <w:rPr>
                <w:rFonts w:ascii="Arial" w:cs="Arial" w:eastAsia="Arial" w:hAnsi="Arial"/>
                <w:sz w:val="16"/>
                <w:szCs w:val="16"/>
                <w:b w:val="1"/>
                <w:bCs w:val="1"/>
                <w:color w:val="auto"/>
              </w:rPr>
              <w:t>and Rights</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and Rights</w:t>
            </w:r>
          </w:p>
        </w:tc>
        <w:tc>
          <w:tcPr>
            <w:tcW w:w="2540" w:type="dxa"/>
            <w:vAlign w:val="bottom"/>
          </w:tcPr>
          <w:p>
            <w:pPr>
              <w:jc w:val="center"/>
              <w:ind w:right="39"/>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3520" w:type="dxa"/>
            <w:vAlign w:val="bottom"/>
          </w:tcPr>
          <w:p>
            <w:pPr>
              <w:jc w:val="center"/>
              <w:ind w:left="1339"/>
              <w:spacing w:after="0"/>
              <w:rPr>
                <w:sz w:val="20"/>
                <w:szCs w:val="20"/>
                <w:color w:val="auto"/>
              </w:rPr>
            </w:pPr>
            <w:r>
              <w:rPr>
                <w:rFonts w:ascii="Arial" w:cs="Arial" w:eastAsia="Arial" w:hAnsi="Arial"/>
                <w:sz w:val="16"/>
                <w:szCs w:val="16"/>
                <w:b w:val="1"/>
                <w:bCs w:val="1"/>
                <w:color w:val="auto"/>
                <w:w w:val="91"/>
              </w:rPr>
              <w:t>(a)</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2540" w:type="dxa"/>
            <w:vAlign w:val="bottom"/>
          </w:tcPr>
          <w:p>
            <w:pPr>
              <w:jc w:val="center"/>
              <w:ind w:right="59"/>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p>
      <w:pPr>
        <w:spacing w:after="0" w:line="228" w:lineRule="auto"/>
        <w:rPr>
          <w:sz w:val="20"/>
          <w:szCs w:val="20"/>
          <w:color w:val="auto"/>
        </w:rPr>
      </w:pPr>
      <w:r>
        <w:rPr>
          <w:rFonts w:ascii="Arial" w:cs="Arial" w:eastAsia="Arial" w:hAnsi="Arial"/>
          <w:sz w:val="20"/>
          <w:szCs w:val="20"/>
          <w:color w:val="auto"/>
        </w:rPr>
        <w:t>Equity Compensation Plans</w:t>
      </w:r>
    </w:p>
    <w:p>
      <w:pPr>
        <w:ind w:left="180"/>
        <w:spacing w:after="0" w:line="226" w:lineRule="auto"/>
        <w:rPr>
          <w:sz w:val="20"/>
          <w:szCs w:val="20"/>
          <w:color w:val="auto"/>
        </w:rPr>
      </w:pPr>
      <w:r>
        <w:rPr>
          <w:rFonts w:ascii="Arial" w:cs="Arial" w:eastAsia="Arial" w:hAnsi="Arial"/>
          <w:sz w:val="20"/>
          <w:szCs w:val="20"/>
          <w:color w:val="auto"/>
        </w:rPr>
        <w:t>Approved by Security Holders</w:t>
      </w:r>
    </w:p>
    <w:p>
      <w:pPr>
        <w:spacing w:after="0" w:line="225" w:lineRule="auto"/>
        <w:rPr>
          <w:sz w:val="20"/>
          <w:szCs w:val="20"/>
          <w:color w:val="auto"/>
        </w:rPr>
      </w:pPr>
      <w:r>
        <w:rPr>
          <w:rFonts w:ascii="Arial" w:cs="Arial" w:eastAsia="Arial" w:hAnsi="Arial"/>
          <w:sz w:val="20"/>
          <w:szCs w:val="20"/>
          <w:color w:val="auto"/>
        </w:rPr>
        <w:t>Equity Compensation Plans</w:t>
      </w:r>
    </w:p>
    <w:p>
      <w:pPr>
        <w:ind w:left="180"/>
        <w:spacing w:after="0" w:line="238" w:lineRule="auto"/>
        <w:rPr>
          <w:sz w:val="20"/>
          <w:szCs w:val="20"/>
          <w:color w:val="auto"/>
        </w:rPr>
      </w:pPr>
      <w:r>
        <w:rPr>
          <w:rFonts w:ascii="Arial" w:cs="Arial" w:eastAsia="Arial" w:hAnsi="Arial"/>
          <w:sz w:val="19"/>
          <w:szCs w:val="19"/>
          <w:color w:val="auto"/>
        </w:rPr>
        <w:t>Not Approved by Security Holders</w:t>
      </w:r>
    </w:p>
    <w:p>
      <w:pPr>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9"/>
        </w:trPr>
        <w:tc>
          <w:tcPr>
            <w:tcW w:w="940" w:type="dxa"/>
            <w:vAlign w:val="bottom"/>
          </w:tcPr>
          <w:p>
            <w:pPr>
              <w:jc w:val="right"/>
              <w:spacing w:after="0"/>
              <w:rPr>
                <w:sz w:val="20"/>
                <w:szCs w:val="20"/>
                <w:color w:val="auto"/>
              </w:rPr>
            </w:pPr>
            <w:r>
              <w:rPr>
                <w:rFonts w:ascii="Arial" w:cs="Arial" w:eastAsia="Arial" w:hAnsi="Arial"/>
                <w:sz w:val="20"/>
                <w:szCs w:val="20"/>
                <w:color w:val="auto"/>
                <w:w w:val="96"/>
              </w:rPr>
              <w:t>1,241,511</w:t>
            </w:r>
          </w:p>
        </w:tc>
        <w:tc>
          <w:tcPr>
            <w:tcW w:w="480" w:type="dxa"/>
            <w:vAlign w:val="bottom"/>
          </w:tcPr>
          <w:p>
            <w:pPr>
              <w:jc w:val="right"/>
              <w:ind w:right="174"/>
              <w:spacing w:after="0"/>
              <w:rPr>
                <w:sz w:val="20"/>
                <w:szCs w:val="20"/>
                <w:color w:val="auto"/>
              </w:rPr>
            </w:pPr>
            <w:r>
              <w:rPr>
                <w:rFonts w:ascii="Arial" w:cs="Arial" w:eastAsia="Arial" w:hAnsi="Arial"/>
                <w:sz w:val="13"/>
                <w:szCs w:val="13"/>
                <w:color w:val="auto"/>
              </w:rPr>
              <w:t>(1)</w:t>
            </w:r>
          </w:p>
        </w:tc>
        <w:tc>
          <w:tcPr>
            <w:tcW w:w="2420" w:type="dxa"/>
            <w:vAlign w:val="bottom"/>
            <w:gridSpan w:val="2"/>
          </w:tcPr>
          <w:p>
            <w:pPr>
              <w:ind w:left="13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3"/>
                <w:szCs w:val="13"/>
                <w:color w:val="auto"/>
              </w:rPr>
              <w:t>(2)</w:t>
            </w:r>
          </w:p>
        </w:tc>
        <w:tc>
          <w:tcPr>
            <w:tcW w:w="1560" w:type="dxa"/>
            <w:vAlign w:val="bottom"/>
          </w:tcPr>
          <w:p>
            <w:pPr>
              <w:jc w:val="right"/>
              <w:spacing w:after="0"/>
              <w:rPr>
                <w:sz w:val="20"/>
                <w:szCs w:val="20"/>
                <w:color w:val="auto"/>
              </w:rPr>
            </w:pPr>
            <w:r>
              <w:rPr>
                <w:rFonts w:ascii="Arial" w:cs="Arial" w:eastAsia="Arial" w:hAnsi="Arial"/>
                <w:sz w:val="20"/>
                <w:szCs w:val="20"/>
                <w:color w:val="auto"/>
              </w:rPr>
              <w:t>3,396,082</w:t>
            </w:r>
          </w:p>
        </w:tc>
        <w:tc>
          <w:tcPr>
            <w:tcW w:w="320" w:type="dxa"/>
            <w:vAlign w:val="bottom"/>
          </w:tcPr>
          <w:p>
            <w:pPr>
              <w:jc w:val="right"/>
              <w:ind w:right="34"/>
              <w:spacing w:after="0"/>
              <w:rPr>
                <w:sz w:val="20"/>
                <w:szCs w:val="20"/>
                <w:color w:val="auto"/>
              </w:rPr>
            </w:pPr>
            <w:r>
              <w:rPr>
                <w:rFonts w:ascii="Arial" w:cs="Arial" w:eastAsia="Arial" w:hAnsi="Arial"/>
                <w:sz w:val="13"/>
                <w:szCs w:val="13"/>
                <w:color w:val="auto"/>
              </w:rPr>
              <w:t>(3)</w:t>
            </w:r>
          </w:p>
        </w:tc>
      </w:tr>
      <w:tr>
        <w:trPr>
          <w:trHeight w:val="324"/>
        </w:trPr>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4"/>
                <w:szCs w:val="24"/>
                <w:color w:val="auto"/>
              </w:rPr>
            </w:pPr>
          </w:p>
        </w:tc>
        <w:tc>
          <w:tcPr>
            <w:tcW w:w="2420" w:type="dxa"/>
            <w:vAlign w:val="bottom"/>
            <w:gridSpan w:val="2"/>
          </w:tcPr>
          <w:p>
            <w:pPr>
              <w:ind w:left="1320"/>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r>
      <w:tr>
        <w:trPr>
          <w:trHeight w:val="300"/>
        </w:trPr>
        <w:tc>
          <w:tcPr>
            <w:tcW w:w="940" w:type="dxa"/>
            <w:vAlign w:val="bottom"/>
          </w:tcPr>
          <w:p>
            <w:pPr>
              <w:jc w:val="right"/>
              <w:spacing w:after="0"/>
              <w:rPr>
                <w:sz w:val="20"/>
                <w:szCs w:val="20"/>
                <w:color w:val="auto"/>
              </w:rPr>
            </w:pPr>
            <w:r>
              <w:rPr>
                <w:rFonts w:ascii="Arial" w:cs="Arial" w:eastAsia="Arial" w:hAnsi="Arial"/>
                <w:sz w:val="20"/>
                <w:szCs w:val="20"/>
                <w:b w:val="1"/>
                <w:bCs w:val="1"/>
                <w:color w:val="auto"/>
                <w:w w:val="96"/>
              </w:rPr>
              <w:t>1,241,511</w:t>
            </w:r>
          </w:p>
        </w:tc>
        <w:tc>
          <w:tcPr>
            <w:tcW w:w="480" w:type="dxa"/>
            <w:vAlign w:val="bottom"/>
          </w:tcPr>
          <w:p>
            <w:pPr>
              <w:spacing w:after="0"/>
              <w:rPr>
                <w:sz w:val="24"/>
                <w:szCs w:val="24"/>
                <w:color w:val="auto"/>
              </w:rPr>
            </w:pPr>
          </w:p>
        </w:tc>
        <w:tc>
          <w:tcPr>
            <w:tcW w:w="1620" w:type="dxa"/>
            <w:vAlign w:val="bottom"/>
            <w:tcBorders>
              <w:bottom w:val="single" w:sz="8" w:color="auto"/>
            </w:tcBorders>
          </w:tcPr>
          <w:p>
            <w:pPr>
              <w:ind w:left="132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005CA9"/>
            </w:tcBorders>
          </w:tcPr>
          <w:p>
            <w:pPr>
              <w:spacing w:after="0"/>
              <w:rPr>
                <w:sz w:val="24"/>
                <w:szCs w:val="24"/>
                <w:color w:val="auto"/>
              </w:rPr>
            </w:pPr>
          </w:p>
        </w:tc>
        <w:tc>
          <w:tcPr>
            <w:tcW w:w="1560" w:type="dxa"/>
            <w:vAlign w:val="bottom"/>
            <w:tcBorders>
              <w:bottom w:val="single" w:sz="8" w:color="005CA9"/>
            </w:tcBorders>
          </w:tcPr>
          <w:p>
            <w:pPr>
              <w:jc w:val="right"/>
              <w:spacing w:after="0"/>
              <w:rPr>
                <w:sz w:val="20"/>
                <w:szCs w:val="20"/>
                <w:color w:val="auto"/>
              </w:rPr>
            </w:pPr>
            <w:r>
              <w:rPr>
                <w:rFonts w:ascii="Arial" w:cs="Arial" w:eastAsia="Arial" w:hAnsi="Arial"/>
                <w:sz w:val="20"/>
                <w:szCs w:val="20"/>
                <w:b w:val="1"/>
                <w:bCs w:val="1"/>
                <w:color w:val="auto"/>
              </w:rPr>
              <w:t>3,396,082</w:t>
            </w:r>
          </w:p>
        </w:tc>
        <w:tc>
          <w:tcPr>
            <w:tcW w:w="320" w:type="dxa"/>
            <w:vAlign w:val="bottom"/>
            <w:tcBorders>
              <w:bottom w:val="single" w:sz="8" w:color="005CA9"/>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-693420</wp:posOffset>
            </wp:positionV>
            <wp:extent cx="713232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-145415</wp:posOffset>
            </wp:positionV>
            <wp:extent cx="71323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4800" w:space="720"/>
            <w:col w:w="5720"/>
          </w:cols>
          <w:pgMar w:left="320" w:top="1020" w:right="339" w:bottom="1440" w:gutter="0" w:footer="0" w:header="0"/>
          <w:type w:val="continuous"/>
        </w:sectPr>
      </w:pPr>
    </w:p>
    <w:p>
      <w:pPr>
        <w:ind w:left="300" w:hanging="292"/>
        <w:spacing w:after="0"/>
        <w:tabs>
          <w:tab w:leader="none" w:pos="300" w:val="left"/>
        </w:tabs>
        <w:numPr>
          <w:ilvl w:val="0"/>
          <w:numId w:val="42"/>
        </w:numPr>
        <w:rPr>
          <w:rFonts w:ascii="Calibri" w:cs="Calibri" w:eastAsia="Calibri" w:hAnsi="Calibri"/>
          <w:sz w:val="14"/>
          <w:szCs w:val="14"/>
          <w:color w:val="auto"/>
        </w:rPr>
      </w:pPr>
      <w:r>
        <w:rPr>
          <w:rFonts w:ascii="Arial" w:cs="Arial" w:eastAsia="Arial" w:hAnsi="Arial"/>
          <w:sz w:val="14"/>
          <w:szCs w:val="14"/>
          <w:color w:val="auto"/>
        </w:rPr>
        <w:t>Shares issuable pursuant to outstanding awards under the 2022 Plan as of December 31, 2025.</w:t>
      </w:r>
    </w:p>
    <w:p>
      <w:pPr>
        <w:spacing w:after="0" w:line="19" w:lineRule="exact"/>
        <w:rPr>
          <w:rFonts w:ascii="Calibri" w:cs="Calibri" w:eastAsia="Calibri" w:hAnsi="Calibri"/>
          <w:sz w:val="14"/>
          <w:szCs w:val="14"/>
          <w:color w:val="auto"/>
        </w:rPr>
      </w:pPr>
    </w:p>
    <w:p>
      <w:pPr>
        <w:ind w:left="300" w:hanging="292"/>
        <w:spacing w:after="0"/>
        <w:tabs>
          <w:tab w:leader="none" w:pos="300" w:val="left"/>
        </w:tabs>
        <w:numPr>
          <w:ilvl w:val="0"/>
          <w:numId w:val="42"/>
        </w:numPr>
        <w:rPr>
          <w:rFonts w:ascii="Calibri" w:cs="Calibri" w:eastAsia="Calibri" w:hAnsi="Calibri"/>
          <w:sz w:val="14"/>
          <w:szCs w:val="14"/>
          <w:color w:val="auto"/>
        </w:rPr>
      </w:pPr>
      <w:r>
        <w:rPr>
          <w:rFonts w:ascii="Arial" w:cs="Arial" w:eastAsia="Arial" w:hAnsi="Arial"/>
          <w:sz w:val="14"/>
          <w:szCs w:val="14"/>
          <w:color w:val="auto"/>
        </w:rPr>
        <w:t>The Company has no stock options outstanding.</w:t>
      </w:r>
    </w:p>
    <w:p>
      <w:pPr>
        <w:spacing w:after="0" w:line="18" w:lineRule="exact"/>
        <w:rPr>
          <w:rFonts w:ascii="Calibri" w:cs="Calibri" w:eastAsia="Calibri" w:hAnsi="Calibri"/>
          <w:sz w:val="14"/>
          <w:szCs w:val="14"/>
          <w:color w:val="auto"/>
        </w:rPr>
      </w:pPr>
    </w:p>
    <w:p>
      <w:pPr>
        <w:ind w:left="300" w:hanging="292"/>
        <w:spacing w:after="0"/>
        <w:tabs>
          <w:tab w:leader="none" w:pos="300" w:val="left"/>
        </w:tabs>
        <w:numPr>
          <w:ilvl w:val="0"/>
          <w:numId w:val="42"/>
        </w:numPr>
        <w:rPr>
          <w:rFonts w:ascii="Calibri" w:cs="Calibri" w:eastAsia="Calibri" w:hAnsi="Calibri"/>
          <w:sz w:val="14"/>
          <w:szCs w:val="14"/>
          <w:color w:val="auto"/>
        </w:rPr>
      </w:pPr>
      <w:r>
        <w:rPr>
          <w:rFonts w:ascii="Arial" w:cs="Arial" w:eastAsia="Arial" w:hAnsi="Arial"/>
          <w:sz w:val="14"/>
          <w:szCs w:val="14"/>
          <w:color w:val="auto"/>
        </w:rPr>
        <w:t>Represents shares of Common Stock that may be issued pursuant to future awards under the 2022 Plan.</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50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NONQUALIFIED DEFERRED COMPENSATION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Company maintains a nonqualified deferred compensation plan, which permits the Board and eligible employees, including the NEOs, to voluntarily elect to defer up to 75% of base salary, and up to 100% of cash bonuses and stock awards until designated future dates, provided that their total deferrals do not reduce their total compensation below the amount necessary to satisfy obligations such as employment taxes and benefit plan payments. Amounts deferred are credited with earnings or losses based on the participant’s investment allocation among investment options, which may include stocks, bonds and mutual fund shares. Withdrawals can be made pursuant to Internal Revenue Service regulations for retirement and distributions. While still employed, distributions are paid in accordance with the participants’ elections with regard to the timing and form of distributions. Upon termination of an executive, a 100% distribution of their account is made after six months has lapsed from their separation from service. The Company may, from time to time, make discretionary contributions to participants’ accounts. No discretionary contributions were made in 2025, 2024, or 2023. The Company offsets its obligations under the nonqualified deferred compensation plan by investing in the actual underlying investments. These investments are classified as trading securities and are carried at fair value. At December 31, 2025, these investments totaled approximately $20.0 million. Gains and losses in these investments are materially offset by corresponding gains and losses in the deferred compensation plan liabilities.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certain information related to the nonqualified deferred compensation plan for the NEOs: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80" w:type="dxa"/>
            <w:vAlign w:val="bottom"/>
            <w:tcBorders>
              <w:top w:val="single" w:sz="8" w:color="005CA9"/>
            </w:tcBorders>
          </w:tcPr>
          <w:p>
            <w:pPr>
              <w:spacing w:after="0"/>
              <w:rPr>
                <w:sz w:val="17"/>
                <w:szCs w:val="17"/>
                <w:color w:val="auto"/>
              </w:rPr>
            </w:pPr>
          </w:p>
        </w:tc>
        <w:tc>
          <w:tcPr>
            <w:tcW w:w="2240" w:type="dxa"/>
            <w:vAlign w:val="bottom"/>
            <w:tcBorders>
              <w:top w:val="single" w:sz="8" w:color="005CA9"/>
            </w:tcBorders>
          </w:tcPr>
          <w:p>
            <w:pPr>
              <w:jc w:val="center"/>
              <w:spacing w:after="0" w:line="206" w:lineRule="exact"/>
              <w:rPr>
                <w:sz w:val="20"/>
                <w:szCs w:val="20"/>
                <w:color w:val="auto"/>
              </w:rPr>
            </w:pPr>
            <w:r>
              <w:rPr>
                <w:rFonts w:ascii="Arial" w:cs="Arial" w:eastAsia="Arial" w:hAnsi="Arial"/>
                <w:sz w:val="20"/>
                <w:szCs w:val="20"/>
                <w:b w:val="1"/>
                <w:bCs w:val="1"/>
                <w:color w:val="auto"/>
                <w:w w:val="98"/>
              </w:rPr>
              <w:t>Executive</w:t>
            </w:r>
          </w:p>
        </w:tc>
        <w:tc>
          <w:tcPr>
            <w:tcW w:w="2320" w:type="dxa"/>
            <w:vAlign w:val="bottom"/>
            <w:tcBorders>
              <w:top w:val="single" w:sz="8" w:color="005CA9"/>
            </w:tcBorders>
          </w:tcPr>
          <w:p>
            <w:pPr>
              <w:jc w:val="center"/>
              <w:ind w:right="125"/>
              <w:spacing w:after="0" w:line="206" w:lineRule="exact"/>
              <w:rPr>
                <w:sz w:val="20"/>
                <w:szCs w:val="20"/>
                <w:color w:val="auto"/>
              </w:rPr>
            </w:pPr>
            <w:r>
              <w:rPr>
                <w:rFonts w:ascii="Arial" w:cs="Arial" w:eastAsia="Arial" w:hAnsi="Arial"/>
                <w:sz w:val="20"/>
                <w:szCs w:val="20"/>
                <w:b w:val="1"/>
                <w:bCs w:val="1"/>
                <w:color w:val="auto"/>
                <w:w w:val="99"/>
              </w:rPr>
              <w:t>Aggregate</w:t>
            </w:r>
          </w:p>
        </w:tc>
        <w:tc>
          <w:tcPr>
            <w:tcW w:w="2040" w:type="dxa"/>
            <w:vAlign w:val="bottom"/>
            <w:tcBorders>
              <w:top w:val="single" w:sz="8" w:color="005CA9"/>
            </w:tcBorders>
          </w:tcPr>
          <w:p>
            <w:pPr>
              <w:jc w:val="center"/>
              <w:ind w:right="121"/>
              <w:spacing w:after="0" w:line="206" w:lineRule="exact"/>
              <w:rPr>
                <w:sz w:val="20"/>
                <w:szCs w:val="20"/>
                <w:color w:val="auto"/>
              </w:rPr>
            </w:pPr>
            <w:r>
              <w:rPr>
                <w:rFonts w:ascii="Arial" w:cs="Arial" w:eastAsia="Arial" w:hAnsi="Arial"/>
                <w:sz w:val="20"/>
                <w:szCs w:val="20"/>
                <w:b w:val="1"/>
                <w:bCs w:val="1"/>
                <w:color w:val="auto"/>
                <w:w w:val="99"/>
              </w:rPr>
              <w:t>Aggregate</w:t>
            </w:r>
          </w:p>
        </w:tc>
        <w:tc>
          <w:tcPr>
            <w:tcW w:w="2060" w:type="dxa"/>
            <w:vAlign w:val="bottom"/>
            <w:tcBorders>
              <w:top w:val="single" w:sz="8" w:color="005CA9"/>
            </w:tcBorders>
          </w:tcPr>
          <w:p>
            <w:pPr>
              <w:jc w:val="center"/>
              <w:spacing w:after="0" w:line="206" w:lineRule="exact"/>
              <w:rPr>
                <w:sz w:val="20"/>
                <w:szCs w:val="20"/>
                <w:color w:val="auto"/>
              </w:rPr>
            </w:pPr>
            <w:r>
              <w:rPr>
                <w:rFonts w:ascii="Arial" w:cs="Arial" w:eastAsia="Arial" w:hAnsi="Arial"/>
                <w:sz w:val="20"/>
                <w:szCs w:val="20"/>
                <w:b w:val="1"/>
                <w:bCs w:val="1"/>
                <w:color w:val="auto"/>
                <w:w w:val="99"/>
              </w:rPr>
              <w:t>Aggregate Balance</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2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Contributions in</w:t>
            </w:r>
          </w:p>
        </w:tc>
        <w:tc>
          <w:tcPr>
            <w:tcW w:w="2320" w:type="dxa"/>
            <w:vAlign w:val="bottom"/>
          </w:tcPr>
          <w:p>
            <w:pPr>
              <w:jc w:val="center"/>
              <w:ind w:right="65"/>
              <w:spacing w:after="0" w:line="216" w:lineRule="exact"/>
              <w:rPr>
                <w:sz w:val="20"/>
                <w:szCs w:val="20"/>
                <w:color w:val="auto"/>
              </w:rPr>
            </w:pPr>
            <w:r>
              <w:rPr>
                <w:rFonts w:ascii="Arial" w:cs="Arial" w:eastAsia="Arial" w:hAnsi="Arial"/>
                <w:sz w:val="20"/>
                <w:szCs w:val="20"/>
                <w:b w:val="1"/>
                <w:bCs w:val="1"/>
                <w:color w:val="auto"/>
                <w:w w:val="98"/>
              </w:rPr>
              <w:t>Earnings</w:t>
            </w:r>
          </w:p>
        </w:tc>
        <w:tc>
          <w:tcPr>
            <w:tcW w:w="2040" w:type="dxa"/>
            <w:vAlign w:val="bottom"/>
          </w:tcPr>
          <w:p>
            <w:pPr>
              <w:jc w:val="center"/>
              <w:ind w:right="121"/>
              <w:spacing w:after="0" w:line="216" w:lineRule="exact"/>
              <w:rPr>
                <w:sz w:val="20"/>
                <w:szCs w:val="20"/>
                <w:color w:val="auto"/>
              </w:rPr>
            </w:pPr>
            <w:r>
              <w:rPr>
                <w:rFonts w:ascii="Arial" w:cs="Arial" w:eastAsia="Arial" w:hAnsi="Arial"/>
                <w:sz w:val="20"/>
                <w:szCs w:val="20"/>
                <w:b w:val="1"/>
                <w:bCs w:val="1"/>
                <w:color w:val="auto"/>
                <w:w w:val="98"/>
              </w:rPr>
              <w:t>Withdrawals/</w:t>
            </w:r>
          </w:p>
        </w:tc>
        <w:tc>
          <w:tcPr>
            <w:tcW w:w="20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at Last Fiscal</w:t>
            </w:r>
          </w:p>
        </w:tc>
        <w:tc>
          <w:tcPr>
            <w:tcW w:w="0" w:type="dxa"/>
            <w:vAlign w:val="bottom"/>
          </w:tcPr>
          <w:p>
            <w:pPr>
              <w:spacing w:after="0"/>
              <w:rPr>
                <w:sz w:val="1"/>
                <w:szCs w:val="1"/>
                <w:color w:val="auto"/>
              </w:rPr>
            </w:pPr>
          </w:p>
        </w:tc>
      </w:tr>
      <w:tr>
        <w:trPr>
          <w:trHeight w:val="199"/>
        </w:trPr>
        <w:tc>
          <w:tcPr>
            <w:tcW w:w="2580" w:type="dxa"/>
            <w:vAlign w:val="bottom"/>
            <w:vMerge w:val="restart"/>
          </w:tcPr>
          <w:p>
            <w:pPr>
              <w:spacing w:after="0"/>
              <w:rPr>
                <w:sz w:val="20"/>
                <w:szCs w:val="20"/>
                <w:color w:val="auto"/>
              </w:rPr>
            </w:pPr>
            <w:r>
              <w:rPr>
                <w:rFonts w:ascii="Arial" w:cs="Arial" w:eastAsia="Arial" w:hAnsi="Arial"/>
                <w:sz w:val="20"/>
                <w:szCs w:val="20"/>
                <w:b w:val="1"/>
                <w:bCs w:val="1"/>
                <w:color w:val="auto"/>
              </w:rPr>
              <w:t>Name</w:t>
            </w:r>
          </w:p>
        </w:tc>
        <w:tc>
          <w:tcPr>
            <w:tcW w:w="2240" w:type="dxa"/>
            <w:vAlign w:val="bottom"/>
          </w:tcPr>
          <w:p>
            <w:pPr>
              <w:jc w:val="center"/>
              <w:spacing w:after="0" w:line="199" w:lineRule="exact"/>
              <w:rPr>
                <w:sz w:val="20"/>
                <w:szCs w:val="20"/>
                <w:color w:val="auto"/>
              </w:rPr>
            </w:pPr>
            <w:r>
              <w:rPr>
                <w:rFonts w:ascii="Arial" w:cs="Arial" w:eastAsia="Arial" w:hAnsi="Arial"/>
                <w:sz w:val="20"/>
                <w:szCs w:val="20"/>
                <w:b w:val="1"/>
                <w:bCs w:val="1"/>
                <w:color w:val="auto"/>
                <w:w w:val="98"/>
              </w:rPr>
              <w:t>Last Fiscal Year</w:t>
            </w:r>
          </w:p>
        </w:tc>
        <w:tc>
          <w:tcPr>
            <w:tcW w:w="2320" w:type="dxa"/>
            <w:vAlign w:val="bottom"/>
          </w:tcPr>
          <w:p>
            <w:pPr>
              <w:jc w:val="center"/>
              <w:ind w:right="125"/>
              <w:spacing w:after="0" w:line="199" w:lineRule="exact"/>
              <w:rPr>
                <w:sz w:val="20"/>
                <w:szCs w:val="20"/>
                <w:color w:val="auto"/>
              </w:rPr>
            </w:pPr>
            <w:r>
              <w:rPr>
                <w:rFonts w:ascii="Arial" w:cs="Arial" w:eastAsia="Arial" w:hAnsi="Arial"/>
                <w:sz w:val="20"/>
                <w:szCs w:val="20"/>
                <w:b w:val="1"/>
                <w:bCs w:val="1"/>
                <w:color w:val="auto"/>
                <w:w w:val="99"/>
              </w:rPr>
              <w:t>in Last Fiscal Year</w:t>
            </w:r>
          </w:p>
        </w:tc>
        <w:tc>
          <w:tcPr>
            <w:tcW w:w="2040" w:type="dxa"/>
            <w:vAlign w:val="bottom"/>
          </w:tcPr>
          <w:p>
            <w:pPr>
              <w:jc w:val="center"/>
              <w:ind w:right="121"/>
              <w:spacing w:after="0" w:line="199" w:lineRule="exact"/>
              <w:rPr>
                <w:sz w:val="20"/>
                <w:szCs w:val="20"/>
                <w:color w:val="auto"/>
              </w:rPr>
            </w:pPr>
            <w:r>
              <w:rPr>
                <w:rFonts w:ascii="Arial" w:cs="Arial" w:eastAsia="Arial" w:hAnsi="Arial"/>
                <w:sz w:val="20"/>
                <w:szCs w:val="20"/>
                <w:b w:val="1"/>
                <w:bCs w:val="1"/>
                <w:color w:val="auto"/>
                <w:w w:val="98"/>
              </w:rPr>
              <w:t>Distributions</w:t>
            </w:r>
          </w:p>
        </w:tc>
        <w:tc>
          <w:tcPr>
            <w:tcW w:w="2060" w:type="dxa"/>
            <w:vAlign w:val="bottom"/>
          </w:tcPr>
          <w:p>
            <w:pPr>
              <w:jc w:val="center"/>
              <w:spacing w:after="0" w:line="199" w:lineRule="exact"/>
              <w:rPr>
                <w:sz w:val="20"/>
                <w:szCs w:val="20"/>
                <w:color w:val="auto"/>
              </w:rPr>
            </w:pPr>
            <w:r>
              <w:rPr>
                <w:rFonts w:ascii="Arial" w:cs="Arial" w:eastAsia="Arial" w:hAnsi="Arial"/>
                <w:sz w:val="20"/>
                <w:szCs w:val="20"/>
                <w:b w:val="1"/>
                <w:bCs w:val="1"/>
                <w:color w:val="auto"/>
                <w:w w:val="99"/>
              </w:rPr>
              <w:t>Year End</w:t>
            </w:r>
          </w:p>
        </w:tc>
        <w:tc>
          <w:tcPr>
            <w:tcW w:w="0" w:type="dxa"/>
            <w:vAlign w:val="bottom"/>
          </w:tcPr>
          <w:p>
            <w:pPr>
              <w:spacing w:after="0"/>
              <w:rPr>
                <w:sz w:val="1"/>
                <w:szCs w:val="1"/>
                <w:color w:val="auto"/>
              </w:rPr>
            </w:pPr>
          </w:p>
        </w:tc>
      </w:tr>
      <w:tr>
        <w:trPr>
          <w:trHeight w:val="233"/>
        </w:trPr>
        <w:tc>
          <w:tcPr>
            <w:tcW w:w="2580" w:type="dxa"/>
            <w:vAlign w:val="bottom"/>
            <w:vMerge w:val="continue"/>
          </w:tcPr>
          <w:p>
            <w:pPr>
              <w:spacing w:after="0"/>
              <w:rPr>
                <w:sz w:val="20"/>
                <w:szCs w:val="20"/>
                <w:color w:val="auto"/>
              </w:rPr>
            </w:pPr>
          </w:p>
        </w:tc>
        <w:tc>
          <w:tcPr>
            <w:tcW w:w="2240" w:type="dxa"/>
            <w:vAlign w:val="bottom"/>
          </w:tcPr>
          <w:p>
            <w:pPr>
              <w:jc w:val="center"/>
              <w:spacing w:after="0" w:line="233"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p>
        </w:tc>
        <w:tc>
          <w:tcPr>
            <w:tcW w:w="2320" w:type="dxa"/>
            <w:vAlign w:val="bottom"/>
          </w:tcPr>
          <w:p>
            <w:pPr>
              <w:jc w:val="center"/>
              <w:ind w:right="65"/>
              <w:spacing w:after="0" w:line="233"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2040" w:type="dxa"/>
            <w:vAlign w:val="bottom"/>
          </w:tcPr>
          <w:p>
            <w:pPr>
              <w:jc w:val="center"/>
              <w:ind w:right="141"/>
              <w:spacing w:after="0"/>
              <w:rPr>
                <w:sz w:val="20"/>
                <w:szCs w:val="20"/>
                <w:color w:val="auto"/>
              </w:rPr>
            </w:pPr>
            <w:r>
              <w:rPr>
                <w:rFonts w:ascii="Arial" w:cs="Arial" w:eastAsia="Arial" w:hAnsi="Arial"/>
                <w:sz w:val="20"/>
                <w:szCs w:val="20"/>
                <w:b w:val="1"/>
                <w:bCs w:val="1"/>
                <w:color w:val="auto"/>
                <w:w w:val="97"/>
              </w:rPr>
              <w:t>($)</w:t>
            </w:r>
          </w:p>
        </w:tc>
        <w:tc>
          <w:tcPr>
            <w:tcW w:w="20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0" w:type="dxa"/>
            <w:vAlign w:val="bottom"/>
          </w:tcPr>
          <w:p>
            <w:pPr>
              <w:spacing w:after="0"/>
              <w:rPr>
                <w:sz w:val="1"/>
                <w:szCs w:val="1"/>
                <w:color w:val="auto"/>
              </w:rPr>
            </w:pPr>
          </w:p>
        </w:tc>
      </w:tr>
      <w:tr>
        <w:trPr>
          <w:trHeight w:val="260"/>
        </w:trPr>
        <w:tc>
          <w:tcPr>
            <w:tcW w:w="2580" w:type="dxa"/>
            <w:vAlign w:val="bottom"/>
            <w:tcBorders>
              <w:bottom w:val="single" w:sz="8" w:color="005CA9"/>
            </w:tcBorders>
          </w:tcPr>
          <w:p>
            <w:pPr>
              <w:spacing w:after="0"/>
              <w:rPr>
                <w:sz w:val="20"/>
                <w:szCs w:val="20"/>
                <w:color w:val="auto"/>
              </w:rPr>
            </w:pPr>
            <w:r>
              <w:rPr>
                <w:rFonts w:ascii="Arial" w:cs="Arial" w:eastAsia="Arial" w:hAnsi="Arial"/>
                <w:sz w:val="20"/>
                <w:szCs w:val="20"/>
                <w:b w:val="1"/>
                <w:bCs w:val="1"/>
                <w:color w:val="auto"/>
              </w:rPr>
              <w:t>(a)</w:t>
            </w:r>
          </w:p>
        </w:tc>
        <w:tc>
          <w:tcPr>
            <w:tcW w:w="2240" w:type="dxa"/>
            <w:vAlign w:val="bottom"/>
            <w:tcBorders>
              <w:bottom w:val="single" w:sz="8" w:color="005CA9"/>
            </w:tcBorders>
          </w:tcPr>
          <w:p>
            <w:pPr>
              <w:jc w:val="center"/>
              <w:spacing w:after="0"/>
              <w:rPr>
                <w:sz w:val="20"/>
                <w:szCs w:val="20"/>
                <w:color w:val="auto"/>
              </w:rPr>
            </w:pPr>
            <w:r>
              <w:rPr>
                <w:rFonts w:ascii="Arial" w:cs="Arial" w:eastAsia="Arial" w:hAnsi="Arial"/>
                <w:sz w:val="20"/>
                <w:szCs w:val="20"/>
                <w:b w:val="1"/>
                <w:bCs w:val="1"/>
                <w:color w:val="auto"/>
              </w:rPr>
              <w:t>(b)</w:t>
            </w:r>
          </w:p>
        </w:tc>
        <w:tc>
          <w:tcPr>
            <w:tcW w:w="2320" w:type="dxa"/>
            <w:vAlign w:val="bottom"/>
            <w:tcBorders>
              <w:bottom w:val="single" w:sz="8" w:color="005CA9"/>
            </w:tcBorders>
          </w:tcPr>
          <w:p>
            <w:pPr>
              <w:jc w:val="center"/>
              <w:ind w:right="65"/>
              <w:spacing w:after="0"/>
              <w:rPr>
                <w:sz w:val="20"/>
                <w:szCs w:val="20"/>
                <w:color w:val="auto"/>
              </w:rPr>
            </w:pPr>
            <w:r>
              <w:rPr>
                <w:rFonts w:ascii="Arial" w:cs="Arial" w:eastAsia="Arial" w:hAnsi="Arial"/>
                <w:sz w:val="20"/>
                <w:szCs w:val="20"/>
                <w:b w:val="1"/>
                <w:bCs w:val="1"/>
                <w:color w:val="auto"/>
                <w:w w:val="93"/>
              </w:rPr>
              <w:t>(d)</w:t>
            </w:r>
          </w:p>
        </w:tc>
        <w:tc>
          <w:tcPr>
            <w:tcW w:w="2040" w:type="dxa"/>
            <w:vAlign w:val="bottom"/>
            <w:tcBorders>
              <w:bottom w:val="single" w:sz="8" w:color="005CA9"/>
            </w:tcBorders>
          </w:tcPr>
          <w:p>
            <w:pPr>
              <w:jc w:val="center"/>
              <w:ind w:right="141"/>
              <w:spacing w:after="0"/>
              <w:rPr>
                <w:sz w:val="20"/>
                <w:szCs w:val="20"/>
                <w:color w:val="auto"/>
              </w:rPr>
            </w:pPr>
            <w:r>
              <w:rPr>
                <w:rFonts w:ascii="Arial" w:cs="Arial" w:eastAsia="Arial" w:hAnsi="Arial"/>
                <w:sz w:val="20"/>
                <w:szCs w:val="20"/>
                <w:b w:val="1"/>
                <w:bCs w:val="1"/>
                <w:color w:val="auto"/>
                <w:w w:val="97"/>
              </w:rPr>
              <w:t>(e)</w:t>
            </w:r>
          </w:p>
        </w:tc>
        <w:tc>
          <w:tcPr>
            <w:tcW w:w="2060" w:type="dxa"/>
            <w:vAlign w:val="bottom"/>
            <w:tcBorders>
              <w:bottom w:val="single" w:sz="8" w:color="005CA9"/>
            </w:tcBorders>
          </w:tcPr>
          <w:p>
            <w:pPr>
              <w:jc w:val="center"/>
              <w:spacing w:after="0"/>
              <w:rPr>
                <w:sz w:val="20"/>
                <w:szCs w:val="20"/>
                <w:color w:val="auto"/>
              </w:rPr>
            </w:pPr>
            <w:r>
              <w:rPr>
                <w:rFonts w:ascii="Arial" w:cs="Arial" w:eastAsia="Arial" w:hAnsi="Arial"/>
                <w:sz w:val="20"/>
                <w:szCs w:val="20"/>
                <w:b w:val="1"/>
                <w:bCs w:val="1"/>
                <w:color w:val="auto"/>
                <w:w w:val="99"/>
              </w:rPr>
              <w:t>(f)</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Dr. Keh-Shew Lu</w:t>
            </w:r>
          </w:p>
        </w:tc>
        <w:tc>
          <w:tcPr>
            <w:tcW w:w="2240" w:type="dxa"/>
            <w:vAlign w:val="bottom"/>
            <w:shd w:val="clear" w:color="auto" w:fill="CFF0FC"/>
          </w:tcPr>
          <w:p>
            <w:pPr>
              <w:jc w:val="right"/>
              <w:ind w:right="65"/>
              <w:spacing w:after="0" w:line="216" w:lineRule="exact"/>
              <w:rPr>
                <w:sz w:val="20"/>
                <w:szCs w:val="20"/>
                <w:color w:val="auto"/>
              </w:rPr>
            </w:pPr>
            <w:r>
              <w:rPr>
                <w:rFonts w:ascii="Arial" w:cs="Arial" w:eastAsia="Arial" w:hAnsi="Arial"/>
                <w:sz w:val="20"/>
                <w:szCs w:val="20"/>
                <w:color w:val="auto"/>
              </w:rPr>
              <w:t>—</w:t>
            </w:r>
          </w:p>
        </w:tc>
        <w:tc>
          <w:tcPr>
            <w:tcW w:w="2320" w:type="dxa"/>
            <w:vAlign w:val="bottom"/>
            <w:shd w:val="clear" w:color="auto" w:fill="CFF0FC"/>
          </w:tcPr>
          <w:p>
            <w:pPr>
              <w:jc w:val="right"/>
              <w:ind w:right="225"/>
              <w:spacing w:after="0" w:line="216" w:lineRule="exact"/>
              <w:rPr>
                <w:sz w:val="20"/>
                <w:szCs w:val="20"/>
                <w:color w:val="auto"/>
              </w:rPr>
            </w:pPr>
            <w:r>
              <w:rPr>
                <w:rFonts w:ascii="Arial" w:cs="Arial" w:eastAsia="Arial" w:hAnsi="Arial"/>
                <w:sz w:val="20"/>
                <w:szCs w:val="20"/>
                <w:color w:val="auto"/>
              </w:rPr>
              <w:t>316</w:t>
            </w:r>
          </w:p>
        </w:tc>
        <w:tc>
          <w:tcPr>
            <w:tcW w:w="204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2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7,964</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Arial" w:cs="Arial" w:eastAsia="Arial" w:hAnsi="Arial"/>
                <w:sz w:val="20"/>
                <w:szCs w:val="20"/>
                <w:b w:val="1"/>
                <w:bCs w:val="1"/>
                <w:color w:val="auto"/>
              </w:rPr>
              <w:t>Gary Yu</w:t>
            </w:r>
          </w:p>
        </w:tc>
        <w:tc>
          <w:tcPr>
            <w:tcW w:w="2240" w:type="dxa"/>
            <w:vAlign w:val="bottom"/>
          </w:tcPr>
          <w:p>
            <w:pPr>
              <w:jc w:val="right"/>
              <w:ind w:right="65"/>
              <w:spacing w:after="0" w:line="216" w:lineRule="exact"/>
              <w:rPr>
                <w:sz w:val="20"/>
                <w:szCs w:val="20"/>
                <w:color w:val="auto"/>
              </w:rPr>
            </w:pPr>
            <w:r>
              <w:rPr>
                <w:rFonts w:ascii="Arial" w:cs="Arial" w:eastAsia="Arial" w:hAnsi="Arial"/>
                <w:sz w:val="20"/>
                <w:szCs w:val="20"/>
                <w:color w:val="auto"/>
              </w:rPr>
              <w:t>155,880</w:t>
            </w:r>
          </w:p>
        </w:tc>
        <w:tc>
          <w:tcPr>
            <w:tcW w:w="2320" w:type="dxa"/>
            <w:vAlign w:val="bottom"/>
          </w:tcPr>
          <w:p>
            <w:pPr>
              <w:jc w:val="right"/>
              <w:ind w:right="225"/>
              <w:spacing w:after="0" w:line="216" w:lineRule="exact"/>
              <w:rPr>
                <w:sz w:val="20"/>
                <w:szCs w:val="20"/>
                <w:color w:val="auto"/>
              </w:rPr>
            </w:pPr>
            <w:r>
              <w:rPr>
                <w:rFonts w:ascii="Arial" w:cs="Arial" w:eastAsia="Arial" w:hAnsi="Arial"/>
                <w:sz w:val="20"/>
                <w:szCs w:val="20"/>
                <w:color w:val="auto"/>
              </w:rPr>
              <w:t>184,126</w:t>
            </w:r>
          </w:p>
        </w:tc>
        <w:tc>
          <w:tcPr>
            <w:tcW w:w="204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1,766,475</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Brett R. Whitmire</w:t>
            </w:r>
          </w:p>
        </w:tc>
        <w:tc>
          <w:tcPr>
            <w:tcW w:w="2240" w:type="dxa"/>
            <w:vAlign w:val="bottom"/>
            <w:shd w:val="clear" w:color="auto" w:fill="CFF0FC"/>
          </w:tcPr>
          <w:p>
            <w:pPr>
              <w:jc w:val="right"/>
              <w:ind w:right="65"/>
              <w:spacing w:after="0" w:line="216" w:lineRule="exact"/>
              <w:rPr>
                <w:sz w:val="20"/>
                <w:szCs w:val="20"/>
                <w:color w:val="auto"/>
              </w:rPr>
            </w:pPr>
            <w:r>
              <w:rPr>
                <w:rFonts w:ascii="Arial" w:cs="Arial" w:eastAsia="Arial" w:hAnsi="Arial"/>
                <w:sz w:val="20"/>
                <w:szCs w:val="20"/>
                <w:color w:val="auto"/>
              </w:rPr>
              <w:t>44,237</w:t>
            </w:r>
          </w:p>
        </w:tc>
        <w:tc>
          <w:tcPr>
            <w:tcW w:w="2320" w:type="dxa"/>
            <w:vAlign w:val="bottom"/>
            <w:shd w:val="clear" w:color="auto" w:fill="CFF0FC"/>
          </w:tcPr>
          <w:p>
            <w:pPr>
              <w:jc w:val="right"/>
              <w:ind w:right="225"/>
              <w:spacing w:after="0" w:line="216" w:lineRule="exact"/>
              <w:rPr>
                <w:sz w:val="20"/>
                <w:szCs w:val="20"/>
                <w:color w:val="auto"/>
              </w:rPr>
            </w:pPr>
            <w:r>
              <w:rPr>
                <w:rFonts w:ascii="Arial" w:cs="Arial" w:eastAsia="Arial" w:hAnsi="Arial"/>
                <w:sz w:val="20"/>
                <w:szCs w:val="20"/>
                <w:color w:val="auto"/>
              </w:rPr>
              <w:t>36,333</w:t>
            </w:r>
          </w:p>
        </w:tc>
        <w:tc>
          <w:tcPr>
            <w:tcW w:w="204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2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265,927</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Arial" w:cs="Arial" w:eastAsia="Arial" w:hAnsi="Arial"/>
                <w:sz w:val="20"/>
                <w:szCs w:val="20"/>
                <w:b w:val="1"/>
                <w:bCs w:val="1"/>
                <w:color w:val="auto"/>
              </w:rPr>
              <w:t>Francis Tang</w:t>
            </w:r>
          </w:p>
        </w:tc>
        <w:tc>
          <w:tcPr>
            <w:tcW w:w="2240" w:type="dxa"/>
            <w:vAlign w:val="bottom"/>
          </w:tcPr>
          <w:p>
            <w:pPr>
              <w:jc w:val="right"/>
              <w:ind w:right="65"/>
              <w:spacing w:after="0" w:line="216" w:lineRule="exact"/>
              <w:rPr>
                <w:sz w:val="20"/>
                <w:szCs w:val="20"/>
                <w:color w:val="auto"/>
              </w:rPr>
            </w:pPr>
            <w:r>
              <w:rPr>
                <w:rFonts w:ascii="Arial" w:cs="Arial" w:eastAsia="Arial" w:hAnsi="Arial"/>
                <w:sz w:val="20"/>
                <w:szCs w:val="20"/>
                <w:color w:val="auto"/>
              </w:rPr>
              <w:t>—</w:t>
            </w:r>
          </w:p>
        </w:tc>
        <w:tc>
          <w:tcPr>
            <w:tcW w:w="2320" w:type="dxa"/>
            <w:vAlign w:val="bottom"/>
          </w:tcPr>
          <w:p>
            <w:pPr>
              <w:jc w:val="right"/>
              <w:ind w:right="225"/>
              <w:spacing w:after="0" w:line="216" w:lineRule="exact"/>
              <w:rPr>
                <w:sz w:val="20"/>
                <w:szCs w:val="20"/>
                <w:color w:val="auto"/>
              </w:rPr>
            </w:pPr>
            <w:r>
              <w:rPr>
                <w:rFonts w:ascii="Arial" w:cs="Arial" w:eastAsia="Arial" w:hAnsi="Arial"/>
                <w:sz w:val="20"/>
                <w:szCs w:val="20"/>
                <w:color w:val="auto"/>
              </w:rPr>
              <w:t>96,782</w:t>
            </w:r>
          </w:p>
        </w:tc>
        <w:tc>
          <w:tcPr>
            <w:tcW w:w="204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1,022,672</w:t>
            </w: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Andy (Kuo-Ting) Tsong</w:t>
            </w:r>
          </w:p>
        </w:tc>
        <w:tc>
          <w:tcPr>
            <w:tcW w:w="2240" w:type="dxa"/>
            <w:vAlign w:val="bottom"/>
            <w:shd w:val="clear" w:color="auto" w:fill="CFF0FC"/>
          </w:tcPr>
          <w:p>
            <w:pPr>
              <w:jc w:val="right"/>
              <w:ind w:right="65"/>
              <w:spacing w:after="0" w:line="216" w:lineRule="exact"/>
              <w:rPr>
                <w:sz w:val="20"/>
                <w:szCs w:val="20"/>
                <w:color w:val="auto"/>
              </w:rPr>
            </w:pPr>
            <w:r>
              <w:rPr>
                <w:rFonts w:ascii="Arial" w:cs="Arial" w:eastAsia="Arial" w:hAnsi="Arial"/>
                <w:sz w:val="20"/>
                <w:szCs w:val="20"/>
                <w:color w:val="auto"/>
              </w:rPr>
              <w:t>―</w:t>
            </w:r>
          </w:p>
        </w:tc>
        <w:tc>
          <w:tcPr>
            <w:tcW w:w="2320" w:type="dxa"/>
            <w:vAlign w:val="bottom"/>
            <w:shd w:val="clear" w:color="auto" w:fill="CFF0FC"/>
          </w:tcPr>
          <w:p>
            <w:pPr>
              <w:jc w:val="right"/>
              <w:ind w:right="225"/>
              <w:spacing w:after="0" w:line="216" w:lineRule="exact"/>
              <w:rPr>
                <w:sz w:val="20"/>
                <w:szCs w:val="20"/>
                <w:color w:val="auto"/>
              </w:rPr>
            </w:pPr>
            <w:r>
              <w:rPr>
                <w:rFonts w:ascii="Arial" w:cs="Arial" w:eastAsia="Arial" w:hAnsi="Arial"/>
                <w:sz w:val="20"/>
                <w:szCs w:val="20"/>
                <w:color w:val="auto"/>
              </w:rPr>
              <w:t>—</w:t>
            </w:r>
          </w:p>
        </w:tc>
        <w:tc>
          <w:tcPr>
            <w:tcW w:w="204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2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Arial" w:cs="Arial" w:eastAsia="Arial" w:hAnsi="Arial"/>
                <w:sz w:val="20"/>
                <w:szCs w:val="20"/>
                <w:b w:val="1"/>
                <w:bCs w:val="1"/>
                <w:color w:val="auto"/>
              </w:rPr>
              <w:t>Emily Yang</w:t>
            </w:r>
          </w:p>
        </w:tc>
        <w:tc>
          <w:tcPr>
            <w:tcW w:w="2240" w:type="dxa"/>
            <w:vAlign w:val="bottom"/>
          </w:tcPr>
          <w:p>
            <w:pPr>
              <w:jc w:val="right"/>
              <w:ind w:right="65"/>
              <w:spacing w:after="0" w:line="216" w:lineRule="exact"/>
              <w:rPr>
                <w:sz w:val="20"/>
                <w:szCs w:val="20"/>
                <w:color w:val="auto"/>
              </w:rPr>
            </w:pPr>
            <w:r>
              <w:rPr>
                <w:rFonts w:ascii="Arial" w:cs="Arial" w:eastAsia="Arial" w:hAnsi="Arial"/>
                <w:sz w:val="20"/>
                <w:szCs w:val="20"/>
                <w:color w:val="auto"/>
              </w:rPr>
              <w:t>48,505</w:t>
            </w:r>
          </w:p>
        </w:tc>
        <w:tc>
          <w:tcPr>
            <w:tcW w:w="2320" w:type="dxa"/>
            <w:vAlign w:val="bottom"/>
          </w:tcPr>
          <w:p>
            <w:pPr>
              <w:jc w:val="right"/>
              <w:ind w:right="225"/>
              <w:spacing w:after="0" w:line="216" w:lineRule="exact"/>
              <w:rPr>
                <w:sz w:val="20"/>
                <w:szCs w:val="20"/>
                <w:color w:val="auto"/>
              </w:rPr>
            </w:pPr>
            <w:r>
              <w:rPr>
                <w:rFonts w:ascii="Arial" w:cs="Arial" w:eastAsia="Arial" w:hAnsi="Arial"/>
                <w:sz w:val="20"/>
                <w:szCs w:val="20"/>
                <w:color w:val="auto"/>
              </w:rPr>
              <w:t>118,511</w:t>
            </w:r>
          </w:p>
        </w:tc>
        <w:tc>
          <w:tcPr>
            <w:tcW w:w="204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2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1,119,090</w:t>
            </w:r>
          </w:p>
        </w:tc>
        <w:tc>
          <w:tcPr>
            <w:tcW w:w="0" w:type="dxa"/>
            <w:vAlign w:val="bottom"/>
          </w:tcPr>
          <w:p>
            <w:pPr>
              <w:spacing w:after="0"/>
              <w:rPr>
                <w:sz w:val="1"/>
                <w:szCs w:val="1"/>
                <w:color w:val="auto"/>
              </w:rPr>
            </w:pPr>
          </w:p>
        </w:tc>
      </w:tr>
      <w:tr>
        <w:trPr>
          <w:trHeight w:val="216"/>
        </w:trPr>
        <w:tc>
          <w:tcPr>
            <w:tcW w:w="2580" w:type="dxa"/>
            <w:vAlign w:val="bottom"/>
            <w:tcBorders>
              <w:bottom w:val="single" w:sz="8" w:color="005CA9"/>
            </w:tcBorders>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Jin Zhao</w:t>
            </w:r>
          </w:p>
        </w:tc>
        <w:tc>
          <w:tcPr>
            <w:tcW w:w="2240" w:type="dxa"/>
            <w:vAlign w:val="bottom"/>
            <w:tcBorders>
              <w:bottom w:val="single" w:sz="8" w:color="005CA9"/>
            </w:tcBorders>
            <w:shd w:val="clear" w:color="auto" w:fill="CFF0FC"/>
          </w:tcPr>
          <w:p>
            <w:pPr>
              <w:jc w:val="right"/>
              <w:ind w:right="65"/>
              <w:spacing w:after="0" w:line="216" w:lineRule="exact"/>
              <w:rPr>
                <w:sz w:val="20"/>
                <w:szCs w:val="20"/>
                <w:color w:val="auto"/>
              </w:rPr>
            </w:pPr>
            <w:r>
              <w:rPr>
                <w:rFonts w:ascii="Arial" w:cs="Arial" w:eastAsia="Arial" w:hAnsi="Arial"/>
                <w:sz w:val="20"/>
                <w:szCs w:val="20"/>
                <w:color w:val="auto"/>
              </w:rPr>
              <w:t>―</w:t>
            </w:r>
          </w:p>
        </w:tc>
        <w:tc>
          <w:tcPr>
            <w:tcW w:w="2320" w:type="dxa"/>
            <w:vAlign w:val="bottom"/>
            <w:tcBorders>
              <w:bottom w:val="single" w:sz="8" w:color="005CA9"/>
            </w:tcBorders>
            <w:shd w:val="clear" w:color="auto" w:fill="CFF0FC"/>
          </w:tcPr>
          <w:p>
            <w:pPr>
              <w:jc w:val="right"/>
              <w:ind w:right="225"/>
              <w:spacing w:after="0" w:line="216" w:lineRule="exact"/>
              <w:rPr>
                <w:sz w:val="20"/>
                <w:szCs w:val="20"/>
                <w:color w:val="auto"/>
              </w:rPr>
            </w:pPr>
            <w:r>
              <w:rPr>
                <w:rFonts w:ascii="Arial" w:cs="Arial" w:eastAsia="Arial" w:hAnsi="Arial"/>
                <w:sz w:val="20"/>
                <w:szCs w:val="20"/>
                <w:color w:val="auto"/>
              </w:rPr>
              <w:t>67,773</w:t>
            </w:r>
          </w:p>
        </w:tc>
        <w:tc>
          <w:tcPr>
            <w:tcW w:w="2040" w:type="dxa"/>
            <w:vAlign w:val="bottom"/>
            <w:tcBorders>
              <w:bottom w:val="single" w:sz="8" w:color="005CA9"/>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(30,965)</w:t>
            </w:r>
          </w:p>
        </w:tc>
        <w:tc>
          <w:tcPr>
            <w:tcW w:w="2060" w:type="dxa"/>
            <w:vAlign w:val="bottom"/>
            <w:tcBorders>
              <w:bottom w:val="single" w:sz="8" w:color="005CA9"/>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740,714</w:t>
            </w:r>
          </w:p>
        </w:tc>
        <w:tc>
          <w:tcPr>
            <w:tcW w:w="0" w:type="dxa"/>
            <w:vAlign w:val="bottom"/>
          </w:tcPr>
          <w:p>
            <w:pPr>
              <w:spacing w:after="0"/>
              <w:rPr>
                <w:sz w:val="1"/>
                <w:szCs w:val="1"/>
                <w:color w:val="auto"/>
              </w:rPr>
            </w:pPr>
          </w:p>
        </w:tc>
      </w:tr>
    </w:tbl>
    <w:p>
      <w:pPr>
        <w:jc w:val="both"/>
        <w:ind w:left="300" w:hanging="299"/>
        <w:spacing w:after="0" w:line="237" w:lineRule="auto"/>
        <w:tabs>
          <w:tab w:leader="none" w:pos="280" w:val="left"/>
        </w:tabs>
        <w:rPr>
          <w:sz w:val="20"/>
          <w:szCs w:val="20"/>
          <w:color w:val="auto"/>
        </w:rPr>
      </w:pPr>
      <w:r>
        <w:rPr>
          <w:rFonts w:ascii="Calibri" w:cs="Calibri" w:eastAsia="Calibri" w:hAnsi="Calibri"/>
          <w:sz w:val="14"/>
          <w:szCs w:val="14"/>
          <w:color w:val="auto"/>
        </w:rPr>
        <w:t>(1)</w:t>
      </w:r>
      <w:r>
        <w:rPr>
          <w:sz w:val="20"/>
          <w:szCs w:val="20"/>
          <w:color w:val="auto"/>
        </w:rPr>
        <w:tab/>
      </w:r>
      <w:r>
        <w:rPr>
          <w:rFonts w:ascii="Arial" w:cs="Arial" w:eastAsia="Arial" w:hAnsi="Arial"/>
          <w:sz w:val="14"/>
          <w:szCs w:val="14"/>
          <w:color w:val="auto"/>
        </w:rPr>
        <w:t>Contributions are reported as compensation in the last completed fiscal year in either the “Salary” or the “Bonus” column in the Summary Compensation Table depending on the source of the deferral.</w:t>
      </w:r>
    </w:p>
    <w:p>
      <w:pPr>
        <w:spacing w:after="0" w:line="1" w:lineRule="exact"/>
        <w:rPr>
          <w:sz w:val="20"/>
          <w:szCs w:val="20"/>
          <w:color w:val="auto"/>
        </w:rPr>
      </w:pPr>
    </w:p>
    <w:p>
      <w:pPr>
        <w:ind w:left="300" w:hanging="292"/>
        <w:spacing w:after="0"/>
        <w:tabs>
          <w:tab w:leader="none" w:pos="300" w:val="left"/>
        </w:tabs>
        <w:numPr>
          <w:ilvl w:val="0"/>
          <w:numId w:val="43"/>
        </w:numPr>
        <w:rPr>
          <w:rFonts w:ascii="Calibri" w:cs="Calibri" w:eastAsia="Calibri" w:hAnsi="Calibri"/>
          <w:sz w:val="14"/>
          <w:szCs w:val="14"/>
          <w:color w:val="auto"/>
        </w:rPr>
      </w:pPr>
      <w:r>
        <w:rPr>
          <w:rFonts w:ascii="Arial" w:cs="Arial" w:eastAsia="Arial" w:hAnsi="Arial"/>
          <w:sz w:val="14"/>
          <w:szCs w:val="14"/>
          <w:color w:val="auto"/>
        </w:rPr>
        <w:t>The amounts reported in this column are reported as compensation for 2025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005CA9"/>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following discussion sets forth potential payments payable to the NEOs upon termination of their employment or a change in control of the Company. For purposes of this section, certain relevant provisions and terms that are generally applicable and which therefore cover the NEOs are described below:</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Mr. Gary Yu and Dr. Keh-Shew Lu - Employment Agreements and Equity Award Agreements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005CA9"/>
        </w:rPr>
        <w:t>Payments Upon Termination by the Company Other Than for “Cause” or by Employee for “Good Reason”</w:t>
      </w:r>
    </w:p>
    <w:p>
      <w:pPr>
        <w:spacing w:after="0" w:line="8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Each of Mr. Gary Yu and Dr. Keh-Shew Lu have employment agreements that entitle them to payments upon termination by the Company other than for “cause” (as defined in the executive’s employment agreement), which includes termination due to Disability (as defined in the executive’s employment agreement), or by the executive for “good reason” (as defined in the executive’s employment agreement). Mr. Yu’s and Dr. Lu’s relationship with the Company is “at will” and may be terminated at the option of either the executive or the Company, for any or no reason whatsoever, with or without cause.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"Cause" means:</w:t>
      </w:r>
    </w:p>
    <w:p>
      <w:pPr>
        <w:spacing w:after="0" w:line="94" w:lineRule="exact"/>
        <w:rPr>
          <w:sz w:val="20"/>
          <w:szCs w:val="20"/>
          <w:color w:val="auto"/>
        </w:rPr>
      </w:pPr>
    </w:p>
    <w:p>
      <w:pPr>
        <w:ind w:left="1020" w:hanging="503"/>
        <w:spacing w:after="0" w:line="256" w:lineRule="auto"/>
        <w:tabs>
          <w:tab w:leader="none" w:pos="1020" w:val="left"/>
        </w:tabs>
        <w:numPr>
          <w:ilvl w:val="0"/>
          <w:numId w:val="44"/>
        </w:numPr>
        <w:rPr>
          <w:rFonts w:ascii="Times New Roman" w:cs="Times New Roman" w:eastAsia="Times New Roman" w:hAnsi="Times New Roman"/>
          <w:sz w:val="20"/>
          <w:szCs w:val="20"/>
          <w:color w:val="auto"/>
        </w:rPr>
      </w:pPr>
      <w:r>
        <w:rPr>
          <w:rFonts w:ascii="Arial" w:cs="Arial" w:eastAsia="Arial" w:hAnsi="Arial"/>
          <w:sz w:val="20"/>
          <w:szCs w:val="20"/>
          <w:color w:val="auto"/>
        </w:rPr>
        <w:t>the willful and continued refusal of employee to substantially perform his duties in accordance with his employment agreement (other than any such failure resulting from incapacity due to physical or mental illness),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4" w:name="page55"/>
    <w:bookmarkEnd w:id="54"/>
    <w:p>
      <w:pPr>
        <w:jc w:val="both"/>
        <w:ind w:left="1020"/>
        <w:spacing w:after="0" w:line="234" w:lineRule="auto"/>
        <w:rPr>
          <w:sz w:val="20"/>
          <w:szCs w:val="20"/>
          <w:color w:val="auto"/>
        </w:rPr>
      </w:pPr>
      <w:r>
        <w:rPr>
          <w:rFonts w:ascii="Arial" w:cs="Arial" w:eastAsia="Arial" w:hAnsi="Arial"/>
          <w:sz w:val="20"/>
          <w:szCs w:val="20"/>
          <w:color w:val="auto"/>
        </w:rPr>
        <w:t>insubordination, or material violation of the Company’s policies, in each case after a written demand for substantial performance is delivered to employee by the Board which specifically identifies the manner in which the Board believes that employee has not substantially performed such duties, the acts constituting such insubordination, or such violations of the Company’s policies, as the case may be, and employee shall have had a reasonable opportunity to remedy the same; or</w:t>
      </w:r>
    </w:p>
    <w:p>
      <w:pPr>
        <w:spacing w:after="0" w:line="6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20"/>
          <w:szCs w:val="20"/>
          <w:color w:val="auto"/>
        </w:rPr>
      </w:pPr>
      <w:r>
        <w:rPr>
          <w:rFonts w:ascii="Arial" w:cs="Arial" w:eastAsia="Arial" w:hAnsi="Arial"/>
          <w:sz w:val="20"/>
          <w:szCs w:val="20"/>
          <w:color w:val="auto"/>
        </w:rPr>
        <w:t>the conviction of, or a plea of nolo contendere by, employee to a felony; or</w:t>
      </w:r>
    </w:p>
    <w:p>
      <w:pPr>
        <w:spacing w:after="0" w:line="106"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45"/>
        </w:numPr>
        <w:rPr>
          <w:rFonts w:ascii="Times New Roman" w:cs="Times New Roman" w:eastAsia="Times New Roman" w:hAnsi="Times New Roman"/>
          <w:sz w:val="20"/>
          <w:szCs w:val="20"/>
          <w:color w:val="auto"/>
        </w:rPr>
      </w:pPr>
      <w:r>
        <w:rPr>
          <w:rFonts w:ascii="Arial" w:cs="Arial" w:eastAsia="Arial" w:hAnsi="Arial"/>
          <w:sz w:val="20"/>
          <w:szCs w:val="20"/>
          <w:color w:val="auto"/>
        </w:rPr>
        <w:t>a charge or indictment of a felony, the defense of which renders employee substantially unable to perform his duties under his employment agreement.</w:t>
      </w:r>
    </w:p>
    <w:p>
      <w:pPr>
        <w:spacing w:after="0" w:line="4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order to terminate employee’s employment for Cause, the Company must provide employee with a copy of a resolution adopted by the affirmative vote of not less than a majority of all members of the Board at a meeting of the Board (after reasonable notice is provided to employee and employee is given an opportunity, together with counsel, to be heard before the Board), finding that employee is guilty of a Cause act.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“Good Reason” means:</w:t>
      </w:r>
    </w:p>
    <w:p>
      <w:pPr>
        <w:spacing w:after="0" w:line="9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a material diminution in employee’s base salary;</w:t>
      </w:r>
    </w:p>
    <w:p>
      <w:pPr>
        <w:spacing w:after="0" w:line="106" w:lineRule="exact"/>
        <w:rPr>
          <w:rFonts w:ascii="Times New Roman" w:cs="Times New Roman" w:eastAsia="Times New Roman" w:hAnsi="Times New Roman"/>
          <w:sz w:val="20"/>
          <w:szCs w:val="20"/>
          <w:color w:val="auto"/>
        </w:rPr>
      </w:pPr>
    </w:p>
    <w:p>
      <w:pPr>
        <w:ind w:left="1020" w:right="20" w:hanging="503"/>
        <w:spacing w:after="0" w:line="256" w:lineRule="auto"/>
        <w:tabs>
          <w:tab w:leader="none" w:pos="1020"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a material diminution in employee’s authority, duties, or responsibilities as contemplated in his employment agreement;</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a material change in the geographic location at which employee must perform services; or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20"/>
          <w:szCs w:val="20"/>
          <w:color w:val="auto"/>
        </w:rPr>
      </w:pPr>
      <w:r>
        <w:rPr>
          <w:rFonts w:ascii="Arial" w:cs="Arial" w:eastAsia="Arial" w:hAnsi="Arial"/>
          <w:sz w:val="20"/>
          <w:szCs w:val="20"/>
          <w:color w:val="auto"/>
        </w:rPr>
        <w:t>any other action or inaction that constitutes a material breach by the Company of the employment agreement.</w:t>
      </w:r>
    </w:p>
    <w:p>
      <w:pPr>
        <w:spacing w:after="0" w:line="1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Good Reason shall not exist unless employee has notified the Company within thirty (30) days of the initial existence of the actions or failures to act giving rise to Good Reason, and such actions or failures have not been cured or remedied by the Company within thirty (30) days of the receipt of such notice. Thereafter, employee must then timely consummate his resignation for Good Reason.</w:t>
      </w:r>
    </w:p>
    <w:p>
      <w:pPr>
        <w:spacing w:after="0" w:line="6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“Disability” generally means: (other than for equity awards which consist of tax code section 422 incentive stock options or tax code section 409A nonqualified deferred compensation) a medically determinable physical or mental incapacitation such that for a continuous period of not less than twelve (12) months, employee is unable to engage in any substantial gainful activity or which can be expected to result in death. The definition of Disability with respect to incentive stock options and nonqualified deferred compensation is provided by their respective tax code definitions.</w:t>
      </w:r>
    </w:p>
    <w:p>
      <w:pPr>
        <w:spacing w:after="0" w:line="6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the event Mr. Yu’s or Dr. Lu's employment is terminated by (a) the Company other than for “cause” (as defined), or (b) the executive for “good reason” (as defined), (i) the Company shall continue to pay or provide to the executive the annual base salary during the period commencing on the 60th day after the effective date of such termination and ending on the first anniversary of such effective date such that an aggregate total of 12 months of base salary are provided, (ii) the Company shall pay to the executive any amount payable under an executive bonus plan for the fiscal year in which such termination occurs, prorated to the date of the termination, (iii) the Company shall pay the executive his accrued but unused paid time off, (iv) the Company shall provide to the executive continued participation in any group health plan or medical reimbursement plan on the terms existing on the date of termination for the period commencing on the effective date of such termination and ending 18 months thereafter, and (v) all stock-based compensation previously granted to the executive (including, but not limited to, all stock options, SARs, stock units, bonus units and stock grants) shall continue to be governed by the applicable award agreement. The benefits provided by the foregoing clauses (i) and (iv) are conditioned upon the executive's execution of a separation agreement with the Company and such agreement shall include a release of all claims against the Company and its affiliates.</w:t>
      </w:r>
    </w:p>
    <w:p>
      <w:pPr>
        <w:spacing w:after="0" w:line="6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However, if Mr. Yu’s or Dr. Lu's employment is terminated either by the Company other than for “cause” (as defined) or by the executive for “good reason” (as defined) and if the executive then obtains a new employment within one year from the date of his termination, the annual post-employment base salary payable by the Company to the executive shall be reduced by any amount received by him during such one year in connection with such other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5" w:name="page56"/>
    <w:bookmarkEnd w:id="55"/>
    <w:p>
      <w:pPr>
        <w:jc w:val="both"/>
        <w:spacing w:after="0" w:line="254" w:lineRule="auto"/>
        <w:rPr>
          <w:sz w:val="20"/>
          <w:szCs w:val="20"/>
          <w:color w:val="auto"/>
        </w:rPr>
      </w:pPr>
      <w:r>
        <w:rPr>
          <w:rFonts w:ascii="Arial" w:cs="Arial" w:eastAsia="Arial" w:hAnsi="Arial"/>
          <w:sz w:val="22"/>
          <w:szCs w:val="22"/>
          <w:b w:val="1"/>
          <w:bCs w:val="1"/>
          <w:i w:val="1"/>
          <w:iCs w:val="1"/>
          <w:color w:val="005CA9"/>
        </w:rPr>
        <w:t>Payments Upon Termination by the Company for “Cause” or by Mr. Yu or Dr. Lu Other Than for “Good Reason”</w:t>
      </w:r>
    </w:p>
    <w:p>
      <w:pPr>
        <w:jc w:val="both"/>
        <w:spacing w:after="0" w:line="228" w:lineRule="auto"/>
        <w:rPr>
          <w:sz w:val="20"/>
          <w:szCs w:val="20"/>
          <w:color w:val="auto"/>
        </w:rPr>
      </w:pPr>
      <w:r>
        <w:rPr>
          <w:rFonts w:ascii="Arial" w:cs="Arial" w:eastAsia="Arial" w:hAnsi="Arial"/>
          <w:sz w:val="20"/>
          <w:szCs w:val="20"/>
          <w:color w:val="auto"/>
        </w:rPr>
        <w:t>In the event that Mr. Yu’s or Dr. Lu's employment is terminated by (a) the Company for “cause” (as defined) or (b) the executive other than for “good reason” (as defined), (i)the Company shall promptly pay or provide to the executive the annual base salary, prorated through the date of termination, (ii) the Company shall pay to the executive any amount payable under an executive bonus plan for the fiscal year in which such termination occurs, prorated to the date of the termination, (iii) the Company shall pay the executive his accrued but unused paid time off, and (iv) all stock-based compensation previously granted to the executive (including, but not limited to, all stock options, SARs, stock units, bonus units and stock grants) shall continue to be governed by the applicable award agreement. A termination of employment by Mr. Yu or Dr. Lu due to his retirement will generally be treated the same as a resignation without Good Reason.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Payment Upon Termination Due To Death or Disability</w:t>
      </w:r>
    </w:p>
    <w:p>
      <w:pPr>
        <w:spacing w:after="0" w:line="43"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Under Mr. Yu’s and Dr. Lu's respective employment agreements, the executive is entitled to a life insurance policy with a death benefit in an amount equal to that existing on the date of his employment agreement and a disability insurance policy in the maximum insurable amount as defined by such policy. Additionally, if termination of employment occurred due to the executive death or Disability then he would also receive the same benefits provided for a resignation without Good Reason.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Payment Upon a Change in Control</w:t>
      </w:r>
    </w:p>
    <w:p>
      <w:pPr>
        <w:spacing w:after="0" w:line="10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2022 Plan generally provides that, (1) in the event of a change in control and/or the Company is a party to a merger, acquisition, reorganization or similar transaction, outstanding equity awards shall be subject to the merger agreement or other applicable transaction agreement, and (2) in the event of a change in control and there is no assumption, substitution or continuation of equity awards pursuant to a merger, acquisition, reorganization or similar transaction, the Compensation Committee of the Board (the “Compensation Committee”) in its discretion may provide that some or all Mr. Yu’s or Dr. Lu's equity awards shall vest and become exercisable as of immediately before such change in control. The Compensation Committee may also in its discretion include in an applicable equity award agreement that accelerated vesting of an equity award will be provided if Mr. Yu’s or Dr. Lu's service is terminated without cause by the Company (or its acquirer) within a specified period of time on or after a change in control. The Compensation Committee may also in its discretion include in an applicable equity award agreement a requirement that, under certain circumstances, acceleration of vesting (or compensation payable) with respect to such equity award shall be reduced (or eliminated) to the extent that such reduction (or elimination) would, after taking into account any other payments in the nature of compensation to which Mr. Yu or Dr. Lu would have a right to receive from the Company and any other person contingent upon the occurrence of a change in control, prevent the occurrence of a “parachute payment” as defined under Code Section 280G. The applicable 2022 Plan provisions are similar to the above except that the treatment of awards is not subject to discretion and instead is objectively specified as described in the 2022 Equity Incentive Plan section.</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definition of change in control in the 2022 Plan generally means the consummation of any one (or more) of the following:</w:t>
      </w:r>
    </w:p>
    <w:p>
      <w:pPr>
        <w:spacing w:after="0" w:line="108" w:lineRule="exact"/>
        <w:rPr>
          <w:sz w:val="20"/>
          <w:szCs w:val="20"/>
          <w:color w:val="auto"/>
        </w:rPr>
      </w:pPr>
    </w:p>
    <w:p>
      <w:pPr>
        <w:jc w:val="both"/>
        <w:ind w:left="1020" w:hanging="503"/>
        <w:spacing w:after="0" w:line="241" w:lineRule="auto"/>
        <w:tabs>
          <w:tab w:leader="none" w:pos="102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any person, including a group as defined in Section 13(d)(3) of the Securities Exchange Act of 1934, as amended, becoming the beneficial owner of stock of the Company which entitles such holder to cast 25% or more of the total number of votes for the election of the Board;</w:t>
      </w:r>
    </w:p>
    <w:p>
      <w:pPr>
        <w:spacing w:after="0" w:line="62" w:lineRule="exact"/>
        <w:rPr>
          <w:rFonts w:ascii="Times New Roman" w:cs="Times New Roman" w:eastAsia="Times New Roman" w:hAnsi="Times New Roman"/>
          <w:sz w:val="20"/>
          <w:szCs w:val="20"/>
          <w:color w:val="auto"/>
        </w:rPr>
      </w:pPr>
    </w:p>
    <w:p>
      <w:pPr>
        <w:jc w:val="both"/>
        <w:ind w:left="1020" w:hanging="503"/>
        <w:spacing w:after="0" w:line="241" w:lineRule="auto"/>
        <w:tabs>
          <w:tab w:leader="none" w:pos="102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a cash tender offer, exchange offer, merger or other business combination, sale of assets or contested election, or combination of the foregoing, in which the directors of the Company immediately prior to such event cease to be a majority of the Board;</w:t>
      </w:r>
    </w:p>
    <w:p>
      <w:pPr>
        <w:spacing w:after="0" w:line="62"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ceases to be an independent publicly owned company or a sale or other disposition is completed for all or substantially all the assets of the Company; or</w:t>
      </w:r>
    </w:p>
    <w:p>
      <w:pPr>
        <w:spacing w:after="0" w:line="48" w:lineRule="exact"/>
        <w:rPr>
          <w:rFonts w:ascii="Times New Roman" w:cs="Times New Roman" w:eastAsia="Times New Roman" w:hAnsi="Times New Roman"/>
          <w:sz w:val="20"/>
          <w:szCs w:val="20"/>
          <w:color w:val="auto"/>
        </w:rPr>
      </w:pPr>
    </w:p>
    <w:p>
      <w:pPr>
        <w:ind w:left="1020" w:hanging="503"/>
        <w:spacing w:after="0" w:line="256" w:lineRule="auto"/>
        <w:tabs>
          <w:tab w:leader="none" w:pos="1020" w:val="left"/>
        </w:tabs>
        <w:numPr>
          <w:ilvl w:val="0"/>
          <w:numId w:val="47"/>
        </w:numPr>
        <w:rPr>
          <w:rFonts w:ascii="Times New Roman" w:cs="Times New Roman" w:eastAsia="Times New Roman" w:hAnsi="Times New Roman"/>
          <w:sz w:val="20"/>
          <w:szCs w:val="20"/>
          <w:color w:val="auto"/>
        </w:rPr>
      </w:pPr>
      <w:r>
        <w:rPr>
          <w:rFonts w:ascii="Arial" w:cs="Arial" w:eastAsia="Arial" w:hAnsi="Arial"/>
          <w:sz w:val="20"/>
          <w:szCs w:val="20"/>
          <w:color w:val="auto"/>
        </w:rPr>
        <w:t>a tender offer or exchange offer (other than one made by the Company) in which the shares of the Company’s stock are acquired.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i w:val="1"/>
          <w:iCs w:val="1"/>
          <w:color w:val="005CA9"/>
        </w:rPr>
        <w:t>Payment Upon Retirement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Neither Mr. Yu’s nor Dr. Lu's employment agreement provides for a cash payment to him in the event of his retirement.</w:t>
      </w:r>
    </w:p>
    <w:p>
      <w:pPr>
        <w:spacing w:after="0" w:line="128" w:lineRule="exact"/>
        <w:rPr>
          <w:sz w:val="20"/>
          <w:szCs w:val="20"/>
          <w:color w:val="auto"/>
        </w:rPr>
      </w:pPr>
    </w:p>
    <w:p>
      <w:pPr>
        <w:ind w:right="2740"/>
        <w:spacing w:after="0" w:line="255" w:lineRule="auto"/>
        <w:rPr>
          <w:sz w:val="20"/>
          <w:szCs w:val="20"/>
          <w:color w:val="auto"/>
        </w:rPr>
      </w:pPr>
      <w:r>
        <w:rPr>
          <w:rFonts w:ascii="Arial" w:cs="Arial" w:eastAsia="Arial" w:hAnsi="Arial"/>
          <w:sz w:val="22"/>
          <w:szCs w:val="22"/>
          <w:b w:val="1"/>
          <w:bCs w:val="1"/>
          <w:color w:val="005CA9"/>
        </w:rPr>
        <w:t xml:space="preserve">Brett R. Whitmire, Francis Tang, Andy (Kuo-Ting) Tsong, Emily Yang, and Jin Zhao </w:t>
      </w:r>
      <w:r>
        <w:rPr>
          <w:rFonts w:ascii="Arial" w:cs="Arial" w:eastAsia="Arial" w:hAnsi="Arial"/>
          <w:sz w:val="22"/>
          <w:szCs w:val="22"/>
          <w:b w:val="1"/>
          <w:bCs w:val="1"/>
          <w:i w:val="1"/>
          <w:iCs w:val="1"/>
          <w:color w:val="005CA9"/>
        </w:rPr>
        <w:t>Payment Upon Termination</w:t>
      </w:r>
    </w:p>
    <w:p>
      <w:pPr>
        <w:jc w:val="both"/>
        <w:spacing w:after="0" w:line="231" w:lineRule="auto"/>
        <w:rPr>
          <w:sz w:val="20"/>
          <w:szCs w:val="20"/>
          <w:color w:val="auto"/>
        </w:rPr>
      </w:pPr>
      <w:r>
        <w:rPr>
          <w:rFonts w:ascii="Arial" w:cs="Arial" w:eastAsia="Arial" w:hAnsi="Arial"/>
          <w:sz w:val="20"/>
          <w:szCs w:val="20"/>
          <w:color w:val="auto"/>
        </w:rPr>
        <w:t>Mr. Whitmire, Mr. Tang, My Tsong, Ms. Yang, and Mr. Zhao do not have employment agreements with the Company, and payments upon termination under any circumstance for them are governed by their respective equity award agreements, the 2022 Plan, and the Company’s general policies for termination of employees as specified in the Company’s employee handbook. Please refer to the tables below in this Proxy Statement for further discussion of Mr. Whitmire’s, Mr. Tang’s, Mr. Tsong's, Ms. Yang's, and Mr. Zhao payments upon termination on December 31, 2025, under any circumstance.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NEO Payments Upon Termination Events and Change In Control</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following tables assume (i) the triggering event took place on December 31, 2025; (ii) the price per share used to calculate the value of equity awards was $49.34, the closing price per share on December 31, 2025, the last trading day of 2025; (iii) the intrinsic value of nonqualified stock option acceleration is calculated by multiplying the difference between the respective exercise prices of any unvested nonqualified stock option shares that would have been subject to acceleration and $49.34 by the number of shares underlying the unvested nonqualified stock options that would have been subject to acceleration; (iv) the value of RSUs and Modified Awards acceleration is calculated by multiplying $49.34 by the number of RSUs and Modified Awards that would have been subject to acceleration; and (v) a performance incentive bonus was earned for 2025 at the level set forth in the “Summary Compensation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Borders>
              <w:top w:val="single" w:sz="8" w:color="005CA9"/>
            </w:tcBorders>
          </w:tcPr>
          <w:p>
            <w:pPr>
              <w:spacing w:after="0"/>
              <w:rPr>
                <w:sz w:val="17"/>
                <w:szCs w:val="17"/>
                <w:color w:val="auto"/>
              </w:rPr>
            </w:pPr>
          </w:p>
        </w:tc>
        <w:tc>
          <w:tcPr>
            <w:tcW w:w="2480" w:type="dxa"/>
            <w:vAlign w:val="bottom"/>
            <w:tcBorders>
              <w:top w:val="single" w:sz="8" w:color="005CA9"/>
            </w:tcBorders>
          </w:tcPr>
          <w:p>
            <w:pPr>
              <w:jc w:val="center"/>
              <w:ind w:left="301"/>
              <w:spacing w:after="0" w:line="206" w:lineRule="exact"/>
              <w:rPr>
                <w:sz w:val="20"/>
                <w:szCs w:val="20"/>
                <w:color w:val="auto"/>
              </w:rPr>
            </w:pPr>
            <w:r>
              <w:rPr>
                <w:rFonts w:ascii="Arial" w:cs="Arial" w:eastAsia="Arial" w:hAnsi="Arial"/>
                <w:sz w:val="20"/>
                <w:szCs w:val="20"/>
                <w:b w:val="1"/>
                <w:bCs w:val="1"/>
                <w:color w:val="auto"/>
                <w:w w:val="99"/>
              </w:rPr>
              <w:t>Voluntary</w:t>
            </w:r>
          </w:p>
        </w:tc>
        <w:tc>
          <w:tcPr>
            <w:tcW w:w="2080" w:type="dxa"/>
            <w:vAlign w:val="bottom"/>
            <w:tcBorders>
              <w:top w:val="single" w:sz="8" w:color="005CA9"/>
            </w:tcBorders>
            <w:vMerge w:val="restart"/>
          </w:tcPr>
          <w:p>
            <w:pPr>
              <w:jc w:val="center"/>
              <w:ind w:right="65"/>
              <w:spacing w:after="0"/>
              <w:rPr>
                <w:sz w:val="20"/>
                <w:szCs w:val="20"/>
                <w:color w:val="auto"/>
              </w:rPr>
            </w:pPr>
            <w:r>
              <w:rPr>
                <w:rFonts w:ascii="Arial" w:cs="Arial" w:eastAsia="Arial" w:hAnsi="Arial"/>
                <w:sz w:val="20"/>
                <w:szCs w:val="20"/>
                <w:b w:val="1"/>
                <w:bCs w:val="1"/>
                <w:color w:val="auto"/>
                <w:w w:val="97"/>
              </w:rPr>
              <w:t>Termination</w:t>
            </w:r>
          </w:p>
        </w:tc>
        <w:tc>
          <w:tcPr>
            <w:tcW w:w="1960" w:type="dxa"/>
            <w:vAlign w:val="bottom"/>
            <w:tcBorders>
              <w:top w:val="single" w:sz="8" w:color="005CA9"/>
            </w:tcBorders>
            <w:vMerge w:val="restart"/>
          </w:tcPr>
          <w:p>
            <w:pPr>
              <w:jc w:val="center"/>
              <w:ind w:right="181"/>
              <w:spacing w:after="0"/>
              <w:rPr>
                <w:sz w:val="20"/>
                <w:szCs w:val="20"/>
                <w:color w:val="auto"/>
              </w:rPr>
            </w:pPr>
            <w:r>
              <w:rPr>
                <w:rFonts w:ascii="Arial" w:cs="Arial" w:eastAsia="Arial" w:hAnsi="Arial"/>
                <w:sz w:val="20"/>
                <w:szCs w:val="20"/>
                <w:b w:val="1"/>
                <w:bCs w:val="1"/>
                <w:color w:val="auto"/>
                <w:w w:val="97"/>
              </w:rPr>
              <w:t>Termination</w:t>
            </w:r>
          </w:p>
        </w:tc>
        <w:tc>
          <w:tcPr>
            <w:tcW w:w="1740" w:type="dxa"/>
            <w:vAlign w:val="bottom"/>
            <w:tcBorders>
              <w:top w:val="single" w:sz="8" w:color="005CA9"/>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2480" w:type="dxa"/>
            <w:vAlign w:val="bottom"/>
          </w:tcPr>
          <w:p>
            <w:pPr>
              <w:jc w:val="center"/>
              <w:ind w:left="361"/>
              <w:spacing w:after="0" w:line="216" w:lineRule="exact"/>
              <w:rPr>
                <w:sz w:val="20"/>
                <w:szCs w:val="20"/>
                <w:color w:val="auto"/>
              </w:rPr>
            </w:pPr>
            <w:r>
              <w:rPr>
                <w:rFonts w:ascii="Arial" w:cs="Arial" w:eastAsia="Arial" w:hAnsi="Arial"/>
                <w:sz w:val="20"/>
                <w:szCs w:val="20"/>
                <w:b w:val="1"/>
                <w:bCs w:val="1"/>
                <w:color w:val="auto"/>
                <w:w w:val="99"/>
              </w:rPr>
              <w:t>Termination</w:t>
            </w:r>
          </w:p>
        </w:tc>
        <w:tc>
          <w:tcPr>
            <w:tcW w:w="208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1740" w:type="dxa"/>
            <w:vAlign w:val="bottom"/>
            <w:vMerge w:val="restart"/>
          </w:tcPr>
          <w:p>
            <w:pPr>
              <w:jc w:val="center"/>
              <w:ind w:right="45"/>
              <w:spacing w:after="0"/>
              <w:rPr>
                <w:sz w:val="20"/>
                <w:szCs w:val="20"/>
                <w:color w:val="auto"/>
              </w:rPr>
            </w:pPr>
            <w:r>
              <w:rPr>
                <w:rFonts w:ascii="Arial" w:cs="Arial" w:eastAsia="Arial" w:hAnsi="Arial"/>
                <w:sz w:val="20"/>
                <w:szCs w:val="20"/>
                <w:b w:val="1"/>
                <w:bCs w:val="1"/>
                <w:color w:val="auto"/>
                <w:w w:val="99"/>
              </w:rPr>
              <w:t>Change in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2480" w:type="dxa"/>
            <w:vAlign w:val="bottom"/>
          </w:tcPr>
          <w:p>
            <w:pPr>
              <w:jc w:val="center"/>
              <w:ind w:left="361"/>
              <w:spacing w:after="0" w:line="216" w:lineRule="exact"/>
              <w:rPr>
                <w:sz w:val="20"/>
                <w:szCs w:val="20"/>
                <w:color w:val="auto"/>
              </w:rPr>
            </w:pPr>
            <w:r>
              <w:rPr>
                <w:rFonts w:ascii="Arial" w:cs="Arial" w:eastAsia="Arial" w:hAnsi="Arial"/>
                <w:sz w:val="20"/>
                <w:szCs w:val="20"/>
                <w:b w:val="1"/>
                <w:bCs w:val="1"/>
                <w:color w:val="auto"/>
                <w:w w:val="98"/>
              </w:rPr>
              <w:t>or Termination</w:t>
            </w:r>
          </w:p>
        </w:tc>
        <w:tc>
          <w:tcPr>
            <w:tcW w:w="2080" w:type="dxa"/>
            <w:vAlign w:val="bottom"/>
          </w:tcPr>
          <w:p>
            <w:pPr>
              <w:jc w:val="center"/>
              <w:ind w:right="65"/>
              <w:spacing w:after="0" w:line="216" w:lineRule="exact"/>
              <w:rPr>
                <w:sz w:val="20"/>
                <w:szCs w:val="20"/>
                <w:color w:val="auto"/>
              </w:rPr>
            </w:pPr>
            <w:r>
              <w:rPr>
                <w:rFonts w:ascii="Arial" w:cs="Arial" w:eastAsia="Arial" w:hAnsi="Arial"/>
                <w:sz w:val="20"/>
                <w:szCs w:val="20"/>
                <w:b w:val="1"/>
                <w:bCs w:val="1"/>
                <w:color w:val="auto"/>
                <w:w w:val="99"/>
              </w:rPr>
              <w:t>Due to Disability</w:t>
            </w:r>
          </w:p>
        </w:tc>
        <w:tc>
          <w:tcPr>
            <w:tcW w:w="1960" w:type="dxa"/>
            <w:vAlign w:val="bottom"/>
          </w:tcPr>
          <w:p>
            <w:pPr>
              <w:jc w:val="center"/>
              <w:ind w:right="181"/>
              <w:spacing w:after="0" w:line="216" w:lineRule="exact"/>
              <w:rPr>
                <w:sz w:val="20"/>
                <w:szCs w:val="20"/>
                <w:color w:val="auto"/>
              </w:rPr>
            </w:pPr>
            <w:r>
              <w:rPr>
                <w:rFonts w:ascii="Arial" w:cs="Arial" w:eastAsia="Arial" w:hAnsi="Arial"/>
                <w:sz w:val="20"/>
                <w:szCs w:val="20"/>
                <w:b w:val="1"/>
                <w:bCs w:val="1"/>
                <w:color w:val="auto"/>
                <w:w w:val="96"/>
              </w:rPr>
              <w:t>Without</w:t>
            </w: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80" w:type="dxa"/>
            <w:vAlign w:val="bottom"/>
            <w:vMerge w:val="restart"/>
          </w:tcPr>
          <w:p>
            <w:pPr>
              <w:spacing w:after="0"/>
              <w:rPr>
                <w:sz w:val="20"/>
                <w:szCs w:val="20"/>
                <w:color w:val="auto"/>
              </w:rPr>
            </w:pPr>
            <w:r>
              <w:rPr>
                <w:rFonts w:ascii="Arial" w:cs="Arial" w:eastAsia="Arial" w:hAnsi="Arial"/>
                <w:sz w:val="20"/>
                <w:szCs w:val="20"/>
                <w:b w:val="1"/>
                <w:bCs w:val="1"/>
                <w:color w:val="auto"/>
              </w:rPr>
              <w:t>Name</w:t>
            </w:r>
          </w:p>
        </w:tc>
        <w:tc>
          <w:tcPr>
            <w:tcW w:w="2480" w:type="dxa"/>
            <w:vAlign w:val="bottom"/>
          </w:tcPr>
          <w:p>
            <w:pPr>
              <w:jc w:val="center"/>
              <w:ind w:left="361"/>
              <w:spacing w:after="0" w:line="199" w:lineRule="exact"/>
              <w:rPr>
                <w:sz w:val="20"/>
                <w:szCs w:val="20"/>
                <w:color w:val="auto"/>
              </w:rPr>
            </w:pPr>
            <w:r>
              <w:rPr>
                <w:rFonts w:ascii="Arial" w:cs="Arial" w:eastAsia="Arial" w:hAnsi="Arial"/>
                <w:sz w:val="20"/>
                <w:szCs w:val="20"/>
                <w:b w:val="1"/>
                <w:bCs w:val="1"/>
                <w:color w:val="auto"/>
                <w:w w:val="97"/>
              </w:rPr>
              <w:t>With Cause</w:t>
            </w:r>
          </w:p>
        </w:tc>
        <w:tc>
          <w:tcPr>
            <w:tcW w:w="2080" w:type="dxa"/>
            <w:vAlign w:val="bottom"/>
          </w:tcPr>
          <w:p>
            <w:pPr>
              <w:jc w:val="center"/>
              <w:ind w:right="65"/>
              <w:spacing w:after="0" w:line="199" w:lineRule="exact"/>
              <w:rPr>
                <w:sz w:val="20"/>
                <w:szCs w:val="20"/>
                <w:color w:val="auto"/>
              </w:rPr>
            </w:pPr>
            <w:r>
              <w:rPr>
                <w:rFonts w:ascii="Arial" w:cs="Arial" w:eastAsia="Arial" w:hAnsi="Arial"/>
                <w:sz w:val="20"/>
                <w:szCs w:val="20"/>
                <w:b w:val="1"/>
                <w:bCs w:val="1"/>
                <w:color w:val="auto"/>
                <w:w w:val="98"/>
              </w:rPr>
              <w:t>or Death</w:t>
            </w:r>
          </w:p>
        </w:tc>
        <w:tc>
          <w:tcPr>
            <w:tcW w:w="1960" w:type="dxa"/>
            <w:vAlign w:val="bottom"/>
          </w:tcPr>
          <w:p>
            <w:pPr>
              <w:jc w:val="center"/>
              <w:ind w:right="181"/>
              <w:spacing w:after="0" w:line="199" w:lineRule="exact"/>
              <w:rPr>
                <w:sz w:val="20"/>
                <w:szCs w:val="20"/>
                <w:color w:val="auto"/>
              </w:rPr>
            </w:pPr>
            <w:r>
              <w:rPr>
                <w:rFonts w:ascii="Arial" w:cs="Arial" w:eastAsia="Arial" w:hAnsi="Arial"/>
                <w:sz w:val="20"/>
                <w:szCs w:val="20"/>
                <w:b w:val="1"/>
                <w:bCs w:val="1"/>
                <w:color w:val="auto"/>
                <w:w w:val="99"/>
              </w:rPr>
              <w:t>Cause</w:t>
            </w:r>
          </w:p>
        </w:tc>
        <w:tc>
          <w:tcPr>
            <w:tcW w:w="1740" w:type="dxa"/>
            <w:vAlign w:val="bottom"/>
          </w:tcPr>
          <w:p>
            <w:pPr>
              <w:jc w:val="center"/>
              <w:ind w:right="65"/>
              <w:spacing w:after="0" w:line="199" w:lineRule="exact"/>
              <w:rPr>
                <w:sz w:val="20"/>
                <w:szCs w:val="20"/>
                <w:color w:val="auto"/>
              </w:rPr>
            </w:pPr>
            <w:r>
              <w:rPr>
                <w:rFonts w:ascii="Arial" w:cs="Arial" w:eastAsia="Arial" w:hAnsi="Arial"/>
                <w:sz w:val="20"/>
                <w:szCs w:val="20"/>
                <w:b w:val="1"/>
                <w:bCs w:val="1"/>
                <w:color w:val="auto"/>
                <w:w w:val="98"/>
              </w:rPr>
              <w:t>Control</w:t>
            </w:r>
          </w:p>
        </w:tc>
        <w:tc>
          <w:tcPr>
            <w:tcW w:w="0" w:type="dxa"/>
            <w:vAlign w:val="bottom"/>
          </w:tcPr>
          <w:p>
            <w:pPr>
              <w:spacing w:after="0"/>
              <w:rPr>
                <w:sz w:val="1"/>
                <w:szCs w:val="1"/>
                <w:color w:val="auto"/>
              </w:rPr>
            </w:pPr>
          </w:p>
        </w:tc>
      </w:tr>
      <w:tr>
        <w:trPr>
          <w:trHeight w:val="277"/>
        </w:trPr>
        <w:tc>
          <w:tcPr>
            <w:tcW w:w="2980" w:type="dxa"/>
            <w:vAlign w:val="bottom"/>
            <w:tcBorders>
              <w:bottom w:val="single" w:sz="8" w:color="005CA9"/>
            </w:tcBorders>
            <w:vMerge w:val="continue"/>
          </w:tcPr>
          <w:p>
            <w:pPr>
              <w:spacing w:after="0"/>
              <w:rPr>
                <w:sz w:val="24"/>
                <w:szCs w:val="24"/>
                <w:color w:val="auto"/>
              </w:rPr>
            </w:pPr>
          </w:p>
        </w:tc>
        <w:tc>
          <w:tcPr>
            <w:tcW w:w="2480" w:type="dxa"/>
            <w:vAlign w:val="bottom"/>
            <w:tcBorders>
              <w:bottom w:val="single" w:sz="8" w:color="005CA9"/>
            </w:tcBorders>
          </w:tcPr>
          <w:p>
            <w:pPr>
              <w:jc w:val="center"/>
              <w:ind w:left="361"/>
              <w:spacing w:after="0"/>
              <w:rPr>
                <w:sz w:val="20"/>
                <w:szCs w:val="20"/>
                <w:color w:val="auto"/>
              </w:rPr>
            </w:pPr>
            <w:r>
              <w:rPr>
                <w:rFonts w:ascii="Arial" w:cs="Arial" w:eastAsia="Arial" w:hAnsi="Arial"/>
                <w:sz w:val="20"/>
                <w:szCs w:val="20"/>
                <w:b w:val="1"/>
                <w:bCs w:val="1"/>
                <w:color w:val="auto"/>
              </w:rPr>
              <w:t>($)</w:t>
            </w:r>
          </w:p>
        </w:tc>
        <w:tc>
          <w:tcPr>
            <w:tcW w:w="2080" w:type="dxa"/>
            <w:vAlign w:val="bottom"/>
            <w:tcBorders>
              <w:bottom w:val="single" w:sz="8" w:color="005CA9"/>
            </w:tcBorders>
          </w:tcPr>
          <w:p>
            <w:pPr>
              <w:jc w:val="center"/>
              <w:ind w:right="65"/>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2"/>
                <w:szCs w:val="12"/>
                <w:b w:val="1"/>
                <w:bCs w:val="1"/>
                <w:color w:val="auto"/>
              </w:rPr>
              <w:t xml:space="preserve"> (1) (3)</w:t>
            </w:r>
          </w:p>
        </w:tc>
        <w:tc>
          <w:tcPr>
            <w:tcW w:w="1960" w:type="dxa"/>
            <w:vAlign w:val="bottom"/>
            <w:tcBorders>
              <w:bottom w:val="single" w:sz="8" w:color="005CA9"/>
            </w:tcBorders>
          </w:tcPr>
          <w:p>
            <w:pPr>
              <w:jc w:val="center"/>
              <w:ind w:right="201"/>
              <w:spacing w:after="0" w:line="256" w:lineRule="exact"/>
              <w:rPr>
                <w:sz w:val="20"/>
                <w:szCs w:val="20"/>
                <w:color w:val="auto"/>
              </w:rPr>
            </w:pPr>
            <w:r>
              <w:rPr>
                <w:rFonts w:ascii="Arial" w:cs="Arial" w:eastAsia="Arial" w:hAnsi="Arial"/>
                <w:sz w:val="20"/>
                <w:szCs w:val="20"/>
                <w:b w:val="1"/>
                <w:bCs w:val="1"/>
                <w:color w:val="auto"/>
                <w:w w:val="89"/>
              </w:rPr>
              <w:t xml:space="preserve">($) </w:t>
            </w:r>
            <w:r>
              <w:rPr>
                <w:rFonts w:ascii="Arial" w:cs="Arial" w:eastAsia="Arial" w:hAnsi="Arial"/>
                <w:sz w:val="26"/>
                <w:szCs w:val="26"/>
                <w:b w:val="1"/>
                <w:bCs w:val="1"/>
                <w:color w:val="auto"/>
                <w:w w:val="89"/>
                <w:vertAlign w:val="superscript"/>
              </w:rPr>
              <w:t>(1)</w:t>
            </w:r>
          </w:p>
        </w:tc>
        <w:tc>
          <w:tcPr>
            <w:tcW w:w="1740" w:type="dxa"/>
            <w:vAlign w:val="bottom"/>
            <w:tcBorders>
              <w:bottom w:val="single" w:sz="8" w:color="005CA9"/>
            </w:tcBorders>
          </w:tcPr>
          <w:p>
            <w:pPr>
              <w:jc w:val="center"/>
              <w:ind w:right="45"/>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2"/>
                <w:szCs w:val="12"/>
                <w:b w:val="1"/>
                <w:bCs w:val="1"/>
                <w:color w:val="auto"/>
              </w:rPr>
              <w:t xml:space="preserve"> (2)(3)</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Dr. Keh-Shew Lu</w:t>
            </w:r>
          </w:p>
        </w:tc>
        <w:tc>
          <w:tcPr>
            <w:tcW w:w="2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357,691</w:t>
            </w:r>
          </w:p>
        </w:tc>
        <w:tc>
          <w:tcPr>
            <w:tcW w:w="2080" w:type="dxa"/>
            <w:vAlign w:val="bottom"/>
            <w:shd w:val="clear" w:color="auto" w:fill="CFF0FC"/>
          </w:tcPr>
          <w:p>
            <w:pPr>
              <w:jc w:val="right"/>
              <w:ind w:right="185"/>
              <w:spacing w:after="0" w:line="216" w:lineRule="exact"/>
              <w:rPr>
                <w:sz w:val="20"/>
                <w:szCs w:val="20"/>
                <w:color w:val="auto"/>
              </w:rPr>
            </w:pPr>
            <w:r>
              <w:rPr>
                <w:rFonts w:ascii="Arial" w:cs="Arial" w:eastAsia="Arial" w:hAnsi="Arial"/>
                <w:sz w:val="20"/>
                <w:szCs w:val="20"/>
                <w:color w:val="auto"/>
              </w:rPr>
              <w:t>9,066,201</w:t>
            </w:r>
          </w:p>
        </w:tc>
        <w:tc>
          <w:tcPr>
            <w:tcW w:w="196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490,341</w:t>
            </w:r>
          </w:p>
        </w:tc>
        <w:tc>
          <w:tcPr>
            <w:tcW w:w="1740" w:type="dxa"/>
            <w:vAlign w:val="bottom"/>
            <w:shd w:val="clear" w:color="auto" w:fill="CFF0FC"/>
          </w:tcPr>
          <w:p>
            <w:pPr>
              <w:jc w:val="right"/>
              <w:ind w:right="25"/>
              <w:spacing w:after="0" w:line="216" w:lineRule="exact"/>
              <w:rPr>
                <w:sz w:val="20"/>
                <w:szCs w:val="20"/>
                <w:color w:val="auto"/>
              </w:rPr>
            </w:pPr>
            <w:r>
              <w:rPr>
                <w:rFonts w:ascii="Arial" w:cs="Arial" w:eastAsia="Arial" w:hAnsi="Arial"/>
                <w:sz w:val="20"/>
                <w:szCs w:val="20"/>
                <w:color w:val="auto"/>
              </w:rPr>
              <w:t>8,708,510</w:t>
            </w:r>
          </w:p>
        </w:tc>
        <w:tc>
          <w:tcPr>
            <w:tcW w:w="0" w:type="dxa"/>
            <w:vAlign w:val="bottom"/>
          </w:tcPr>
          <w:p>
            <w:pPr>
              <w:spacing w:after="0"/>
              <w:rPr>
                <w:sz w:val="1"/>
                <w:szCs w:val="1"/>
                <w:color w:val="auto"/>
              </w:rPr>
            </w:pPr>
          </w:p>
        </w:tc>
      </w:tr>
      <w:tr>
        <w:trPr>
          <w:trHeight w:val="216"/>
        </w:trPr>
        <w:tc>
          <w:tcPr>
            <w:tcW w:w="2980" w:type="dxa"/>
            <w:vAlign w:val="bottom"/>
          </w:tcPr>
          <w:p>
            <w:pPr>
              <w:spacing w:after="0" w:line="216" w:lineRule="exact"/>
              <w:rPr>
                <w:sz w:val="20"/>
                <w:szCs w:val="20"/>
                <w:color w:val="auto"/>
              </w:rPr>
            </w:pPr>
            <w:r>
              <w:rPr>
                <w:rFonts w:ascii="Arial" w:cs="Arial" w:eastAsia="Arial" w:hAnsi="Arial"/>
                <w:sz w:val="20"/>
                <w:szCs w:val="20"/>
                <w:b w:val="1"/>
                <w:bCs w:val="1"/>
                <w:color w:val="auto"/>
              </w:rPr>
              <w:t>Gary Yu</w:t>
            </w:r>
          </w:p>
        </w:tc>
        <w:tc>
          <w:tcPr>
            <w:tcW w:w="2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949,513</w:t>
            </w:r>
          </w:p>
        </w:tc>
        <w:tc>
          <w:tcPr>
            <w:tcW w:w="2080" w:type="dxa"/>
            <w:vAlign w:val="bottom"/>
          </w:tcPr>
          <w:p>
            <w:pPr>
              <w:jc w:val="right"/>
              <w:ind w:right="185"/>
              <w:spacing w:after="0" w:line="216" w:lineRule="exact"/>
              <w:rPr>
                <w:sz w:val="20"/>
                <w:szCs w:val="20"/>
                <w:color w:val="auto"/>
              </w:rPr>
            </w:pPr>
            <w:r>
              <w:rPr>
                <w:rFonts w:ascii="Arial" w:cs="Arial" w:eastAsia="Arial" w:hAnsi="Arial"/>
                <w:sz w:val="20"/>
                <w:szCs w:val="20"/>
                <w:color w:val="auto"/>
              </w:rPr>
              <w:t>6,440,561</w:t>
            </w:r>
          </w:p>
        </w:tc>
        <w:tc>
          <w:tcPr>
            <w:tcW w:w="196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949,513</w:t>
            </w:r>
          </w:p>
        </w:tc>
        <w:tc>
          <w:tcPr>
            <w:tcW w:w="1740" w:type="dxa"/>
            <w:vAlign w:val="bottom"/>
          </w:tcPr>
          <w:p>
            <w:pPr>
              <w:jc w:val="right"/>
              <w:ind w:right="25"/>
              <w:spacing w:after="0" w:line="216" w:lineRule="exact"/>
              <w:rPr>
                <w:sz w:val="20"/>
                <w:szCs w:val="20"/>
                <w:color w:val="auto"/>
              </w:rPr>
            </w:pPr>
            <w:r>
              <w:rPr>
                <w:rFonts w:ascii="Arial" w:cs="Arial" w:eastAsia="Arial" w:hAnsi="Arial"/>
                <w:sz w:val="20"/>
                <w:szCs w:val="20"/>
                <w:color w:val="auto"/>
              </w:rPr>
              <w:t>5,491,049</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Brett R. Whitmire</w:t>
            </w:r>
          </w:p>
        </w:tc>
        <w:tc>
          <w:tcPr>
            <w:tcW w:w="2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270,882</w:t>
            </w:r>
          </w:p>
        </w:tc>
        <w:tc>
          <w:tcPr>
            <w:tcW w:w="2080" w:type="dxa"/>
            <w:vAlign w:val="bottom"/>
            <w:shd w:val="clear" w:color="auto" w:fill="CFF0FC"/>
          </w:tcPr>
          <w:p>
            <w:pPr>
              <w:jc w:val="right"/>
              <w:ind w:right="185"/>
              <w:spacing w:after="0" w:line="216" w:lineRule="exact"/>
              <w:rPr>
                <w:sz w:val="20"/>
                <w:szCs w:val="20"/>
                <w:color w:val="auto"/>
              </w:rPr>
            </w:pPr>
            <w:r>
              <w:rPr>
                <w:rFonts w:ascii="Arial" w:cs="Arial" w:eastAsia="Arial" w:hAnsi="Arial"/>
                <w:sz w:val="20"/>
                <w:szCs w:val="20"/>
                <w:color w:val="auto"/>
              </w:rPr>
              <w:t>2,346,863</w:t>
            </w:r>
          </w:p>
        </w:tc>
        <w:tc>
          <w:tcPr>
            <w:tcW w:w="196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270,882</w:t>
            </w:r>
          </w:p>
        </w:tc>
        <w:tc>
          <w:tcPr>
            <w:tcW w:w="1740" w:type="dxa"/>
            <w:vAlign w:val="bottom"/>
            <w:shd w:val="clear" w:color="auto" w:fill="CFF0FC"/>
          </w:tcPr>
          <w:p>
            <w:pPr>
              <w:jc w:val="right"/>
              <w:ind w:right="25"/>
              <w:spacing w:after="0" w:line="216" w:lineRule="exact"/>
              <w:rPr>
                <w:sz w:val="20"/>
                <w:szCs w:val="20"/>
                <w:color w:val="auto"/>
              </w:rPr>
            </w:pPr>
            <w:r>
              <w:rPr>
                <w:rFonts w:ascii="Arial" w:cs="Arial" w:eastAsia="Arial" w:hAnsi="Arial"/>
                <w:sz w:val="20"/>
                <w:szCs w:val="20"/>
                <w:color w:val="auto"/>
              </w:rPr>
              <w:t>2,075,981</w:t>
            </w:r>
          </w:p>
        </w:tc>
        <w:tc>
          <w:tcPr>
            <w:tcW w:w="0" w:type="dxa"/>
            <w:vAlign w:val="bottom"/>
          </w:tcPr>
          <w:p>
            <w:pPr>
              <w:spacing w:after="0"/>
              <w:rPr>
                <w:sz w:val="1"/>
                <w:szCs w:val="1"/>
                <w:color w:val="auto"/>
              </w:rPr>
            </w:pPr>
          </w:p>
        </w:tc>
      </w:tr>
      <w:tr>
        <w:trPr>
          <w:trHeight w:val="216"/>
        </w:trPr>
        <w:tc>
          <w:tcPr>
            <w:tcW w:w="2980" w:type="dxa"/>
            <w:vAlign w:val="bottom"/>
          </w:tcPr>
          <w:p>
            <w:pPr>
              <w:spacing w:after="0" w:line="216" w:lineRule="exact"/>
              <w:rPr>
                <w:sz w:val="20"/>
                <w:szCs w:val="20"/>
                <w:color w:val="auto"/>
              </w:rPr>
            </w:pPr>
            <w:r>
              <w:rPr>
                <w:rFonts w:ascii="Arial" w:cs="Arial" w:eastAsia="Arial" w:hAnsi="Arial"/>
                <w:sz w:val="20"/>
                <w:szCs w:val="20"/>
                <w:b w:val="1"/>
                <w:bCs w:val="1"/>
                <w:color w:val="auto"/>
              </w:rPr>
              <w:t>Francis Tang</w:t>
            </w:r>
          </w:p>
        </w:tc>
        <w:tc>
          <w:tcPr>
            <w:tcW w:w="2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323,627</w:t>
            </w:r>
          </w:p>
        </w:tc>
        <w:tc>
          <w:tcPr>
            <w:tcW w:w="2080" w:type="dxa"/>
            <w:vAlign w:val="bottom"/>
          </w:tcPr>
          <w:p>
            <w:pPr>
              <w:jc w:val="right"/>
              <w:ind w:right="185"/>
              <w:spacing w:after="0" w:line="216" w:lineRule="exact"/>
              <w:rPr>
                <w:sz w:val="20"/>
                <w:szCs w:val="20"/>
                <w:color w:val="auto"/>
              </w:rPr>
            </w:pPr>
            <w:r>
              <w:rPr>
                <w:rFonts w:ascii="Arial" w:cs="Arial" w:eastAsia="Arial" w:hAnsi="Arial"/>
                <w:sz w:val="20"/>
                <w:szCs w:val="20"/>
                <w:color w:val="auto"/>
              </w:rPr>
              <w:t>2,494,587</w:t>
            </w:r>
          </w:p>
        </w:tc>
        <w:tc>
          <w:tcPr>
            <w:tcW w:w="196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323,627</w:t>
            </w:r>
          </w:p>
        </w:tc>
        <w:tc>
          <w:tcPr>
            <w:tcW w:w="1740" w:type="dxa"/>
            <w:vAlign w:val="bottom"/>
          </w:tcPr>
          <w:p>
            <w:pPr>
              <w:jc w:val="right"/>
              <w:ind w:right="25"/>
              <w:spacing w:after="0" w:line="216" w:lineRule="exact"/>
              <w:rPr>
                <w:sz w:val="20"/>
                <w:szCs w:val="20"/>
                <w:color w:val="auto"/>
              </w:rPr>
            </w:pPr>
            <w:r>
              <w:rPr>
                <w:rFonts w:ascii="Arial" w:cs="Arial" w:eastAsia="Arial" w:hAnsi="Arial"/>
                <w:sz w:val="20"/>
                <w:szCs w:val="20"/>
                <w:color w:val="auto"/>
              </w:rPr>
              <w:t>2,170,960</w:t>
            </w: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Andy (Kuo-Ting) Tsong</w:t>
            </w:r>
          </w:p>
        </w:tc>
        <w:tc>
          <w:tcPr>
            <w:tcW w:w="2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276,267</w:t>
            </w:r>
          </w:p>
        </w:tc>
        <w:tc>
          <w:tcPr>
            <w:tcW w:w="2080" w:type="dxa"/>
            <w:vAlign w:val="bottom"/>
            <w:shd w:val="clear" w:color="auto" w:fill="CFF0FC"/>
          </w:tcPr>
          <w:p>
            <w:pPr>
              <w:jc w:val="right"/>
              <w:ind w:right="185"/>
              <w:spacing w:after="0" w:line="216" w:lineRule="exact"/>
              <w:rPr>
                <w:sz w:val="20"/>
                <w:szCs w:val="20"/>
                <w:color w:val="auto"/>
              </w:rPr>
            </w:pPr>
            <w:r>
              <w:rPr>
                <w:rFonts w:ascii="Arial" w:cs="Arial" w:eastAsia="Arial" w:hAnsi="Arial"/>
                <w:sz w:val="20"/>
                <w:szCs w:val="20"/>
                <w:color w:val="auto"/>
              </w:rPr>
              <w:t>1,928,565</w:t>
            </w:r>
          </w:p>
        </w:tc>
        <w:tc>
          <w:tcPr>
            <w:tcW w:w="196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276,267</w:t>
            </w:r>
          </w:p>
        </w:tc>
        <w:tc>
          <w:tcPr>
            <w:tcW w:w="1740" w:type="dxa"/>
            <w:vAlign w:val="bottom"/>
            <w:shd w:val="clear" w:color="auto" w:fill="CFF0FC"/>
          </w:tcPr>
          <w:p>
            <w:pPr>
              <w:jc w:val="right"/>
              <w:ind w:right="25"/>
              <w:spacing w:after="0" w:line="216" w:lineRule="exact"/>
              <w:rPr>
                <w:sz w:val="20"/>
                <w:szCs w:val="20"/>
                <w:color w:val="auto"/>
              </w:rPr>
            </w:pPr>
            <w:r>
              <w:rPr>
                <w:rFonts w:ascii="Arial" w:cs="Arial" w:eastAsia="Arial" w:hAnsi="Arial"/>
                <w:sz w:val="20"/>
                <w:szCs w:val="20"/>
                <w:color w:val="auto"/>
              </w:rPr>
              <w:t>1,652,298</w:t>
            </w:r>
          </w:p>
        </w:tc>
        <w:tc>
          <w:tcPr>
            <w:tcW w:w="0" w:type="dxa"/>
            <w:vAlign w:val="bottom"/>
          </w:tcPr>
          <w:p>
            <w:pPr>
              <w:spacing w:after="0"/>
              <w:rPr>
                <w:sz w:val="1"/>
                <w:szCs w:val="1"/>
                <w:color w:val="auto"/>
              </w:rPr>
            </w:pPr>
          </w:p>
        </w:tc>
      </w:tr>
      <w:tr>
        <w:trPr>
          <w:trHeight w:val="216"/>
        </w:trPr>
        <w:tc>
          <w:tcPr>
            <w:tcW w:w="2980" w:type="dxa"/>
            <w:vAlign w:val="bottom"/>
          </w:tcPr>
          <w:p>
            <w:pPr>
              <w:spacing w:after="0" w:line="216" w:lineRule="exact"/>
              <w:rPr>
                <w:sz w:val="20"/>
                <w:szCs w:val="20"/>
                <w:color w:val="auto"/>
              </w:rPr>
            </w:pPr>
            <w:r>
              <w:rPr>
                <w:rFonts w:ascii="Arial" w:cs="Arial" w:eastAsia="Arial" w:hAnsi="Arial"/>
                <w:sz w:val="20"/>
                <w:szCs w:val="20"/>
                <w:b w:val="1"/>
                <w:bCs w:val="1"/>
                <w:color w:val="auto"/>
              </w:rPr>
              <w:t>Emily Yang</w:t>
            </w:r>
          </w:p>
        </w:tc>
        <w:tc>
          <w:tcPr>
            <w:tcW w:w="2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276,267</w:t>
            </w:r>
          </w:p>
        </w:tc>
        <w:tc>
          <w:tcPr>
            <w:tcW w:w="2080" w:type="dxa"/>
            <w:vAlign w:val="bottom"/>
          </w:tcPr>
          <w:p>
            <w:pPr>
              <w:jc w:val="right"/>
              <w:ind w:right="185"/>
              <w:spacing w:after="0" w:line="216" w:lineRule="exact"/>
              <w:rPr>
                <w:sz w:val="20"/>
                <w:szCs w:val="20"/>
                <w:color w:val="auto"/>
              </w:rPr>
            </w:pPr>
            <w:r>
              <w:rPr>
                <w:rFonts w:ascii="Arial" w:cs="Arial" w:eastAsia="Arial" w:hAnsi="Arial"/>
                <w:sz w:val="20"/>
                <w:szCs w:val="20"/>
                <w:color w:val="auto"/>
              </w:rPr>
              <w:t>2,352,247</w:t>
            </w:r>
          </w:p>
        </w:tc>
        <w:tc>
          <w:tcPr>
            <w:tcW w:w="196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276,267</w:t>
            </w:r>
          </w:p>
        </w:tc>
        <w:tc>
          <w:tcPr>
            <w:tcW w:w="1740" w:type="dxa"/>
            <w:vAlign w:val="bottom"/>
          </w:tcPr>
          <w:p>
            <w:pPr>
              <w:jc w:val="right"/>
              <w:ind w:right="25"/>
              <w:spacing w:after="0" w:line="216" w:lineRule="exact"/>
              <w:rPr>
                <w:sz w:val="20"/>
                <w:szCs w:val="20"/>
                <w:color w:val="auto"/>
              </w:rPr>
            </w:pPr>
            <w:r>
              <w:rPr>
                <w:rFonts w:ascii="Arial" w:cs="Arial" w:eastAsia="Arial" w:hAnsi="Arial"/>
                <w:sz w:val="20"/>
                <w:szCs w:val="20"/>
                <w:color w:val="auto"/>
              </w:rPr>
              <w:t>2,075,981</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005CA9"/>
            </w:tcBorders>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Jin Zhao</w:t>
            </w:r>
          </w:p>
        </w:tc>
        <w:tc>
          <w:tcPr>
            <w:tcW w:w="2480" w:type="dxa"/>
            <w:vAlign w:val="bottom"/>
            <w:tcBorders>
              <w:bottom w:val="single" w:sz="8" w:color="005CA9"/>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266,844</w:t>
            </w:r>
          </w:p>
        </w:tc>
        <w:tc>
          <w:tcPr>
            <w:tcW w:w="2080" w:type="dxa"/>
            <w:vAlign w:val="bottom"/>
            <w:tcBorders>
              <w:bottom w:val="single" w:sz="8" w:color="005CA9"/>
            </w:tcBorders>
            <w:shd w:val="clear" w:color="auto" w:fill="CFF0FC"/>
          </w:tcPr>
          <w:p>
            <w:pPr>
              <w:jc w:val="right"/>
              <w:ind w:right="185"/>
              <w:spacing w:after="0" w:line="216" w:lineRule="exact"/>
              <w:rPr>
                <w:sz w:val="20"/>
                <w:szCs w:val="20"/>
                <w:color w:val="auto"/>
              </w:rPr>
            </w:pPr>
            <w:r>
              <w:rPr>
                <w:rFonts w:ascii="Arial" w:cs="Arial" w:eastAsia="Arial" w:hAnsi="Arial"/>
                <w:sz w:val="20"/>
                <w:szCs w:val="20"/>
                <w:color w:val="auto"/>
              </w:rPr>
              <w:t>2,310,753</w:t>
            </w:r>
          </w:p>
        </w:tc>
        <w:tc>
          <w:tcPr>
            <w:tcW w:w="1960" w:type="dxa"/>
            <w:vAlign w:val="bottom"/>
            <w:tcBorders>
              <w:bottom w:val="single" w:sz="8" w:color="005CA9"/>
            </w:tcBorders>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266,844</w:t>
            </w:r>
          </w:p>
        </w:tc>
        <w:tc>
          <w:tcPr>
            <w:tcW w:w="1740" w:type="dxa"/>
            <w:vAlign w:val="bottom"/>
            <w:tcBorders>
              <w:bottom w:val="single" w:sz="8" w:color="005CA9"/>
            </w:tcBorders>
            <w:shd w:val="clear" w:color="auto" w:fill="CFF0FC"/>
          </w:tcPr>
          <w:p>
            <w:pPr>
              <w:jc w:val="right"/>
              <w:ind w:right="25"/>
              <w:spacing w:after="0" w:line="216" w:lineRule="exact"/>
              <w:rPr>
                <w:sz w:val="20"/>
                <w:szCs w:val="20"/>
                <w:color w:val="auto"/>
              </w:rPr>
            </w:pPr>
            <w:r>
              <w:rPr>
                <w:rFonts w:ascii="Arial" w:cs="Arial" w:eastAsia="Arial" w:hAnsi="Arial"/>
                <w:sz w:val="20"/>
                <w:szCs w:val="20"/>
                <w:color w:val="auto"/>
              </w:rPr>
              <w:t>2,043,910</w:t>
            </w:r>
          </w:p>
        </w:tc>
        <w:tc>
          <w:tcPr>
            <w:tcW w:w="0" w:type="dxa"/>
            <w:vAlign w:val="bottom"/>
          </w:tcPr>
          <w:p>
            <w:pPr>
              <w:spacing w:after="0"/>
              <w:rPr>
                <w:sz w:val="1"/>
                <w:szCs w:val="1"/>
                <w:color w:val="auto"/>
              </w:rPr>
            </w:pPr>
          </w:p>
        </w:tc>
      </w:tr>
    </w:tbl>
    <w:p>
      <w:pPr>
        <w:ind w:left="300" w:hanging="292"/>
        <w:spacing w:after="0" w:line="237" w:lineRule="auto"/>
        <w:tabs>
          <w:tab w:leader="none" w:pos="300" w:val="left"/>
        </w:tabs>
        <w:numPr>
          <w:ilvl w:val="0"/>
          <w:numId w:val="48"/>
        </w:numPr>
        <w:rPr>
          <w:rFonts w:ascii="Calibri" w:cs="Calibri" w:eastAsia="Calibri" w:hAnsi="Calibri"/>
          <w:sz w:val="14"/>
          <w:szCs w:val="14"/>
          <w:color w:val="auto"/>
        </w:rPr>
      </w:pPr>
      <w:r>
        <w:rPr>
          <w:rFonts w:ascii="Arial" w:cs="Arial" w:eastAsia="Arial" w:hAnsi="Arial"/>
          <w:sz w:val="14"/>
          <w:szCs w:val="14"/>
          <w:color w:val="auto"/>
        </w:rPr>
        <w:t>Such amounts do not include a $700,000 benefit for each NEO paid by the Company's life insurance policy upon death and do not include short- and long-term disability payments for the first year and long-term disability payments for the second year paid by disability insurance policies.</w:t>
      </w:r>
    </w:p>
    <w:p>
      <w:pPr>
        <w:spacing w:after="0" w:line="1" w:lineRule="exact"/>
        <w:rPr>
          <w:rFonts w:ascii="Calibri" w:cs="Calibri" w:eastAsia="Calibri" w:hAnsi="Calibri"/>
          <w:sz w:val="14"/>
          <w:szCs w:val="14"/>
          <w:color w:val="auto"/>
        </w:rPr>
      </w:pPr>
    </w:p>
    <w:p>
      <w:pPr>
        <w:jc w:val="both"/>
        <w:ind w:left="300" w:right="20" w:hanging="292"/>
        <w:spacing w:after="0" w:line="236" w:lineRule="auto"/>
        <w:tabs>
          <w:tab w:leader="none" w:pos="300" w:val="left"/>
        </w:tabs>
        <w:numPr>
          <w:ilvl w:val="0"/>
          <w:numId w:val="48"/>
        </w:numPr>
        <w:rPr>
          <w:rFonts w:ascii="Calibri" w:cs="Calibri" w:eastAsia="Calibri" w:hAnsi="Calibri"/>
          <w:sz w:val="14"/>
          <w:szCs w:val="14"/>
          <w:color w:val="auto"/>
        </w:rPr>
      </w:pPr>
      <w:r>
        <w:rPr>
          <w:rFonts w:ascii="Arial" w:cs="Arial" w:eastAsia="Arial" w:hAnsi="Arial"/>
          <w:sz w:val="14"/>
          <w:szCs w:val="14"/>
          <w:color w:val="auto"/>
        </w:rPr>
        <w:t>Reflects the estimate of the payments and benefits that each NEO would receive assuming the NEO's employment was terminated without "cause" (and for Mr. Yu and Dr. Lu if he terminated his employment with “good reason”) on December 31, 2025. These disclosed amounts are estimates only and do not necessarily reflect the actual amounts that would be paid to the NEOs, which would only be known at the time they become eligible for such payments.</w:t>
      </w:r>
    </w:p>
    <w:p>
      <w:pPr>
        <w:spacing w:after="0" w:line="1" w:lineRule="exact"/>
        <w:rPr>
          <w:rFonts w:ascii="Calibri" w:cs="Calibri" w:eastAsia="Calibri" w:hAnsi="Calibri"/>
          <w:sz w:val="14"/>
          <w:szCs w:val="14"/>
          <w:color w:val="auto"/>
        </w:rPr>
      </w:pPr>
    </w:p>
    <w:p>
      <w:pPr>
        <w:ind w:left="300" w:hanging="292"/>
        <w:spacing w:after="0"/>
        <w:tabs>
          <w:tab w:leader="none" w:pos="300" w:val="left"/>
        </w:tabs>
        <w:numPr>
          <w:ilvl w:val="0"/>
          <w:numId w:val="48"/>
        </w:numPr>
        <w:rPr>
          <w:rFonts w:ascii="Calibri" w:cs="Calibri" w:eastAsia="Calibri" w:hAnsi="Calibri"/>
          <w:sz w:val="14"/>
          <w:szCs w:val="14"/>
          <w:color w:val="auto"/>
        </w:rPr>
      </w:pPr>
      <w:r>
        <w:rPr>
          <w:rFonts w:ascii="Arial" w:cs="Arial" w:eastAsia="Arial" w:hAnsi="Arial"/>
          <w:sz w:val="14"/>
          <w:szCs w:val="14"/>
          <w:color w:val="auto"/>
        </w:rPr>
        <w:t>Represents the value of the continued vesting of shares underlying RSUs and PSUs upon a death or disability on December 31, 2025.</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None of our NEOs have any outstanding stock options.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following table reflects the estimate of the payments and benefits that each NEO would receive assuming the NEO's employment was terminated without "cause" (and for Dr. Lu and Mr. Yu if they terminated their employment for good</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20"/>
          <w:szCs w:val="20"/>
          <w:color w:val="auto"/>
        </w:rPr>
        <w:t>reason) on December 31, 2025. These disclosed amounts are estimates only and do not necessarily reflect the actual amounts that would be paid to the NEOs, which would only be known at the time they become eligible for such payments.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Borders>
              <w:top w:val="single" w:sz="8" w:color="005CA9"/>
            </w:tcBorders>
          </w:tcPr>
          <w:p>
            <w:pPr>
              <w:spacing w:after="0"/>
              <w:rPr>
                <w:sz w:val="16"/>
                <w:szCs w:val="16"/>
                <w:color w:val="auto"/>
              </w:rPr>
            </w:pPr>
          </w:p>
        </w:tc>
        <w:tc>
          <w:tcPr>
            <w:tcW w:w="2200" w:type="dxa"/>
            <w:vAlign w:val="bottom"/>
            <w:tcBorders>
              <w:top w:val="single" w:sz="8" w:color="005CA9"/>
            </w:tcBorders>
          </w:tcPr>
          <w:p>
            <w:pPr>
              <w:jc w:val="center"/>
              <w:spacing w:after="0"/>
              <w:rPr>
                <w:sz w:val="20"/>
                <w:szCs w:val="20"/>
                <w:color w:val="auto"/>
              </w:rPr>
            </w:pPr>
            <w:r>
              <w:rPr>
                <w:rFonts w:ascii="Arial" w:cs="Arial" w:eastAsia="Arial" w:hAnsi="Arial"/>
                <w:sz w:val="16"/>
                <w:szCs w:val="16"/>
                <w:b w:val="1"/>
                <w:bCs w:val="1"/>
                <w:color w:val="auto"/>
              </w:rPr>
              <w:t>Base</w:t>
            </w:r>
          </w:p>
        </w:tc>
        <w:tc>
          <w:tcPr>
            <w:tcW w:w="1560" w:type="dxa"/>
            <w:vAlign w:val="bottom"/>
            <w:tcBorders>
              <w:top w:val="single" w:sz="8" w:color="005CA9"/>
            </w:tcBorders>
          </w:tcPr>
          <w:p>
            <w:pPr>
              <w:spacing w:after="0"/>
              <w:rPr>
                <w:sz w:val="16"/>
                <w:szCs w:val="16"/>
                <w:color w:val="auto"/>
              </w:rPr>
            </w:pPr>
          </w:p>
        </w:tc>
        <w:tc>
          <w:tcPr>
            <w:tcW w:w="1700" w:type="dxa"/>
            <w:vAlign w:val="bottom"/>
            <w:tcBorders>
              <w:top w:val="single" w:sz="8" w:color="005CA9"/>
            </w:tcBorders>
          </w:tcPr>
          <w:p>
            <w:pPr>
              <w:jc w:val="center"/>
              <w:ind w:right="279"/>
              <w:spacing w:after="0"/>
              <w:rPr>
                <w:sz w:val="20"/>
                <w:szCs w:val="20"/>
                <w:color w:val="auto"/>
              </w:rPr>
            </w:pPr>
            <w:r>
              <w:rPr>
                <w:rFonts w:ascii="Arial" w:cs="Arial" w:eastAsia="Arial" w:hAnsi="Arial"/>
                <w:sz w:val="16"/>
                <w:szCs w:val="16"/>
                <w:b w:val="1"/>
                <w:bCs w:val="1"/>
                <w:color w:val="auto"/>
              </w:rPr>
              <w:t>Paid</w:t>
            </w:r>
          </w:p>
        </w:tc>
        <w:tc>
          <w:tcPr>
            <w:tcW w:w="1600" w:type="dxa"/>
            <w:vAlign w:val="bottom"/>
            <w:tcBorders>
              <w:top w:val="single" w:sz="8" w:color="005CA9"/>
            </w:tcBorders>
          </w:tcPr>
          <w:p>
            <w:pPr>
              <w:jc w:val="center"/>
              <w:ind w:right="339"/>
              <w:spacing w:after="0"/>
              <w:rPr>
                <w:sz w:val="20"/>
                <w:szCs w:val="20"/>
                <w:color w:val="auto"/>
              </w:rPr>
            </w:pPr>
            <w:r>
              <w:rPr>
                <w:rFonts w:ascii="Arial" w:cs="Arial" w:eastAsia="Arial" w:hAnsi="Arial"/>
                <w:sz w:val="16"/>
                <w:szCs w:val="16"/>
                <w:b w:val="1"/>
                <w:bCs w:val="1"/>
                <w:color w:val="auto"/>
                <w:w w:val="98"/>
              </w:rPr>
              <w:t>Medical</w:t>
            </w:r>
          </w:p>
        </w:tc>
        <w:tc>
          <w:tcPr>
            <w:tcW w:w="1500" w:type="dxa"/>
            <w:vAlign w:val="bottom"/>
            <w:tcBorders>
              <w:top w:val="single" w:sz="8" w:color="005CA9"/>
            </w:tcBorders>
          </w:tcPr>
          <w:p>
            <w:pPr>
              <w:spacing w:after="0"/>
              <w:rPr>
                <w:sz w:val="16"/>
                <w:szCs w:val="16"/>
                <w:color w:val="auto"/>
              </w:rPr>
            </w:pPr>
          </w:p>
        </w:tc>
      </w:tr>
      <w:tr>
        <w:trPr>
          <w:trHeight w:val="189"/>
        </w:trPr>
        <w:tc>
          <w:tcPr>
            <w:tcW w:w="26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9"/>
              </w:rPr>
              <w:t>Salary</w:t>
            </w:r>
          </w:p>
        </w:tc>
        <w:tc>
          <w:tcPr>
            <w:tcW w:w="1560" w:type="dxa"/>
            <w:vAlign w:val="bottom"/>
          </w:tcPr>
          <w:p>
            <w:pPr>
              <w:jc w:val="right"/>
              <w:ind w:right="659"/>
              <w:spacing w:after="0"/>
              <w:rPr>
                <w:sz w:val="20"/>
                <w:szCs w:val="20"/>
                <w:color w:val="auto"/>
              </w:rPr>
            </w:pPr>
            <w:r>
              <w:rPr>
                <w:rFonts w:ascii="Arial" w:cs="Arial" w:eastAsia="Arial" w:hAnsi="Arial"/>
                <w:sz w:val="16"/>
                <w:szCs w:val="16"/>
                <w:b w:val="1"/>
                <w:bCs w:val="1"/>
                <w:color w:val="auto"/>
              </w:rPr>
              <w:t>Bonus</w:t>
            </w:r>
          </w:p>
        </w:tc>
        <w:tc>
          <w:tcPr>
            <w:tcW w:w="1700" w:type="dxa"/>
            <w:vAlign w:val="bottom"/>
          </w:tcPr>
          <w:p>
            <w:pPr>
              <w:jc w:val="center"/>
              <w:ind w:right="259"/>
              <w:spacing w:after="0"/>
              <w:rPr>
                <w:sz w:val="20"/>
                <w:szCs w:val="20"/>
                <w:color w:val="auto"/>
              </w:rPr>
            </w:pPr>
            <w:r>
              <w:rPr>
                <w:rFonts w:ascii="Arial" w:cs="Arial" w:eastAsia="Arial" w:hAnsi="Arial"/>
                <w:sz w:val="16"/>
                <w:szCs w:val="16"/>
                <w:b w:val="1"/>
                <w:bCs w:val="1"/>
                <w:color w:val="auto"/>
              </w:rPr>
              <w:t>Vacation</w:t>
            </w:r>
          </w:p>
        </w:tc>
        <w:tc>
          <w:tcPr>
            <w:tcW w:w="1600" w:type="dxa"/>
            <w:vAlign w:val="bottom"/>
          </w:tcPr>
          <w:p>
            <w:pPr>
              <w:jc w:val="center"/>
              <w:ind w:right="359"/>
              <w:spacing w:after="0"/>
              <w:rPr>
                <w:sz w:val="20"/>
                <w:szCs w:val="20"/>
                <w:color w:val="auto"/>
              </w:rPr>
            </w:pPr>
            <w:r>
              <w:rPr>
                <w:rFonts w:ascii="Arial" w:cs="Arial" w:eastAsia="Arial" w:hAnsi="Arial"/>
                <w:sz w:val="16"/>
                <w:szCs w:val="16"/>
                <w:b w:val="1"/>
                <w:bCs w:val="1"/>
                <w:color w:val="auto"/>
              </w:rPr>
              <w:t>Benefits</w:t>
            </w:r>
          </w:p>
        </w:tc>
        <w:tc>
          <w:tcPr>
            <w:tcW w:w="1500" w:type="dxa"/>
            <w:vAlign w:val="bottom"/>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9"/>
        </w:trPr>
        <w:tc>
          <w:tcPr>
            <w:tcW w:w="268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center"/>
              <w:ind w:right="259"/>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center"/>
              <w:ind w:right="339"/>
              <w:spacing w:after="0"/>
              <w:rPr>
                <w:sz w:val="20"/>
                <w:szCs w:val="20"/>
                <w:color w:val="auto"/>
              </w:rPr>
            </w:pPr>
            <w:r>
              <w:rPr>
                <w:rFonts w:ascii="Arial" w:cs="Arial" w:eastAsia="Arial" w:hAnsi="Arial"/>
                <w:sz w:val="16"/>
                <w:szCs w:val="16"/>
                <w:b w:val="1"/>
                <w:bCs w:val="1"/>
                <w:color w:val="auto"/>
                <w:w w:val="91"/>
              </w:rPr>
              <w:t>($)</w:t>
            </w:r>
          </w:p>
        </w:tc>
        <w:tc>
          <w:tcPr>
            <w:tcW w:w="150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24"/>
        </w:trPr>
        <w:tc>
          <w:tcPr>
            <w:tcW w:w="2680" w:type="dxa"/>
            <w:vAlign w:val="bottom"/>
            <w:tcBorders>
              <w:bottom w:val="single" w:sz="8" w:color="005CA9"/>
            </w:tcBorders>
          </w:tcPr>
          <w:p>
            <w:pPr>
              <w:spacing w:after="0"/>
              <w:rPr>
                <w:sz w:val="20"/>
                <w:szCs w:val="20"/>
                <w:color w:val="auto"/>
              </w:rPr>
            </w:pPr>
            <w:r>
              <w:rPr>
                <w:rFonts w:ascii="Arial" w:cs="Arial" w:eastAsia="Arial" w:hAnsi="Arial"/>
                <w:sz w:val="16"/>
                <w:szCs w:val="16"/>
                <w:b w:val="1"/>
                <w:bCs w:val="1"/>
                <w:color w:val="auto"/>
              </w:rPr>
              <w:t>(a)</w:t>
            </w:r>
          </w:p>
        </w:tc>
        <w:tc>
          <w:tcPr>
            <w:tcW w:w="2200" w:type="dxa"/>
            <w:vAlign w:val="bottom"/>
            <w:tcBorders>
              <w:bottom w:val="single" w:sz="8" w:color="005CA9"/>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1560" w:type="dxa"/>
            <w:vAlign w:val="bottom"/>
            <w:tcBorders>
              <w:bottom w:val="single" w:sz="8" w:color="005CA9"/>
            </w:tcBorders>
          </w:tcPr>
          <w:p>
            <w:pPr>
              <w:jc w:val="right"/>
              <w:ind w:right="819"/>
              <w:spacing w:after="0"/>
              <w:rPr>
                <w:sz w:val="20"/>
                <w:szCs w:val="20"/>
                <w:color w:val="auto"/>
              </w:rPr>
            </w:pPr>
            <w:r>
              <w:rPr>
                <w:rFonts w:ascii="Arial" w:cs="Arial" w:eastAsia="Arial" w:hAnsi="Arial"/>
                <w:sz w:val="16"/>
                <w:szCs w:val="16"/>
                <w:b w:val="1"/>
                <w:bCs w:val="1"/>
                <w:color w:val="auto"/>
              </w:rPr>
              <w:t>(c)</w:t>
            </w:r>
          </w:p>
        </w:tc>
        <w:tc>
          <w:tcPr>
            <w:tcW w:w="1700" w:type="dxa"/>
            <w:vAlign w:val="bottom"/>
            <w:tcBorders>
              <w:bottom w:val="single" w:sz="8" w:color="005CA9"/>
            </w:tcBorders>
          </w:tcPr>
          <w:p>
            <w:pPr>
              <w:jc w:val="center"/>
              <w:ind w:right="259"/>
              <w:spacing w:after="0"/>
              <w:rPr>
                <w:sz w:val="20"/>
                <w:szCs w:val="20"/>
                <w:color w:val="auto"/>
              </w:rPr>
            </w:pPr>
            <w:r>
              <w:rPr>
                <w:rFonts w:ascii="Arial" w:cs="Arial" w:eastAsia="Arial" w:hAnsi="Arial"/>
                <w:sz w:val="16"/>
                <w:szCs w:val="16"/>
                <w:b w:val="1"/>
                <w:bCs w:val="1"/>
                <w:color w:val="auto"/>
                <w:w w:val="97"/>
              </w:rPr>
              <w:t>(d)</w:t>
            </w:r>
          </w:p>
        </w:tc>
        <w:tc>
          <w:tcPr>
            <w:tcW w:w="1600" w:type="dxa"/>
            <w:vAlign w:val="bottom"/>
            <w:tcBorders>
              <w:bottom w:val="single" w:sz="8" w:color="005CA9"/>
            </w:tcBorders>
          </w:tcPr>
          <w:p>
            <w:pPr>
              <w:jc w:val="center"/>
              <w:ind w:right="339"/>
              <w:spacing w:after="0"/>
              <w:rPr>
                <w:sz w:val="20"/>
                <w:szCs w:val="20"/>
                <w:color w:val="auto"/>
              </w:rPr>
            </w:pPr>
            <w:r>
              <w:rPr>
                <w:rFonts w:ascii="Arial" w:cs="Arial" w:eastAsia="Arial" w:hAnsi="Arial"/>
                <w:sz w:val="16"/>
                <w:szCs w:val="16"/>
                <w:b w:val="1"/>
                <w:bCs w:val="1"/>
                <w:color w:val="auto"/>
                <w:w w:val="91"/>
              </w:rPr>
              <w:t>(e)</w:t>
            </w:r>
          </w:p>
        </w:tc>
        <w:tc>
          <w:tcPr>
            <w:tcW w:w="1500" w:type="dxa"/>
            <w:vAlign w:val="bottom"/>
            <w:tcBorders>
              <w:bottom w:val="single" w:sz="8" w:color="005CA9"/>
            </w:tcBorders>
          </w:tcPr>
          <w:p>
            <w:pPr>
              <w:jc w:val="right"/>
              <w:ind w:right="699"/>
              <w:spacing w:after="0"/>
              <w:rPr>
                <w:sz w:val="20"/>
                <w:szCs w:val="20"/>
                <w:color w:val="auto"/>
              </w:rPr>
            </w:pPr>
            <w:r>
              <w:rPr>
                <w:rFonts w:ascii="Arial" w:cs="Arial" w:eastAsia="Arial" w:hAnsi="Arial"/>
                <w:sz w:val="16"/>
                <w:szCs w:val="16"/>
                <w:b w:val="1"/>
                <w:bCs w:val="1"/>
                <w:color w:val="auto"/>
              </w:rPr>
              <w:t>(h)</w:t>
            </w:r>
          </w:p>
        </w:tc>
      </w:tr>
      <w:tr>
        <w:trPr>
          <w:trHeight w:val="189"/>
        </w:trPr>
        <w:tc>
          <w:tcPr>
            <w:tcW w:w="2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Dr. Keh-Shew Lu</w:t>
            </w:r>
          </w:p>
        </w:tc>
        <w:tc>
          <w:tcPr>
            <w:tcW w:w="22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100,000</w:t>
            </w:r>
          </w:p>
        </w:tc>
        <w:tc>
          <w:tcPr>
            <w:tcW w:w="15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348,076</w:t>
            </w:r>
          </w:p>
        </w:tc>
        <w:tc>
          <w:tcPr>
            <w:tcW w:w="17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9,615</w:t>
            </w:r>
          </w:p>
        </w:tc>
        <w:tc>
          <w:tcPr>
            <w:tcW w:w="1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32,649</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490,341</w:t>
            </w:r>
          </w:p>
        </w:tc>
      </w:tr>
      <w:tr>
        <w:trPr>
          <w:trHeight w:val="189"/>
        </w:trPr>
        <w:tc>
          <w:tcPr>
            <w:tcW w:w="2680" w:type="dxa"/>
            <w:vAlign w:val="bottom"/>
          </w:tcPr>
          <w:p>
            <w:pPr>
              <w:spacing w:after="0"/>
              <w:rPr>
                <w:sz w:val="20"/>
                <w:szCs w:val="20"/>
                <w:color w:val="auto"/>
              </w:rPr>
            </w:pPr>
            <w:r>
              <w:rPr>
                <w:rFonts w:ascii="Arial" w:cs="Arial" w:eastAsia="Arial" w:hAnsi="Arial"/>
                <w:sz w:val="16"/>
                <w:szCs w:val="16"/>
                <w:b w:val="1"/>
                <w:bCs w:val="1"/>
                <w:color w:val="auto"/>
              </w:rPr>
              <w:t>Gary Yu</w:t>
            </w:r>
          </w:p>
        </w:tc>
        <w:tc>
          <w:tcPr>
            <w:tcW w:w="2200" w:type="dxa"/>
            <w:vAlign w:val="bottom"/>
          </w:tcPr>
          <w:p>
            <w:pPr>
              <w:jc w:val="right"/>
              <w:ind w:right="259"/>
              <w:spacing w:after="0"/>
              <w:rPr>
                <w:sz w:val="20"/>
                <w:szCs w:val="20"/>
                <w:color w:val="auto"/>
              </w:rPr>
            </w:pPr>
            <w:r>
              <w:rPr>
                <w:rFonts w:ascii="Arial" w:cs="Arial" w:eastAsia="Arial" w:hAnsi="Arial"/>
                <w:sz w:val="16"/>
                <w:szCs w:val="16"/>
                <w:color w:val="auto"/>
              </w:rPr>
              <w:t>740,000</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878,359</w:t>
            </w:r>
          </w:p>
        </w:tc>
        <w:tc>
          <w:tcPr>
            <w:tcW w:w="1700" w:type="dxa"/>
            <w:vAlign w:val="bottom"/>
          </w:tcPr>
          <w:p>
            <w:pPr>
              <w:jc w:val="right"/>
              <w:ind w:right="179"/>
              <w:spacing w:after="0"/>
              <w:rPr>
                <w:sz w:val="20"/>
                <w:szCs w:val="20"/>
                <w:color w:val="auto"/>
              </w:rPr>
            </w:pPr>
            <w:r>
              <w:rPr>
                <w:rFonts w:ascii="Arial" w:cs="Arial" w:eastAsia="Arial" w:hAnsi="Arial"/>
                <w:sz w:val="16"/>
                <w:szCs w:val="16"/>
                <w:color w:val="auto"/>
              </w:rPr>
              <w:t>71,154</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1,689,513</w:t>
            </w:r>
          </w:p>
        </w:tc>
      </w:tr>
      <w:tr>
        <w:trPr>
          <w:trHeight w:val="189"/>
        </w:trPr>
        <w:tc>
          <w:tcPr>
            <w:tcW w:w="2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Brett R. Whitmire</w:t>
            </w:r>
          </w:p>
        </w:tc>
        <w:tc>
          <w:tcPr>
            <w:tcW w:w="22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242,613</w:t>
            </w:r>
          </w:p>
        </w:tc>
        <w:tc>
          <w:tcPr>
            <w:tcW w:w="17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28,269</w:t>
            </w:r>
          </w:p>
        </w:tc>
        <w:tc>
          <w:tcPr>
            <w:tcW w:w="1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270,882</w:t>
            </w:r>
          </w:p>
        </w:tc>
      </w:tr>
      <w:tr>
        <w:trPr>
          <w:trHeight w:val="189"/>
        </w:trPr>
        <w:tc>
          <w:tcPr>
            <w:tcW w:w="2680" w:type="dxa"/>
            <w:vAlign w:val="bottom"/>
          </w:tcPr>
          <w:p>
            <w:pPr>
              <w:spacing w:after="0"/>
              <w:rPr>
                <w:sz w:val="20"/>
                <w:szCs w:val="20"/>
                <w:color w:val="auto"/>
              </w:rPr>
            </w:pPr>
            <w:r>
              <w:rPr>
                <w:rFonts w:ascii="Arial" w:cs="Arial" w:eastAsia="Arial" w:hAnsi="Arial"/>
                <w:sz w:val="16"/>
                <w:szCs w:val="16"/>
                <w:b w:val="1"/>
                <w:bCs w:val="1"/>
                <w:color w:val="auto"/>
              </w:rPr>
              <w:t>Francis Tang</w:t>
            </w:r>
          </w:p>
        </w:tc>
        <w:tc>
          <w:tcPr>
            <w:tcW w:w="2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284,204</w:t>
            </w:r>
          </w:p>
        </w:tc>
        <w:tc>
          <w:tcPr>
            <w:tcW w:w="1700" w:type="dxa"/>
            <w:vAlign w:val="bottom"/>
          </w:tcPr>
          <w:p>
            <w:pPr>
              <w:jc w:val="right"/>
              <w:ind w:right="179"/>
              <w:spacing w:after="0"/>
              <w:rPr>
                <w:sz w:val="20"/>
                <w:szCs w:val="20"/>
                <w:color w:val="auto"/>
              </w:rPr>
            </w:pPr>
            <w:r>
              <w:rPr>
                <w:rFonts w:ascii="Arial" w:cs="Arial" w:eastAsia="Arial" w:hAnsi="Arial"/>
                <w:sz w:val="16"/>
                <w:szCs w:val="16"/>
                <w:color w:val="auto"/>
              </w:rPr>
              <w:t>39,423</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323,627</w:t>
            </w:r>
          </w:p>
        </w:tc>
      </w:tr>
      <w:tr>
        <w:trPr>
          <w:trHeight w:val="189"/>
        </w:trPr>
        <w:tc>
          <w:tcPr>
            <w:tcW w:w="2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Andy (Kuo-Ting) Tsong</w:t>
            </w:r>
          </w:p>
        </w:tc>
        <w:tc>
          <w:tcPr>
            <w:tcW w:w="22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242,613</w:t>
            </w:r>
          </w:p>
        </w:tc>
        <w:tc>
          <w:tcPr>
            <w:tcW w:w="17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33,654</w:t>
            </w:r>
          </w:p>
        </w:tc>
        <w:tc>
          <w:tcPr>
            <w:tcW w:w="16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276,267</w:t>
            </w:r>
          </w:p>
        </w:tc>
      </w:tr>
      <w:tr>
        <w:trPr>
          <w:trHeight w:val="189"/>
        </w:trPr>
        <w:tc>
          <w:tcPr>
            <w:tcW w:w="2680" w:type="dxa"/>
            <w:vAlign w:val="bottom"/>
          </w:tcPr>
          <w:p>
            <w:pPr>
              <w:spacing w:after="0"/>
              <w:rPr>
                <w:sz w:val="20"/>
                <w:szCs w:val="20"/>
                <w:color w:val="auto"/>
              </w:rPr>
            </w:pPr>
            <w:r>
              <w:rPr>
                <w:rFonts w:ascii="Arial" w:cs="Arial" w:eastAsia="Arial" w:hAnsi="Arial"/>
                <w:sz w:val="16"/>
                <w:szCs w:val="16"/>
                <w:b w:val="1"/>
                <w:bCs w:val="1"/>
                <w:color w:val="auto"/>
              </w:rPr>
              <w:t>Emily Yang</w:t>
            </w:r>
          </w:p>
        </w:tc>
        <w:tc>
          <w:tcPr>
            <w:tcW w:w="22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242,613</w:t>
            </w:r>
          </w:p>
        </w:tc>
        <w:tc>
          <w:tcPr>
            <w:tcW w:w="1700" w:type="dxa"/>
            <w:vAlign w:val="bottom"/>
          </w:tcPr>
          <w:p>
            <w:pPr>
              <w:jc w:val="right"/>
              <w:ind w:right="179"/>
              <w:spacing w:after="0"/>
              <w:rPr>
                <w:sz w:val="20"/>
                <w:szCs w:val="20"/>
                <w:color w:val="auto"/>
              </w:rPr>
            </w:pPr>
            <w:r>
              <w:rPr>
                <w:rFonts w:ascii="Arial" w:cs="Arial" w:eastAsia="Arial" w:hAnsi="Arial"/>
                <w:sz w:val="16"/>
                <w:szCs w:val="16"/>
                <w:color w:val="auto"/>
              </w:rPr>
              <w:t>33,654</w:t>
            </w:r>
          </w:p>
        </w:tc>
        <w:tc>
          <w:tcPr>
            <w:tcW w:w="1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276,267</w:t>
            </w:r>
          </w:p>
        </w:tc>
      </w:tr>
      <w:tr>
        <w:trPr>
          <w:trHeight w:val="189"/>
        </w:trPr>
        <w:tc>
          <w:tcPr>
            <w:tcW w:w="2680" w:type="dxa"/>
            <w:vAlign w:val="bottom"/>
            <w:tcBorders>
              <w:bottom w:val="single" w:sz="8" w:color="005CA9"/>
            </w:tcBorders>
            <w:shd w:val="clear" w:color="auto" w:fill="CFF0FC"/>
          </w:tcPr>
          <w:p>
            <w:pPr>
              <w:spacing w:after="0"/>
              <w:rPr>
                <w:sz w:val="20"/>
                <w:szCs w:val="20"/>
                <w:color w:val="auto"/>
              </w:rPr>
            </w:pPr>
            <w:r>
              <w:rPr>
                <w:rFonts w:ascii="Arial" w:cs="Arial" w:eastAsia="Arial" w:hAnsi="Arial"/>
                <w:sz w:val="16"/>
                <w:szCs w:val="16"/>
                <w:b w:val="1"/>
                <w:bCs w:val="1"/>
                <w:color w:val="auto"/>
              </w:rPr>
              <w:t>Jin Zhao</w:t>
            </w:r>
          </w:p>
        </w:tc>
        <w:tc>
          <w:tcPr>
            <w:tcW w:w="2200" w:type="dxa"/>
            <w:vAlign w:val="bottom"/>
            <w:tcBorders>
              <w:bottom w:val="single" w:sz="8" w:color="005CA9"/>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5CA9"/>
            </w:tcBorders>
            <w:shd w:val="clear" w:color="auto" w:fill="CFF0FC"/>
          </w:tcPr>
          <w:p>
            <w:pPr>
              <w:jc w:val="right"/>
              <w:ind w:right="239"/>
              <w:spacing w:after="0"/>
              <w:rPr>
                <w:sz w:val="20"/>
                <w:szCs w:val="20"/>
                <w:color w:val="auto"/>
              </w:rPr>
            </w:pPr>
            <w:r>
              <w:rPr>
                <w:rFonts w:ascii="Arial" w:cs="Arial" w:eastAsia="Arial" w:hAnsi="Arial"/>
                <w:sz w:val="16"/>
                <w:szCs w:val="16"/>
                <w:color w:val="auto"/>
              </w:rPr>
              <w:t>242,613</w:t>
            </w:r>
          </w:p>
        </w:tc>
        <w:tc>
          <w:tcPr>
            <w:tcW w:w="1700" w:type="dxa"/>
            <w:vAlign w:val="bottom"/>
            <w:tcBorders>
              <w:bottom w:val="single" w:sz="8" w:color="005CA9"/>
            </w:tcBorders>
            <w:shd w:val="clear" w:color="auto" w:fill="CFF0FC"/>
          </w:tcPr>
          <w:p>
            <w:pPr>
              <w:jc w:val="right"/>
              <w:ind w:right="179"/>
              <w:spacing w:after="0"/>
              <w:rPr>
                <w:sz w:val="20"/>
                <w:szCs w:val="20"/>
                <w:color w:val="auto"/>
              </w:rPr>
            </w:pPr>
            <w:r>
              <w:rPr>
                <w:rFonts w:ascii="Arial" w:cs="Arial" w:eastAsia="Arial" w:hAnsi="Arial"/>
                <w:sz w:val="16"/>
                <w:szCs w:val="16"/>
                <w:color w:val="auto"/>
              </w:rPr>
              <w:t>24,231</w:t>
            </w:r>
          </w:p>
        </w:tc>
        <w:tc>
          <w:tcPr>
            <w:tcW w:w="1600" w:type="dxa"/>
            <w:vAlign w:val="bottom"/>
            <w:tcBorders>
              <w:bottom w:val="single" w:sz="8" w:color="005CA9"/>
            </w:tcBorders>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005CA9"/>
            </w:tcBorders>
            <w:shd w:val="clear" w:color="auto" w:fill="CFF0FC"/>
          </w:tcPr>
          <w:p>
            <w:pPr>
              <w:jc w:val="right"/>
              <w:ind w:right="39"/>
              <w:spacing w:after="0"/>
              <w:rPr>
                <w:sz w:val="20"/>
                <w:szCs w:val="20"/>
                <w:color w:val="auto"/>
              </w:rPr>
            </w:pPr>
            <w:r>
              <w:rPr>
                <w:rFonts w:ascii="Arial" w:cs="Arial" w:eastAsia="Arial" w:hAnsi="Arial"/>
                <w:sz w:val="16"/>
                <w:szCs w:val="16"/>
                <w:color w:val="auto"/>
              </w:rPr>
              <w:t>266,844</w:t>
            </w:r>
          </w:p>
        </w:tc>
      </w:tr>
    </w:tbl>
    <w:p>
      <w:pPr>
        <w:spacing w:after="0" w:line="31" w:lineRule="exact"/>
        <w:rPr>
          <w:sz w:val="20"/>
          <w:szCs w:val="20"/>
          <w:color w:val="auto"/>
        </w:rPr>
      </w:pPr>
    </w:p>
    <w:p>
      <w:pPr>
        <w:ind w:left="300" w:hanging="292"/>
        <w:spacing w:after="0"/>
        <w:tabs>
          <w:tab w:leader="none" w:pos="300" w:val="left"/>
        </w:tabs>
        <w:numPr>
          <w:ilvl w:val="0"/>
          <w:numId w:val="49"/>
        </w:numPr>
        <w:rPr>
          <w:rFonts w:ascii="Calibri" w:cs="Calibri" w:eastAsia="Calibri" w:hAnsi="Calibri"/>
          <w:sz w:val="14"/>
          <w:szCs w:val="14"/>
          <w:color w:val="auto"/>
        </w:rPr>
      </w:pPr>
      <w:r>
        <w:rPr>
          <w:rFonts w:ascii="Arial" w:cs="Arial" w:eastAsia="Arial" w:hAnsi="Arial"/>
          <w:sz w:val="14"/>
          <w:szCs w:val="14"/>
          <w:color w:val="auto"/>
        </w:rPr>
        <w:t>For purposes of determining this amount, Dr. Lu and Mr. Yu would receive their current base salary for one-year following the termination.</w:t>
      </w:r>
    </w:p>
    <w:p>
      <w:pPr>
        <w:spacing w:after="0" w:line="19" w:lineRule="exact"/>
        <w:rPr>
          <w:rFonts w:ascii="Calibri" w:cs="Calibri" w:eastAsia="Calibri" w:hAnsi="Calibri"/>
          <w:sz w:val="14"/>
          <w:szCs w:val="14"/>
          <w:color w:val="auto"/>
        </w:rPr>
      </w:pPr>
    </w:p>
    <w:p>
      <w:pPr>
        <w:ind w:left="300" w:right="20" w:hanging="292"/>
        <w:spacing w:after="0" w:line="243" w:lineRule="auto"/>
        <w:tabs>
          <w:tab w:leader="none" w:pos="300" w:val="left"/>
        </w:tabs>
        <w:numPr>
          <w:ilvl w:val="0"/>
          <w:numId w:val="49"/>
        </w:numPr>
        <w:rPr>
          <w:rFonts w:ascii="Calibri" w:cs="Calibri" w:eastAsia="Calibri" w:hAnsi="Calibri"/>
          <w:sz w:val="14"/>
          <w:szCs w:val="14"/>
          <w:color w:val="auto"/>
        </w:rPr>
      </w:pPr>
      <w:r>
        <w:rPr>
          <w:rFonts w:ascii="Arial" w:cs="Arial" w:eastAsia="Arial" w:hAnsi="Arial"/>
          <w:sz w:val="14"/>
          <w:szCs w:val="14"/>
          <w:color w:val="auto"/>
        </w:rPr>
        <w:t>Any bonus amount would be prorated based on days employed in 2025 and calculated using actual 2024 results per the performance criteria in accordance with the Company's executive bonus plan.</w:t>
      </w:r>
    </w:p>
    <w:p>
      <w:pPr>
        <w:ind w:left="300" w:hanging="292"/>
        <w:spacing w:after="0"/>
        <w:tabs>
          <w:tab w:leader="none" w:pos="300" w:val="left"/>
        </w:tabs>
        <w:numPr>
          <w:ilvl w:val="0"/>
          <w:numId w:val="49"/>
        </w:numPr>
        <w:rPr>
          <w:rFonts w:ascii="Calibri" w:cs="Calibri" w:eastAsia="Calibri" w:hAnsi="Calibri"/>
          <w:sz w:val="14"/>
          <w:szCs w:val="14"/>
          <w:color w:val="auto"/>
        </w:rPr>
      </w:pPr>
      <w:r>
        <w:rPr>
          <w:rFonts w:ascii="Arial" w:cs="Arial" w:eastAsia="Arial" w:hAnsi="Arial"/>
          <w:sz w:val="14"/>
          <w:szCs w:val="14"/>
          <w:color w:val="auto"/>
        </w:rPr>
        <w:t>Reflects the estimated lump sum value of 18-month accrual of paid vacations.</w:t>
      </w:r>
    </w:p>
    <w:p>
      <w:pPr>
        <w:spacing w:after="0" w:line="5" w:lineRule="exact"/>
        <w:rPr>
          <w:rFonts w:ascii="Calibri" w:cs="Calibri" w:eastAsia="Calibri" w:hAnsi="Calibri"/>
          <w:sz w:val="14"/>
          <w:szCs w:val="14"/>
          <w:color w:val="auto"/>
        </w:rPr>
      </w:pPr>
    </w:p>
    <w:p>
      <w:pPr>
        <w:ind w:left="300" w:hanging="292"/>
        <w:spacing w:after="0"/>
        <w:tabs>
          <w:tab w:leader="none" w:pos="300" w:val="left"/>
        </w:tabs>
        <w:numPr>
          <w:ilvl w:val="0"/>
          <w:numId w:val="49"/>
        </w:numPr>
        <w:rPr>
          <w:rFonts w:ascii="Calibri" w:cs="Calibri" w:eastAsia="Calibri" w:hAnsi="Calibri"/>
          <w:sz w:val="14"/>
          <w:szCs w:val="14"/>
          <w:color w:val="auto"/>
        </w:rPr>
      </w:pPr>
      <w:r>
        <w:rPr>
          <w:rFonts w:ascii="Arial" w:cs="Arial" w:eastAsia="Arial" w:hAnsi="Arial"/>
          <w:sz w:val="14"/>
          <w:szCs w:val="14"/>
          <w:color w:val="auto"/>
        </w:rPr>
        <w:t>Reflects the estimated lump sum value of premiums to be paid on behalf of the executive under the medical benefit plans for 18 months for Dr. Lu.</w:t>
      </w:r>
    </w:p>
    <w:p>
      <w:pPr>
        <w:spacing w:after="0" w:line="18" w:lineRule="exact"/>
        <w:rPr>
          <w:rFonts w:ascii="Calibri" w:cs="Calibri" w:eastAsia="Calibri" w:hAnsi="Calibri"/>
          <w:sz w:val="14"/>
          <w:szCs w:val="14"/>
          <w:color w:val="auto"/>
        </w:rPr>
      </w:pPr>
    </w:p>
    <w:p>
      <w:pPr>
        <w:ind w:left="300" w:hanging="292"/>
        <w:spacing w:after="0" w:line="268" w:lineRule="auto"/>
        <w:tabs>
          <w:tab w:leader="none" w:pos="300" w:val="left"/>
        </w:tabs>
        <w:numPr>
          <w:ilvl w:val="0"/>
          <w:numId w:val="49"/>
        </w:numPr>
        <w:rPr>
          <w:rFonts w:ascii="Calibri" w:cs="Calibri" w:eastAsia="Calibri" w:hAnsi="Calibri"/>
          <w:sz w:val="14"/>
          <w:szCs w:val="14"/>
          <w:color w:val="auto"/>
        </w:rPr>
      </w:pPr>
      <w:r>
        <w:rPr>
          <w:rFonts w:ascii="Arial" w:cs="Arial" w:eastAsia="Arial" w:hAnsi="Arial"/>
          <w:sz w:val="14"/>
          <w:szCs w:val="14"/>
          <w:color w:val="auto"/>
        </w:rPr>
        <w:t>In the event of termination without cause, the Company does not continue to provide benefits under the life, disability, and accidental death and dismemberment insurance plans.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20"/>
          <w:szCs w:val="20"/>
          <w:color w:val="auto"/>
        </w:rPr>
        <w:t>The table below details the number of RSUs and PSUs, currently unvested, that would vest upon a change in control:</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Borders>
              <w:top w:val="single" w:sz="8" w:color="005CA9"/>
            </w:tcBorders>
          </w:tcPr>
          <w:p>
            <w:pPr>
              <w:spacing w:after="0"/>
              <w:rPr>
                <w:sz w:val="16"/>
                <w:szCs w:val="16"/>
                <w:color w:val="auto"/>
              </w:rPr>
            </w:pPr>
          </w:p>
        </w:tc>
        <w:tc>
          <w:tcPr>
            <w:tcW w:w="2400" w:type="dxa"/>
            <w:vAlign w:val="bottom"/>
            <w:tcBorders>
              <w:top w:val="single" w:sz="8" w:color="005CA9"/>
            </w:tcBorders>
          </w:tcPr>
          <w:p>
            <w:pPr>
              <w:jc w:val="center"/>
              <w:ind w:left="1619"/>
              <w:spacing w:after="0"/>
              <w:rPr>
                <w:sz w:val="20"/>
                <w:szCs w:val="20"/>
                <w:color w:val="auto"/>
              </w:rPr>
            </w:pPr>
            <w:r>
              <w:rPr>
                <w:rFonts w:ascii="Arial" w:cs="Arial" w:eastAsia="Arial" w:hAnsi="Arial"/>
                <w:sz w:val="16"/>
                <w:szCs w:val="16"/>
                <w:b w:val="1"/>
                <w:bCs w:val="1"/>
                <w:color w:val="auto"/>
                <w:w w:val="98"/>
              </w:rPr>
              <w:t>RSUs</w:t>
            </w:r>
          </w:p>
        </w:tc>
        <w:tc>
          <w:tcPr>
            <w:tcW w:w="2180" w:type="dxa"/>
            <w:vAlign w:val="bottom"/>
            <w:tcBorders>
              <w:top w:val="single" w:sz="8" w:color="005CA9"/>
            </w:tcBorders>
          </w:tcPr>
          <w:p>
            <w:pPr>
              <w:jc w:val="right"/>
              <w:ind w:right="59"/>
              <w:spacing w:after="0"/>
              <w:rPr>
                <w:sz w:val="20"/>
                <w:szCs w:val="20"/>
                <w:color w:val="auto"/>
              </w:rPr>
            </w:pPr>
            <w:r>
              <w:rPr>
                <w:rFonts w:ascii="Arial" w:cs="Arial" w:eastAsia="Arial" w:hAnsi="Arial"/>
                <w:sz w:val="16"/>
                <w:szCs w:val="16"/>
                <w:b w:val="1"/>
                <w:bCs w:val="1"/>
                <w:color w:val="auto"/>
              </w:rPr>
              <w:t>PSU</w:t>
            </w:r>
          </w:p>
        </w:tc>
        <w:tc>
          <w:tcPr>
            <w:tcW w:w="1180" w:type="dxa"/>
            <w:vAlign w:val="bottom"/>
            <w:tcBorders>
              <w:top w:val="single" w:sz="8" w:color="005CA9"/>
            </w:tcBorders>
          </w:tcPr>
          <w:p>
            <w:pPr>
              <w:spacing w:after="0"/>
              <w:rPr>
                <w:sz w:val="16"/>
                <w:szCs w:val="16"/>
                <w:color w:val="auto"/>
              </w:rPr>
            </w:pPr>
          </w:p>
        </w:tc>
        <w:tc>
          <w:tcPr>
            <w:tcW w:w="1820" w:type="dxa"/>
            <w:vAlign w:val="bottom"/>
            <w:tcBorders>
              <w:top w:val="single" w:sz="8" w:color="005CA9"/>
            </w:tcBorders>
          </w:tcPr>
          <w:p>
            <w:pPr>
              <w:jc w:val="right"/>
              <w:ind w:right="819"/>
              <w:spacing w:after="0"/>
              <w:rPr>
                <w:sz w:val="20"/>
                <w:szCs w:val="20"/>
                <w:color w:val="auto"/>
              </w:rPr>
            </w:pPr>
            <w:r>
              <w:rPr>
                <w:rFonts w:ascii="Arial" w:cs="Arial" w:eastAsia="Arial" w:hAnsi="Arial"/>
                <w:sz w:val="16"/>
                <w:szCs w:val="16"/>
                <w:b w:val="1"/>
                <w:bCs w:val="1"/>
                <w:color w:val="auto"/>
              </w:rPr>
              <w:t>Total</w:t>
            </w:r>
          </w:p>
        </w:tc>
      </w:tr>
      <w:tr>
        <w:trPr>
          <w:trHeight w:val="224"/>
        </w:trPr>
        <w:tc>
          <w:tcPr>
            <w:tcW w:w="3660" w:type="dxa"/>
            <w:vAlign w:val="bottom"/>
            <w:tcBorders>
              <w:bottom w:val="single" w:sz="8" w:color="005CA9"/>
            </w:tcBorders>
          </w:tcPr>
          <w:p>
            <w:pPr>
              <w:spacing w:after="0"/>
              <w:rPr>
                <w:sz w:val="20"/>
                <w:szCs w:val="20"/>
                <w:color w:val="auto"/>
              </w:rPr>
            </w:pPr>
            <w:r>
              <w:rPr>
                <w:rFonts w:ascii="Arial" w:cs="Arial" w:eastAsia="Arial" w:hAnsi="Arial"/>
                <w:sz w:val="16"/>
                <w:szCs w:val="16"/>
                <w:b w:val="1"/>
                <w:bCs w:val="1"/>
                <w:color w:val="auto"/>
              </w:rPr>
              <w:t>Name</w:t>
            </w:r>
          </w:p>
        </w:tc>
        <w:tc>
          <w:tcPr>
            <w:tcW w:w="2400" w:type="dxa"/>
            <w:vAlign w:val="bottom"/>
            <w:tcBorders>
              <w:bottom w:val="single" w:sz="8" w:color="005CA9"/>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2180" w:type="dxa"/>
            <w:vAlign w:val="bottom"/>
            <w:tcBorders>
              <w:bottom w:val="single" w:sz="8" w:color="005CA9"/>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005CA9"/>
            </w:tcBorders>
          </w:tcPr>
          <w:p>
            <w:pPr>
              <w:spacing w:after="0"/>
              <w:rPr>
                <w:sz w:val="19"/>
                <w:szCs w:val="19"/>
                <w:color w:val="auto"/>
              </w:rPr>
            </w:pPr>
          </w:p>
        </w:tc>
        <w:tc>
          <w:tcPr>
            <w:tcW w:w="1820" w:type="dxa"/>
            <w:vAlign w:val="bottom"/>
            <w:tcBorders>
              <w:bottom w:val="single" w:sz="8" w:color="005CA9"/>
            </w:tcBorders>
          </w:tcPr>
          <w:p>
            <w:pPr>
              <w:jc w:val="right"/>
              <w:ind w:right="919"/>
              <w:spacing w:after="0"/>
              <w:rPr>
                <w:sz w:val="20"/>
                <w:szCs w:val="20"/>
                <w:color w:val="auto"/>
              </w:rPr>
            </w:pPr>
            <w:r>
              <w:rPr>
                <w:rFonts w:ascii="Arial" w:cs="Arial" w:eastAsia="Arial" w:hAnsi="Arial"/>
                <w:sz w:val="16"/>
                <w:szCs w:val="16"/>
                <w:b w:val="1"/>
                <w:bCs w:val="1"/>
                <w:color w:val="auto"/>
              </w:rPr>
              <w:t>(#)</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Dr. Keh-Shew Lu</w:t>
            </w:r>
          </w:p>
        </w:tc>
        <w:tc>
          <w:tcPr>
            <w:tcW w:w="2400" w:type="dxa"/>
            <w:vAlign w:val="bottom"/>
            <w:shd w:val="clear" w:color="auto" w:fill="CFF0FC"/>
          </w:tcPr>
          <w:p>
            <w:pPr>
              <w:spacing w:after="0"/>
              <w:rPr>
                <w:sz w:val="16"/>
                <w:szCs w:val="16"/>
                <w:color w:val="auto"/>
              </w:rPr>
            </w:pPr>
          </w:p>
        </w:tc>
        <w:tc>
          <w:tcPr>
            <w:tcW w:w="2180" w:type="dxa"/>
            <w:vAlign w:val="bottom"/>
            <w:shd w:val="clear" w:color="auto" w:fill="CFF0FC"/>
          </w:tcPr>
          <w:p>
            <w:pPr>
              <w:jc w:val="right"/>
              <w:ind w:right="1479"/>
              <w:spacing w:after="0"/>
              <w:rPr>
                <w:sz w:val="20"/>
                <w:szCs w:val="20"/>
                <w:color w:val="auto"/>
              </w:rPr>
            </w:pPr>
            <w:r>
              <w:rPr>
                <w:rFonts w:ascii="Arial" w:cs="Arial" w:eastAsia="Arial" w:hAnsi="Arial"/>
                <w:sz w:val="16"/>
                <w:szCs w:val="16"/>
                <w:color w:val="auto"/>
              </w:rPr>
              <w:t>84,500</w:t>
            </w:r>
          </w:p>
        </w:tc>
        <w:tc>
          <w:tcPr>
            <w:tcW w:w="11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92,000</w:t>
            </w:r>
          </w:p>
        </w:tc>
        <w:tc>
          <w:tcPr>
            <w:tcW w:w="1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176,500</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Gary Yu</w:t>
            </w:r>
          </w:p>
        </w:tc>
        <w:tc>
          <w:tcPr>
            <w:tcW w:w="2400" w:type="dxa"/>
            <w:vAlign w:val="bottom"/>
          </w:tcPr>
          <w:p>
            <w:pPr>
              <w:spacing w:after="0"/>
              <w:rPr>
                <w:sz w:val="16"/>
                <w:szCs w:val="16"/>
                <w:color w:val="auto"/>
              </w:rPr>
            </w:pPr>
          </w:p>
        </w:tc>
        <w:tc>
          <w:tcPr>
            <w:tcW w:w="2180" w:type="dxa"/>
            <w:vAlign w:val="bottom"/>
          </w:tcPr>
          <w:p>
            <w:pPr>
              <w:jc w:val="right"/>
              <w:ind w:right="1479"/>
              <w:spacing w:after="0"/>
              <w:rPr>
                <w:sz w:val="20"/>
                <w:szCs w:val="20"/>
                <w:color w:val="auto"/>
              </w:rPr>
            </w:pPr>
            <w:r>
              <w:rPr>
                <w:rFonts w:ascii="Arial" w:cs="Arial" w:eastAsia="Arial" w:hAnsi="Arial"/>
                <w:sz w:val="16"/>
                <w:szCs w:val="16"/>
                <w:color w:val="auto"/>
              </w:rPr>
              <w:t>54,290</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57,000</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111,290</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Brett R. Whitmire</w:t>
            </w:r>
          </w:p>
        </w:tc>
        <w:tc>
          <w:tcPr>
            <w:tcW w:w="2400" w:type="dxa"/>
            <w:vAlign w:val="bottom"/>
            <w:shd w:val="clear" w:color="auto" w:fill="CFF0FC"/>
          </w:tcPr>
          <w:p>
            <w:pPr>
              <w:spacing w:after="0"/>
              <w:rPr>
                <w:sz w:val="16"/>
                <w:szCs w:val="16"/>
                <w:color w:val="auto"/>
              </w:rPr>
            </w:pPr>
          </w:p>
        </w:tc>
        <w:tc>
          <w:tcPr>
            <w:tcW w:w="2180" w:type="dxa"/>
            <w:vAlign w:val="bottom"/>
            <w:shd w:val="clear" w:color="auto" w:fill="CFF0FC"/>
          </w:tcPr>
          <w:p>
            <w:pPr>
              <w:jc w:val="right"/>
              <w:ind w:right="1479"/>
              <w:spacing w:after="0"/>
              <w:rPr>
                <w:sz w:val="20"/>
                <w:szCs w:val="20"/>
                <w:color w:val="auto"/>
              </w:rPr>
            </w:pPr>
            <w:r>
              <w:rPr>
                <w:rFonts w:ascii="Arial" w:cs="Arial" w:eastAsia="Arial" w:hAnsi="Arial"/>
                <w:sz w:val="16"/>
                <w:szCs w:val="16"/>
                <w:color w:val="auto"/>
              </w:rPr>
              <w:t>18,975</w:t>
            </w:r>
          </w:p>
        </w:tc>
        <w:tc>
          <w:tcPr>
            <w:tcW w:w="11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23,100</w:t>
            </w:r>
          </w:p>
        </w:tc>
        <w:tc>
          <w:tcPr>
            <w:tcW w:w="1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42,075</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Francis Tang</w:t>
            </w:r>
          </w:p>
        </w:tc>
        <w:tc>
          <w:tcPr>
            <w:tcW w:w="2400" w:type="dxa"/>
            <w:vAlign w:val="bottom"/>
          </w:tcPr>
          <w:p>
            <w:pPr>
              <w:spacing w:after="0"/>
              <w:rPr>
                <w:sz w:val="16"/>
                <w:szCs w:val="16"/>
                <w:color w:val="auto"/>
              </w:rPr>
            </w:pPr>
          </w:p>
        </w:tc>
        <w:tc>
          <w:tcPr>
            <w:tcW w:w="2180" w:type="dxa"/>
            <w:vAlign w:val="bottom"/>
          </w:tcPr>
          <w:p>
            <w:pPr>
              <w:jc w:val="right"/>
              <w:ind w:right="1479"/>
              <w:spacing w:after="0"/>
              <w:rPr>
                <w:sz w:val="20"/>
                <w:szCs w:val="20"/>
                <w:color w:val="auto"/>
              </w:rPr>
            </w:pPr>
            <w:r>
              <w:rPr>
                <w:rFonts w:ascii="Arial" w:cs="Arial" w:eastAsia="Arial" w:hAnsi="Arial"/>
                <w:sz w:val="16"/>
                <w:szCs w:val="16"/>
                <w:color w:val="auto"/>
              </w:rPr>
              <w:t>19,800</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24,200</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44,000</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Andy (Kuo-Ting) Tsong</w:t>
            </w:r>
          </w:p>
        </w:tc>
        <w:tc>
          <w:tcPr>
            <w:tcW w:w="2400" w:type="dxa"/>
            <w:vAlign w:val="bottom"/>
            <w:shd w:val="clear" w:color="auto" w:fill="CFF0FC"/>
          </w:tcPr>
          <w:p>
            <w:pPr>
              <w:spacing w:after="0"/>
              <w:rPr>
                <w:sz w:val="16"/>
                <w:szCs w:val="16"/>
                <w:color w:val="auto"/>
              </w:rPr>
            </w:pPr>
          </w:p>
        </w:tc>
        <w:tc>
          <w:tcPr>
            <w:tcW w:w="2180" w:type="dxa"/>
            <w:vAlign w:val="bottom"/>
            <w:shd w:val="clear" w:color="auto" w:fill="CFF0FC"/>
          </w:tcPr>
          <w:p>
            <w:pPr>
              <w:jc w:val="right"/>
              <w:ind w:right="1479"/>
              <w:spacing w:after="0"/>
              <w:rPr>
                <w:sz w:val="20"/>
                <w:szCs w:val="20"/>
                <w:color w:val="auto"/>
              </w:rPr>
            </w:pPr>
            <w:r>
              <w:rPr>
                <w:rFonts w:ascii="Arial" w:cs="Arial" w:eastAsia="Arial" w:hAnsi="Arial"/>
                <w:sz w:val="16"/>
                <w:szCs w:val="16"/>
                <w:color w:val="auto"/>
              </w:rPr>
              <w:t>18,388</w:t>
            </w:r>
          </w:p>
        </w:tc>
        <w:tc>
          <w:tcPr>
            <w:tcW w:w="11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23,100</w:t>
            </w:r>
          </w:p>
        </w:tc>
        <w:tc>
          <w:tcPr>
            <w:tcW w:w="1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41,488</w:t>
            </w:r>
          </w:p>
        </w:tc>
      </w:tr>
      <w:tr>
        <w:trPr>
          <w:trHeight w:val="189"/>
        </w:trPr>
        <w:tc>
          <w:tcPr>
            <w:tcW w:w="3660" w:type="dxa"/>
            <w:vAlign w:val="bottom"/>
          </w:tcPr>
          <w:p>
            <w:pPr>
              <w:spacing w:after="0"/>
              <w:rPr>
                <w:sz w:val="20"/>
                <w:szCs w:val="20"/>
                <w:color w:val="auto"/>
              </w:rPr>
            </w:pPr>
            <w:r>
              <w:rPr>
                <w:rFonts w:ascii="Arial" w:cs="Arial" w:eastAsia="Arial" w:hAnsi="Arial"/>
                <w:sz w:val="16"/>
                <w:szCs w:val="16"/>
                <w:b w:val="1"/>
                <w:bCs w:val="1"/>
                <w:color w:val="auto"/>
              </w:rPr>
              <w:t>Emily Yang</w:t>
            </w:r>
          </w:p>
        </w:tc>
        <w:tc>
          <w:tcPr>
            <w:tcW w:w="2400" w:type="dxa"/>
            <w:vAlign w:val="bottom"/>
          </w:tcPr>
          <w:p>
            <w:pPr>
              <w:spacing w:after="0"/>
              <w:rPr>
                <w:sz w:val="16"/>
                <w:szCs w:val="16"/>
                <w:color w:val="auto"/>
              </w:rPr>
            </w:pPr>
          </w:p>
        </w:tc>
        <w:tc>
          <w:tcPr>
            <w:tcW w:w="2180" w:type="dxa"/>
            <w:vAlign w:val="bottom"/>
          </w:tcPr>
          <w:p>
            <w:pPr>
              <w:jc w:val="right"/>
              <w:ind w:right="1479"/>
              <w:spacing w:after="0"/>
              <w:rPr>
                <w:sz w:val="20"/>
                <w:szCs w:val="20"/>
                <w:color w:val="auto"/>
              </w:rPr>
            </w:pPr>
            <w:r>
              <w:rPr>
                <w:rFonts w:ascii="Arial" w:cs="Arial" w:eastAsia="Arial" w:hAnsi="Arial"/>
                <w:sz w:val="16"/>
                <w:szCs w:val="16"/>
                <w:color w:val="auto"/>
              </w:rPr>
              <w:t>18,975</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23,100</w:t>
            </w: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42,075</w:t>
            </w:r>
          </w:p>
        </w:tc>
      </w:tr>
      <w:tr>
        <w:trPr>
          <w:trHeight w:val="189"/>
        </w:trPr>
        <w:tc>
          <w:tcPr>
            <w:tcW w:w="3660" w:type="dxa"/>
            <w:vAlign w:val="bottom"/>
            <w:tcBorders>
              <w:bottom w:val="single" w:sz="8" w:color="005CA9"/>
            </w:tcBorders>
            <w:shd w:val="clear" w:color="auto" w:fill="CFF0FC"/>
          </w:tcPr>
          <w:p>
            <w:pPr>
              <w:spacing w:after="0"/>
              <w:rPr>
                <w:sz w:val="20"/>
                <w:szCs w:val="20"/>
                <w:color w:val="auto"/>
              </w:rPr>
            </w:pPr>
            <w:r>
              <w:rPr>
                <w:rFonts w:ascii="Arial" w:cs="Arial" w:eastAsia="Arial" w:hAnsi="Arial"/>
                <w:sz w:val="16"/>
                <w:szCs w:val="16"/>
                <w:b w:val="1"/>
                <w:bCs w:val="1"/>
                <w:color w:val="auto"/>
              </w:rPr>
              <w:t>Jin Zhao</w:t>
            </w:r>
          </w:p>
        </w:tc>
        <w:tc>
          <w:tcPr>
            <w:tcW w:w="2400" w:type="dxa"/>
            <w:vAlign w:val="bottom"/>
            <w:tcBorders>
              <w:bottom w:val="single" w:sz="8" w:color="005CA9"/>
            </w:tcBorders>
            <w:shd w:val="clear" w:color="auto" w:fill="CFF0FC"/>
          </w:tcPr>
          <w:p>
            <w:pPr>
              <w:spacing w:after="0"/>
              <w:rPr>
                <w:sz w:val="16"/>
                <w:szCs w:val="16"/>
                <w:color w:val="auto"/>
              </w:rPr>
            </w:pPr>
          </w:p>
        </w:tc>
        <w:tc>
          <w:tcPr>
            <w:tcW w:w="2180" w:type="dxa"/>
            <w:vAlign w:val="bottom"/>
            <w:tcBorders>
              <w:bottom w:val="single" w:sz="8" w:color="005CA9"/>
            </w:tcBorders>
            <w:shd w:val="clear" w:color="auto" w:fill="CFF0FC"/>
          </w:tcPr>
          <w:p>
            <w:pPr>
              <w:jc w:val="right"/>
              <w:ind w:right="1479"/>
              <w:spacing w:after="0"/>
              <w:rPr>
                <w:sz w:val="20"/>
                <w:szCs w:val="20"/>
                <w:color w:val="auto"/>
              </w:rPr>
            </w:pPr>
            <w:r>
              <w:rPr>
                <w:rFonts w:ascii="Arial" w:cs="Arial" w:eastAsia="Arial" w:hAnsi="Arial"/>
                <w:sz w:val="16"/>
                <w:szCs w:val="16"/>
                <w:color w:val="auto"/>
              </w:rPr>
              <w:t>18,325</w:t>
            </w:r>
          </w:p>
        </w:tc>
        <w:tc>
          <w:tcPr>
            <w:tcW w:w="1180" w:type="dxa"/>
            <w:vAlign w:val="bottom"/>
            <w:tcBorders>
              <w:bottom w:val="single" w:sz="8" w:color="005CA9"/>
            </w:tcBorders>
            <w:shd w:val="clear" w:color="auto" w:fill="CFF0FC"/>
          </w:tcPr>
          <w:p>
            <w:pPr>
              <w:jc w:val="right"/>
              <w:ind w:right="439"/>
              <w:spacing w:after="0"/>
              <w:rPr>
                <w:sz w:val="20"/>
                <w:szCs w:val="20"/>
                <w:color w:val="auto"/>
              </w:rPr>
            </w:pPr>
            <w:r>
              <w:rPr>
                <w:rFonts w:ascii="Arial" w:cs="Arial" w:eastAsia="Arial" w:hAnsi="Arial"/>
                <w:sz w:val="16"/>
                <w:szCs w:val="16"/>
                <w:color w:val="auto"/>
              </w:rPr>
              <w:t>23,100</w:t>
            </w:r>
          </w:p>
        </w:tc>
        <w:tc>
          <w:tcPr>
            <w:tcW w:w="1820" w:type="dxa"/>
            <w:vAlign w:val="bottom"/>
            <w:tcBorders>
              <w:bottom w:val="single" w:sz="8" w:color="005CA9"/>
            </w:tcBorders>
            <w:shd w:val="clear" w:color="auto" w:fill="CFF0FC"/>
          </w:tcPr>
          <w:p>
            <w:pPr>
              <w:jc w:val="right"/>
              <w:ind w:right="59"/>
              <w:spacing w:after="0"/>
              <w:rPr>
                <w:sz w:val="20"/>
                <w:szCs w:val="20"/>
                <w:color w:val="auto"/>
              </w:rPr>
            </w:pPr>
            <w:r>
              <w:rPr>
                <w:rFonts w:ascii="Arial" w:cs="Arial" w:eastAsia="Arial" w:hAnsi="Arial"/>
                <w:sz w:val="16"/>
                <w:szCs w:val="16"/>
                <w:color w:val="auto"/>
              </w:rPr>
              <w:t>41,425</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5CA9"/>
        </w:rPr>
        <w:t>Pay versus Performance Disclosure</w:t>
      </w:r>
    </w:p>
    <w:p>
      <w:pPr>
        <w:spacing w:after="0" w:line="103"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are required by SEC rules to disclose the following information regarding compensation paid to our NEOs (including our principal executive officer (“PEO”), also referred to herein as our “CEO”) as compared to the Company's performance. The amounts set forth below under the headings “Compensation Actually Paid to PEO” and “Average Compensation Actually Paid to Non-PEO NEOs” have been calculated in a manner consistent with Item 402(v) of Regulation S-K. The following table sets forth additional compensation information of Dr. Keh-Shew Lu (“PEO 1”) and Mr. Gary Yu (“PEO 2”), both of whom served as our PEO during 2025, and our non-PEO NEOs, along with total shareholder return ("TSR"), net income, and net sales performance results for fiscal years 2021, 2022,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Pay versus Performance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Value of Initial Fixed $100</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Borders>
              <w:bottom w:val="single" w:sz="8" w:color="005CA9"/>
            </w:tcBorders>
            <w:gridSpan w:val="2"/>
          </w:tcPr>
          <w:p>
            <w:pPr>
              <w:jc w:val="right"/>
              <w:ind w:right="168"/>
              <w:spacing w:after="0"/>
              <w:rPr>
                <w:sz w:val="20"/>
                <w:szCs w:val="20"/>
                <w:color w:val="auto"/>
              </w:rPr>
            </w:pPr>
            <w:r>
              <w:rPr>
                <w:rFonts w:ascii="Arial" w:cs="Arial" w:eastAsia="Arial" w:hAnsi="Arial"/>
                <w:sz w:val="14"/>
                <w:szCs w:val="14"/>
                <w:b w:val="1"/>
                <w:bCs w:val="1"/>
                <w:color w:val="auto"/>
              </w:rPr>
              <w:t>Investment Based On:</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53"/>
        </w:trPr>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rPr>
              <w:t>Average</w:t>
            </w: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5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080" w:type="dxa"/>
            <w:vAlign w:val="bottom"/>
          </w:tcPr>
          <w:p>
            <w:pPr>
              <w:spacing w:after="0"/>
              <w:rPr>
                <w:sz w:val="14"/>
                <w:szCs w:val="14"/>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rPr>
              <w:t>Summary</w:t>
            </w:r>
          </w:p>
        </w:tc>
        <w:tc>
          <w:tcPr>
            <w:tcW w:w="108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Summary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Peer Group</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spacing w:after="0"/>
              <w:rPr>
                <w:sz w:val="14"/>
                <w:szCs w:val="14"/>
                <w:color w:val="auto"/>
              </w:rPr>
            </w:pPr>
          </w:p>
        </w:tc>
      </w:tr>
      <w:tr>
        <w:trPr>
          <w:trHeight w:val="162"/>
        </w:trPr>
        <w:tc>
          <w:tcPr>
            <w:tcW w:w="5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rPr>
              <w:t>Actually Paid</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rPr>
              <w:t>Table Total for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Table Total for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9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Shareholder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Net</w:t>
            </w:r>
          </w:p>
        </w:tc>
      </w:tr>
      <w:tr>
        <w:trPr>
          <w:trHeight w:val="144"/>
        </w:trPr>
        <w:tc>
          <w:tcPr>
            <w:tcW w:w="52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auto"/>
              </w:rPr>
              <w:t>Year</w:t>
            </w: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PEO 1</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 PEO 1</w:t>
            </w: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PEO 2</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to PEO 2</w:t>
            </w:r>
          </w:p>
        </w:tc>
        <w:tc>
          <w:tcPr>
            <w:tcW w:w="120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Non-PEO NEOs</w:t>
            </w: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Non-PEO NEOs</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Return</w:t>
            </w: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Return</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(millions)</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Sales (million</w:t>
            </w:r>
          </w:p>
        </w:tc>
      </w:tr>
      <w:tr>
        <w:trPr>
          <w:trHeight w:val="210"/>
        </w:trPr>
        <w:tc>
          <w:tcPr>
            <w:tcW w:w="520" w:type="dxa"/>
            <w:vAlign w:val="bottom"/>
            <w:tcBorders>
              <w:bottom w:val="single" w:sz="8" w:color="005CA9"/>
            </w:tcBorders>
          </w:tcPr>
          <w:p>
            <w:pPr>
              <w:jc w:val="right"/>
              <w:ind w:right="88"/>
              <w:spacing w:after="0"/>
              <w:rPr>
                <w:sz w:val="20"/>
                <w:szCs w:val="20"/>
                <w:color w:val="auto"/>
              </w:rPr>
            </w:pPr>
            <w:r>
              <w:rPr>
                <w:rFonts w:ascii="Arial" w:cs="Arial" w:eastAsia="Arial" w:hAnsi="Arial"/>
                <w:sz w:val="14"/>
                <w:szCs w:val="14"/>
                <w:b w:val="1"/>
                <w:bCs w:val="1"/>
                <w:color w:val="auto"/>
              </w:rPr>
              <w:t>(a)</w:t>
            </w:r>
          </w:p>
        </w:tc>
        <w:tc>
          <w:tcPr>
            <w:tcW w:w="122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(b) </w:t>
            </w:r>
            <w:r>
              <w:rPr>
                <w:rFonts w:ascii="Arial" w:cs="Arial" w:eastAsia="Arial" w:hAnsi="Arial"/>
                <w:sz w:val="19"/>
                <w:szCs w:val="19"/>
                <w:b w:val="1"/>
                <w:bCs w:val="1"/>
                <w:color w:val="auto"/>
                <w:w w:val="91"/>
                <w:vertAlign w:val="superscript"/>
              </w:rPr>
              <w:t>(1)</w:t>
            </w:r>
          </w:p>
        </w:tc>
        <w:tc>
          <w:tcPr>
            <w:tcW w:w="108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14"/>
                <w:szCs w:val="14"/>
                <w:b w:val="1"/>
                <w:bCs w:val="1"/>
                <w:color w:val="auto"/>
                <w:w w:val="93"/>
              </w:rPr>
              <w:t xml:space="preserve">(c) </w:t>
            </w:r>
            <w:r>
              <w:rPr>
                <w:rFonts w:ascii="Arial" w:cs="Arial" w:eastAsia="Arial" w:hAnsi="Arial"/>
                <w:sz w:val="19"/>
                <w:szCs w:val="19"/>
                <w:b w:val="1"/>
                <w:bCs w:val="1"/>
                <w:color w:val="auto"/>
                <w:w w:val="93"/>
                <w:vertAlign w:val="superscript"/>
              </w:rPr>
              <w:t>(2)</w:t>
            </w:r>
          </w:p>
        </w:tc>
        <w:tc>
          <w:tcPr>
            <w:tcW w:w="120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(b) </w:t>
            </w:r>
            <w:r>
              <w:rPr>
                <w:rFonts w:ascii="Arial" w:cs="Arial" w:eastAsia="Arial" w:hAnsi="Arial"/>
                <w:sz w:val="19"/>
                <w:szCs w:val="19"/>
                <w:b w:val="1"/>
                <w:bCs w:val="1"/>
                <w:color w:val="auto"/>
                <w:w w:val="91"/>
                <w:vertAlign w:val="superscript"/>
              </w:rPr>
              <w:t>(1)</w:t>
            </w:r>
          </w:p>
        </w:tc>
        <w:tc>
          <w:tcPr>
            <w:tcW w:w="108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14"/>
                <w:szCs w:val="14"/>
                <w:b w:val="1"/>
                <w:bCs w:val="1"/>
                <w:color w:val="auto"/>
                <w:w w:val="93"/>
              </w:rPr>
              <w:t xml:space="preserve">(c) </w:t>
            </w:r>
            <w:r>
              <w:rPr>
                <w:rFonts w:ascii="Arial" w:cs="Arial" w:eastAsia="Arial" w:hAnsi="Arial"/>
                <w:sz w:val="19"/>
                <w:szCs w:val="19"/>
                <w:b w:val="1"/>
                <w:bCs w:val="1"/>
                <w:color w:val="auto"/>
                <w:w w:val="93"/>
                <w:vertAlign w:val="superscript"/>
              </w:rPr>
              <w:t>(2)</w:t>
            </w:r>
          </w:p>
        </w:tc>
        <w:tc>
          <w:tcPr>
            <w:tcW w:w="120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(d)</w:t>
            </w:r>
          </w:p>
        </w:tc>
        <w:tc>
          <w:tcPr>
            <w:tcW w:w="118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14"/>
                <w:szCs w:val="14"/>
                <w:b w:val="1"/>
                <w:bCs w:val="1"/>
                <w:color w:val="auto"/>
                <w:w w:val="87"/>
              </w:rPr>
              <w:t xml:space="preserve">(e) </w:t>
            </w:r>
            <w:r>
              <w:rPr>
                <w:rFonts w:ascii="Arial" w:cs="Arial" w:eastAsia="Arial" w:hAnsi="Arial"/>
                <w:sz w:val="19"/>
                <w:szCs w:val="19"/>
                <w:b w:val="1"/>
                <w:bCs w:val="1"/>
                <w:color w:val="auto"/>
                <w:w w:val="87"/>
                <w:vertAlign w:val="superscript"/>
              </w:rPr>
              <w:t>(2)</w:t>
            </w:r>
          </w:p>
        </w:tc>
        <w:tc>
          <w:tcPr>
            <w:tcW w:w="102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(f)</w:t>
            </w:r>
          </w:p>
        </w:tc>
        <w:tc>
          <w:tcPr>
            <w:tcW w:w="96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(g) </w:t>
            </w:r>
            <w:r>
              <w:rPr>
                <w:rFonts w:ascii="Arial" w:cs="Arial" w:eastAsia="Arial" w:hAnsi="Arial"/>
                <w:sz w:val="19"/>
                <w:szCs w:val="19"/>
                <w:b w:val="1"/>
                <w:bCs w:val="1"/>
                <w:color w:val="auto"/>
                <w:w w:val="91"/>
                <w:vertAlign w:val="superscript"/>
              </w:rPr>
              <w:t>(3)</w:t>
            </w:r>
          </w:p>
        </w:tc>
        <w:tc>
          <w:tcPr>
            <w:tcW w:w="780" w:type="dxa"/>
            <w:vAlign w:val="bottom"/>
            <w:tcBorders>
              <w:bottom w:val="single" w:sz="8" w:color="005CA9"/>
            </w:tcBorders>
          </w:tcPr>
          <w:p>
            <w:pPr>
              <w:jc w:val="center"/>
              <w:spacing w:after="0"/>
              <w:rPr>
                <w:sz w:val="20"/>
                <w:szCs w:val="20"/>
                <w:color w:val="auto"/>
              </w:rPr>
            </w:pPr>
            <w:r>
              <w:rPr>
                <w:rFonts w:ascii="Arial" w:cs="Arial" w:eastAsia="Arial" w:hAnsi="Arial"/>
                <w:sz w:val="14"/>
                <w:szCs w:val="14"/>
                <w:b w:val="1"/>
                <w:bCs w:val="1"/>
                <w:color w:val="auto"/>
              </w:rPr>
              <w:t>(h)</w:t>
            </w:r>
          </w:p>
        </w:tc>
        <w:tc>
          <w:tcPr>
            <w:tcW w:w="1000" w:type="dxa"/>
            <w:vAlign w:val="bottom"/>
            <w:tcBorders>
              <w:bottom w:val="single" w:sz="8" w:color="005CA9"/>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s)</w:t>
            </w:r>
            <w:r>
              <w:rPr>
                <w:rFonts w:ascii="Arial" w:cs="Arial" w:eastAsia="Arial" w:hAnsi="Arial"/>
                <w:sz w:val="8"/>
                <w:szCs w:val="8"/>
                <w:b w:val="1"/>
                <w:bCs w:val="1"/>
                <w:color w:val="auto"/>
              </w:rPr>
              <w:t xml:space="preserve"> (4)</w:t>
            </w:r>
          </w:p>
        </w:tc>
      </w:tr>
      <w:tr>
        <w:trPr>
          <w:trHeight w:val="153"/>
        </w:trPr>
        <w:tc>
          <w:tcPr>
            <w:tcW w:w="5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2025</w:t>
            </w: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$3,695,596</w:t>
            </w: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$(1,041,418)</w:t>
            </w: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$4,331,731</w:t>
            </w: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$2,712,588</w:t>
            </w:r>
          </w:p>
        </w:tc>
        <w:tc>
          <w:tcPr>
            <w:tcW w:w="12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$1,567,510</w:t>
            </w: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$1,649,178</w:t>
            </w: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$70</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$130</w:t>
            </w:r>
          </w:p>
        </w:tc>
        <w:tc>
          <w:tcPr>
            <w:tcW w:w="7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$66</w:t>
            </w:r>
          </w:p>
        </w:tc>
        <w:tc>
          <w:tcPr>
            <w:tcW w:w="10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$1,482</w:t>
            </w:r>
          </w:p>
        </w:tc>
      </w:tr>
      <w:tr>
        <w:trPr>
          <w:trHeight w:val="171"/>
        </w:trPr>
        <w:tc>
          <w:tcPr>
            <w:tcW w:w="520" w:type="dxa"/>
            <w:vAlign w:val="bottom"/>
          </w:tcPr>
          <w:p>
            <w:pPr>
              <w:jc w:val="right"/>
              <w:ind w:right="108"/>
              <w:spacing w:after="0"/>
              <w:rPr>
                <w:sz w:val="20"/>
                <w:szCs w:val="20"/>
                <w:color w:val="auto"/>
              </w:rPr>
            </w:pPr>
            <w:r>
              <w:rPr>
                <w:rFonts w:ascii="Arial" w:cs="Arial" w:eastAsia="Arial" w:hAnsi="Arial"/>
                <w:sz w:val="14"/>
                <w:szCs w:val="14"/>
                <w:color w:val="auto"/>
              </w:rPr>
              <w:t>2024</w:t>
            </w:r>
          </w:p>
        </w:tc>
        <w:tc>
          <w:tcPr>
            <w:tcW w:w="1220" w:type="dxa"/>
            <w:vAlign w:val="bottom"/>
          </w:tcPr>
          <w:p>
            <w:pPr>
              <w:jc w:val="right"/>
              <w:spacing w:after="0"/>
              <w:rPr>
                <w:sz w:val="20"/>
                <w:szCs w:val="20"/>
                <w:color w:val="auto"/>
              </w:rPr>
            </w:pPr>
            <w:r>
              <w:rPr>
                <w:rFonts w:ascii="Arial" w:cs="Arial" w:eastAsia="Arial" w:hAnsi="Arial"/>
                <w:sz w:val="14"/>
                <w:szCs w:val="14"/>
                <w:color w:val="auto"/>
              </w:rPr>
              <w:t>4,823,227</w:t>
            </w:r>
          </w:p>
        </w:tc>
        <w:tc>
          <w:tcPr>
            <w:tcW w:w="1080" w:type="dxa"/>
            <w:vAlign w:val="bottom"/>
          </w:tcPr>
          <w:p>
            <w:pPr>
              <w:jc w:val="right"/>
              <w:spacing w:after="0"/>
              <w:rPr>
                <w:sz w:val="20"/>
                <w:szCs w:val="20"/>
                <w:color w:val="auto"/>
              </w:rPr>
            </w:pPr>
            <w:r>
              <w:rPr>
                <w:rFonts w:ascii="Arial" w:cs="Arial" w:eastAsia="Arial" w:hAnsi="Arial"/>
                <w:sz w:val="14"/>
                <w:szCs w:val="14"/>
                <w:color w:val="auto"/>
              </w:rPr>
              <w:t>(506,424)</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1,978,444</w:t>
            </w:r>
          </w:p>
        </w:tc>
        <w:tc>
          <w:tcPr>
            <w:tcW w:w="1180" w:type="dxa"/>
            <w:vAlign w:val="bottom"/>
          </w:tcPr>
          <w:p>
            <w:pPr>
              <w:jc w:val="right"/>
              <w:spacing w:after="0"/>
              <w:rPr>
                <w:sz w:val="20"/>
                <w:szCs w:val="20"/>
                <w:color w:val="auto"/>
              </w:rPr>
            </w:pPr>
            <w:r>
              <w:rPr>
                <w:rFonts w:ascii="Arial" w:cs="Arial" w:eastAsia="Arial" w:hAnsi="Arial"/>
                <w:sz w:val="14"/>
                <w:szCs w:val="14"/>
                <w:color w:val="auto"/>
              </w:rPr>
              <w:t>1,670,159</w:t>
            </w:r>
          </w:p>
        </w:tc>
        <w:tc>
          <w:tcPr>
            <w:tcW w:w="1020" w:type="dxa"/>
            <w:vAlign w:val="bottom"/>
          </w:tcPr>
          <w:p>
            <w:pPr>
              <w:jc w:val="right"/>
              <w:spacing w:after="0"/>
              <w:rPr>
                <w:sz w:val="20"/>
                <w:szCs w:val="20"/>
                <w:color w:val="auto"/>
              </w:rPr>
            </w:pPr>
            <w:r>
              <w:rPr>
                <w:rFonts w:ascii="Arial" w:cs="Arial" w:eastAsia="Arial" w:hAnsi="Arial"/>
                <w:sz w:val="14"/>
                <w:szCs w:val="14"/>
                <w:color w:val="auto"/>
              </w:rPr>
              <w:t>109</w:t>
            </w:r>
          </w:p>
        </w:tc>
        <w:tc>
          <w:tcPr>
            <w:tcW w:w="960" w:type="dxa"/>
            <w:vAlign w:val="bottom"/>
          </w:tcPr>
          <w:p>
            <w:pPr>
              <w:jc w:val="right"/>
              <w:spacing w:after="0"/>
              <w:rPr>
                <w:sz w:val="20"/>
                <w:szCs w:val="20"/>
                <w:color w:val="auto"/>
              </w:rPr>
            </w:pPr>
            <w:r>
              <w:rPr>
                <w:rFonts w:ascii="Arial" w:cs="Arial" w:eastAsia="Arial" w:hAnsi="Arial"/>
                <w:sz w:val="14"/>
                <w:szCs w:val="14"/>
                <w:color w:val="auto"/>
              </w:rPr>
              <w:t>170</w:t>
            </w: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1000" w:type="dxa"/>
            <w:vAlign w:val="bottom"/>
          </w:tcPr>
          <w:p>
            <w:pPr>
              <w:jc w:val="right"/>
              <w:spacing w:after="0"/>
              <w:rPr>
                <w:sz w:val="20"/>
                <w:szCs w:val="20"/>
                <w:color w:val="auto"/>
              </w:rPr>
            </w:pPr>
            <w:r>
              <w:rPr>
                <w:rFonts w:ascii="Arial" w:cs="Arial" w:eastAsia="Arial" w:hAnsi="Arial"/>
                <w:sz w:val="14"/>
                <w:szCs w:val="14"/>
                <w:color w:val="auto"/>
              </w:rPr>
              <w:t>1,311</w:t>
            </w:r>
          </w:p>
        </w:tc>
      </w:tr>
      <w:tr>
        <w:trPr>
          <w:trHeight w:val="162"/>
        </w:trPr>
        <w:tc>
          <w:tcPr>
            <w:tcW w:w="5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2023</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9,483,816</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13,252,259</w:t>
            </w: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1,955,936</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2,683,673</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1,662</w:t>
            </w:r>
          </w:p>
        </w:tc>
      </w:tr>
      <w:tr>
        <w:trPr>
          <w:trHeight w:val="162"/>
        </w:trPr>
        <w:tc>
          <w:tcPr>
            <w:tcW w:w="520" w:type="dxa"/>
            <w:vAlign w:val="bottom"/>
          </w:tcPr>
          <w:p>
            <w:pPr>
              <w:jc w:val="right"/>
              <w:ind w:right="108"/>
              <w:spacing w:after="0"/>
              <w:rPr>
                <w:sz w:val="20"/>
                <w:szCs w:val="20"/>
                <w:color w:val="auto"/>
              </w:rPr>
            </w:pPr>
            <w:r>
              <w:rPr>
                <w:rFonts w:ascii="Arial" w:cs="Arial" w:eastAsia="Arial" w:hAnsi="Arial"/>
                <w:sz w:val="14"/>
                <w:szCs w:val="14"/>
                <w:color w:val="auto"/>
              </w:rPr>
              <w:t>2022</w:t>
            </w:r>
          </w:p>
        </w:tc>
        <w:tc>
          <w:tcPr>
            <w:tcW w:w="1220" w:type="dxa"/>
            <w:vAlign w:val="bottom"/>
          </w:tcPr>
          <w:p>
            <w:pPr>
              <w:jc w:val="right"/>
              <w:spacing w:after="0"/>
              <w:rPr>
                <w:sz w:val="20"/>
                <w:szCs w:val="20"/>
                <w:color w:val="auto"/>
              </w:rPr>
            </w:pPr>
            <w:r>
              <w:rPr>
                <w:rFonts w:ascii="Arial" w:cs="Arial" w:eastAsia="Arial" w:hAnsi="Arial"/>
                <w:sz w:val="14"/>
                <w:szCs w:val="14"/>
                <w:color w:val="auto"/>
              </w:rPr>
              <w:t>9,045,646</w:t>
            </w:r>
          </w:p>
        </w:tc>
        <w:tc>
          <w:tcPr>
            <w:tcW w:w="1080" w:type="dxa"/>
            <w:vAlign w:val="bottom"/>
          </w:tcPr>
          <w:p>
            <w:pPr>
              <w:jc w:val="right"/>
              <w:spacing w:after="0"/>
              <w:rPr>
                <w:sz w:val="20"/>
                <w:szCs w:val="20"/>
                <w:color w:val="auto"/>
              </w:rPr>
            </w:pPr>
            <w:r>
              <w:rPr>
                <w:rFonts w:ascii="Arial" w:cs="Arial" w:eastAsia="Arial" w:hAnsi="Arial"/>
                <w:sz w:val="14"/>
                <w:szCs w:val="14"/>
                <w:color w:val="auto"/>
              </w:rPr>
              <w:t>(2,249,898)</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2,466,178</w:t>
            </w:r>
          </w:p>
        </w:tc>
        <w:tc>
          <w:tcPr>
            <w:tcW w:w="1180" w:type="dxa"/>
            <w:vAlign w:val="bottom"/>
          </w:tcPr>
          <w:p>
            <w:pPr>
              <w:jc w:val="right"/>
              <w:spacing w:after="0"/>
              <w:rPr>
                <w:sz w:val="20"/>
                <w:szCs w:val="20"/>
                <w:color w:val="auto"/>
              </w:rPr>
            </w:pPr>
            <w:r>
              <w:rPr>
                <w:rFonts w:ascii="Arial" w:cs="Arial" w:eastAsia="Arial" w:hAnsi="Arial"/>
                <w:sz w:val="14"/>
                <w:szCs w:val="14"/>
                <w:color w:val="auto"/>
              </w:rPr>
              <w:t>1,048,748</w:t>
            </w:r>
          </w:p>
        </w:tc>
        <w:tc>
          <w:tcPr>
            <w:tcW w:w="1020" w:type="dxa"/>
            <w:vAlign w:val="bottom"/>
          </w:tcPr>
          <w:p>
            <w:pPr>
              <w:jc w:val="right"/>
              <w:spacing w:after="0"/>
              <w:rPr>
                <w:sz w:val="20"/>
                <w:szCs w:val="20"/>
                <w:color w:val="auto"/>
              </w:rPr>
            </w:pPr>
            <w:r>
              <w:rPr>
                <w:rFonts w:ascii="Arial" w:cs="Arial" w:eastAsia="Arial" w:hAnsi="Arial"/>
                <w:sz w:val="14"/>
                <w:szCs w:val="14"/>
                <w:color w:val="auto"/>
              </w:rPr>
              <w:t>135</w:t>
            </w:r>
          </w:p>
        </w:tc>
        <w:tc>
          <w:tcPr>
            <w:tcW w:w="960" w:type="dxa"/>
            <w:vAlign w:val="bottom"/>
          </w:tcPr>
          <w:p>
            <w:pPr>
              <w:jc w:val="right"/>
              <w:spacing w:after="0"/>
              <w:rPr>
                <w:sz w:val="20"/>
                <w:szCs w:val="20"/>
                <w:color w:val="auto"/>
              </w:rPr>
            </w:pPr>
            <w:r>
              <w:rPr>
                <w:rFonts w:ascii="Arial" w:cs="Arial" w:eastAsia="Arial" w:hAnsi="Arial"/>
                <w:sz w:val="14"/>
                <w:szCs w:val="14"/>
                <w:color w:val="auto"/>
              </w:rPr>
              <w:t>129</w:t>
            </w:r>
          </w:p>
        </w:tc>
        <w:tc>
          <w:tcPr>
            <w:tcW w:w="780" w:type="dxa"/>
            <w:vAlign w:val="bottom"/>
          </w:tcPr>
          <w:p>
            <w:pPr>
              <w:jc w:val="right"/>
              <w:spacing w:after="0"/>
              <w:rPr>
                <w:sz w:val="20"/>
                <w:szCs w:val="20"/>
                <w:color w:val="auto"/>
              </w:rPr>
            </w:pPr>
            <w:r>
              <w:rPr>
                <w:rFonts w:ascii="Arial" w:cs="Arial" w:eastAsia="Arial" w:hAnsi="Arial"/>
                <w:sz w:val="14"/>
                <w:szCs w:val="14"/>
                <w:color w:val="auto"/>
              </w:rPr>
              <w:t>331</w:t>
            </w:r>
          </w:p>
        </w:tc>
        <w:tc>
          <w:tcPr>
            <w:tcW w:w="1000" w:type="dxa"/>
            <w:vAlign w:val="bottom"/>
          </w:tcPr>
          <w:p>
            <w:pPr>
              <w:jc w:val="right"/>
              <w:spacing w:after="0"/>
              <w:rPr>
                <w:sz w:val="20"/>
                <w:szCs w:val="20"/>
                <w:color w:val="auto"/>
              </w:rPr>
            </w:pPr>
            <w:r>
              <w:rPr>
                <w:rFonts w:ascii="Arial" w:cs="Arial" w:eastAsia="Arial" w:hAnsi="Arial"/>
                <w:sz w:val="14"/>
                <w:szCs w:val="14"/>
                <w:color w:val="auto"/>
              </w:rPr>
              <w:t>2,001</w:t>
            </w:r>
          </w:p>
        </w:tc>
      </w:tr>
      <w:tr>
        <w:trPr>
          <w:trHeight w:val="162"/>
        </w:trPr>
        <w:tc>
          <w:tcPr>
            <w:tcW w:w="520" w:type="dxa"/>
            <w:vAlign w:val="bottom"/>
            <w:tcBorders>
              <w:bottom w:val="single" w:sz="8" w:color="005CA9"/>
            </w:tcBorders>
            <w:shd w:val="clear" w:color="auto" w:fill="CFF0FC"/>
          </w:tcPr>
          <w:p>
            <w:pPr>
              <w:jc w:val="right"/>
              <w:ind w:right="108"/>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8,137,329</w:t>
            </w:r>
          </w:p>
        </w:tc>
        <w:tc>
          <w:tcPr>
            <w:tcW w:w="108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30,669,186</w:t>
            </w:r>
          </w:p>
        </w:tc>
        <w:tc>
          <w:tcPr>
            <w:tcW w:w="1200" w:type="dxa"/>
            <w:vAlign w:val="bottom"/>
            <w:tcBorders>
              <w:bottom w:val="single" w:sz="8" w:color="005CA9"/>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080" w:type="dxa"/>
            <w:vAlign w:val="bottom"/>
            <w:tcBorders>
              <w:bottom w:val="single" w:sz="8" w:color="005CA9"/>
            </w:tcBorders>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2,189,740</w:t>
            </w:r>
          </w:p>
        </w:tc>
        <w:tc>
          <w:tcPr>
            <w:tcW w:w="118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5,627,245</w:t>
            </w:r>
          </w:p>
        </w:tc>
        <w:tc>
          <w:tcPr>
            <w:tcW w:w="102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96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78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00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1,805</w:t>
            </w:r>
          </w:p>
        </w:tc>
      </w:tr>
    </w:tbl>
    <w:p>
      <w:pPr>
        <w:ind w:left="300" w:hanging="292"/>
        <w:spacing w:after="0"/>
        <w:tabs>
          <w:tab w:leader="none" w:pos="300" w:val="left"/>
        </w:tabs>
        <w:numPr>
          <w:ilvl w:val="0"/>
          <w:numId w:val="50"/>
        </w:numPr>
        <w:rPr>
          <w:rFonts w:ascii="Calibri" w:cs="Calibri" w:eastAsia="Calibri" w:hAnsi="Calibri"/>
          <w:sz w:val="14"/>
          <w:szCs w:val="14"/>
          <w:color w:val="auto"/>
        </w:rPr>
      </w:pPr>
      <w:r>
        <w:rPr>
          <w:rFonts w:ascii="Arial" w:cs="Arial" w:eastAsia="Arial" w:hAnsi="Arial"/>
          <w:sz w:val="14"/>
          <w:szCs w:val="14"/>
          <w:color w:val="auto"/>
        </w:rPr>
        <w:t>The dollar amounts reported are the amounts of total compensation reported for our PEOs in the Summary Compensation Table for the applicable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8" w:name="page59"/>
    <w:bookmarkEnd w:id="58"/>
    <w:p>
      <w:pPr>
        <w:jc w:val="both"/>
        <w:ind w:left="300" w:hanging="292"/>
        <w:spacing w:after="0" w:line="243" w:lineRule="auto"/>
        <w:tabs>
          <w:tab w:leader="none" w:pos="300" w:val="left"/>
        </w:tabs>
        <w:numPr>
          <w:ilvl w:val="0"/>
          <w:numId w:val="51"/>
        </w:numPr>
        <w:rPr>
          <w:rFonts w:ascii="Calibri" w:cs="Calibri" w:eastAsia="Calibri" w:hAnsi="Calibri"/>
          <w:sz w:val="14"/>
          <w:szCs w:val="14"/>
          <w:color w:val="auto"/>
        </w:rPr>
      </w:pPr>
      <w:r>
        <w:rPr>
          <w:rFonts w:ascii="Arial" w:cs="Arial" w:eastAsia="Arial" w:hAnsi="Arial"/>
          <w:sz w:val="14"/>
          <w:szCs w:val="14"/>
          <w:color w:val="auto"/>
        </w:rPr>
        <w:t>The dollar amounts reported represent the amount of “Compensation Actually Paid,” as computed in accordance with SEC rules. Compensation Actually Paid does not represent cash or equity value realized or paid to our NEO’s but rather is a value calculated under applicable SEC rules. The tables below detail how Compensation Actually Paid is determined.</w:t>
      </w:r>
    </w:p>
    <w:p>
      <w:pPr>
        <w:ind w:left="300" w:right="20" w:hanging="292"/>
        <w:spacing w:after="0" w:line="234" w:lineRule="auto"/>
        <w:tabs>
          <w:tab w:leader="none" w:pos="300" w:val="left"/>
        </w:tabs>
        <w:numPr>
          <w:ilvl w:val="0"/>
          <w:numId w:val="51"/>
        </w:numPr>
        <w:rPr>
          <w:rFonts w:ascii="Calibri" w:cs="Calibri" w:eastAsia="Calibri" w:hAnsi="Calibri"/>
          <w:sz w:val="14"/>
          <w:szCs w:val="14"/>
          <w:color w:val="auto"/>
        </w:rPr>
      </w:pPr>
      <w:r>
        <w:rPr>
          <w:rFonts w:ascii="Arial" w:cs="Arial" w:eastAsia="Arial" w:hAnsi="Arial"/>
          <w:sz w:val="14"/>
          <w:szCs w:val="14"/>
          <w:color w:val="auto"/>
        </w:rPr>
        <w:t>Reflects cumulative TSR of the Company's Peer Group (as described above in this Proxy Statement) index, as of the applicable fiscal years. See "Compensation Review Process" for the composition of our Peer Group Companies for the applicable year.</w:t>
      </w:r>
    </w:p>
    <w:p>
      <w:pPr>
        <w:jc w:val="both"/>
        <w:ind w:left="300" w:hanging="292"/>
        <w:spacing w:after="0" w:line="244" w:lineRule="auto"/>
        <w:tabs>
          <w:tab w:leader="none" w:pos="300" w:val="left"/>
        </w:tabs>
        <w:numPr>
          <w:ilvl w:val="0"/>
          <w:numId w:val="51"/>
        </w:numPr>
        <w:rPr>
          <w:rFonts w:ascii="Calibri" w:cs="Calibri" w:eastAsia="Calibri" w:hAnsi="Calibri"/>
          <w:sz w:val="14"/>
          <w:szCs w:val="14"/>
          <w:color w:val="auto"/>
        </w:rPr>
      </w:pPr>
      <w:r>
        <w:rPr>
          <w:rFonts w:ascii="Arial" w:cs="Arial" w:eastAsia="Arial" w:hAnsi="Arial"/>
          <w:sz w:val="14"/>
          <w:szCs w:val="14"/>
          <w:color w:val="auto"/>
        </w:rPr>
        <w:t>Net Sales is the financial measure that the Company believes to be the most important measure (that is not otherwise required to be disclosed in the table) it used in the most recent fiscal year to link CAP to the NEOs. The Company generates revenue from sales of its semiconductor products to direct customers and distributors and recognizes revenue when control is transferred. Revenues are reduced in the period of sale for estimates of product returns and other allowances including distributor adjustments resulting in net sales.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The PEOs and other NEOs included in the above compensation columns are comprised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40" w:type="dxa"/>
            <w:vAlign w:val="bottom"/>
            <w:tcBorders>
              <w:bottom w:val="single" w:sz="8" w:color="005CA9"/>
            </w:tcBorders>
          </w:tcPr>
          <w:p>
            <w:pPr>
              <w:jc w:val="right"/>
              <w:ind w:right="139"/>
              <w:spacing w:after="0"/>
              <w:rPr>
                <w:sz w:val="20"/>
                <w:szCs w:val="20"/>
                <w:color w:val="auto"/>
              </w:rPr>
            </w:pPr>
            <w:r>
              <w:rPr>
                <w:rFonts w:ascii="Arial" w:cs="Arial" w:eastAsia="Arial" w:hAnsi="Arial"/>
                <w:sz w:val="16"/>
                <w:szCs w:val="16"/>
                <w:b w:val="1"/>
                <w:bCs w:val="1"/>
                <w:color w:val="auto"/>
              </w:rPr>
              <w:t>Year</w:t>
            </w:r>
          </w:p>
        </w:tc>
        <w:tc>
          <w:tcPr>
            <w:tcW w:w="2220" w:type="dxa"/>
            <w:vAlign w:val="bottom"/>
            <w:tcBorders>
              <w:bottom w:val="single" w:sz="8" w:color="005CA9"/>
            </w:tcBorders>
          </w:tcPr>
          <w:p>
            <w:pPr>
              <w:ind w:left="1060"/>
              <w:spacing w:after="0"/>
              <w:rPr>
                <w:sz w:val="20"/>
                <w:szCs w:val="20"/>
                <w:color w:val="auto"/>
              </w:rPr>
            </w:pPr>
            <w:r>
              <w:rPr>
                <w:rFonts w:ascii="Arial" w:cs="Arial" w:eastAsia="Arial" w:hAnsi="Arial"/>
                <w:sz w:val="16"/>
                <w:szCs w:val="16"/>
                <w:b w:val="1"/>
                <w:bCs w:val="1"/>
                <w:color w:val="auto"/>
              </w:rPr>
              <w:t>PEO</w:t>
            </w:r>
          </w:p>
        </w:tc>
        <w:tc>
          <w:tcPr>
            <w:tcW w:w="240" w:type="dxa"/>
            <w:vAlign w:val="bottom"/>
            <w:tcBorders>
              <w:bottom w:val="single" w:sz="8" w:color="005CA9"/>
            </w:tcBorders>
          </w:tcPr>
          <w:p>
            <w:pPr>
              <w:spacing w:after="0"/>
              <w:rPr>
                <w:sz w:val="19"/>
                <w:szCs w:val="19"/>
                <w:color w:val="auto"/>
              </w:rPr>
            </w:pPr>
          </w:p>
        </w:tc>
        <w:tc>
          <w:tcPr>
            <w:tcW w:w="7740" w:type="dxa"/>
            <w:vAlign w:val="bottom"/>
            <w:tcBorders>
              <w:bottom w:val="single" w:sz="8" w:color="005CA9"/>
            </w:tcBorders>
          </w:tcPr>
          <w:p>
            <w:pPr>
              <w:ind w:left="3220"/>
              <w:spacing w:after="0"/>
              <w:rPr>
                <w:sz w:val="20"/>
                <w:szCs w:val="20"/>
                <w:color w:val="auto"/>
              </w:rPr>
            </w:pPr>
            <w:r>
              <w:rPr>
                <w:rFonts w:ascii="Arial" w:cs="Arial" w:eastAsia="Arial" w:hAnsi="Arial"/>
                <w:sz w:val="16"/>
                <w:szCs w:val="16"/>
                <w:b w:val="1"/>
                <w:bCs w:val="1"/>
                <w:color w:val="auto"/>
              </w:rPr>
              <w:t>NON-PEO NEOS</w:t>
            </w:r>
          </w:p>
        </w:tc>
        <w:tc>
          <w:tcPr>
            <w:tcW w:w="0" w:type="dxa"/>
            <w:vAlign w:val="bottom"/>
          </w:tcPr>
          <w:p>
            <w:pPr>
              <w:spacing w:after="0"/>
              <w:rPr>
                <w:sz w:val="1"/>
                <w:szCs w:val="1"/>
                <w:color w:val="auto"/>
              </w:rPr>
            </w:pPr>
          </w:p>
        </w:tc>
      </w:tr>
      <w:tr>
        <w:trPr>
          <w:trHeight w:val="148"/>
        </w:trPr>
        <w:tc>
          <w:tcPr>
            <w:tcW w:w="1040" w:type="dxa"/>
            <w:vAlign w:val="bottom"/>
            <w:vMerge w:val="restart"/>
            <w:shd w:val="clear" w:color="auto" w:fill="CFF0FC"/>
          </w:tcPr>
          <w:p>
            <w:pPr>
              <w:jc w:val="right"/>
              <w:ind w:right="579"/>
              <w:spacing w:after="0"/>
              <w:rPr>
                <w:sz w:val="20"/>
                <w:szCs w:val="20"/>
                <w:color w:val="auto"/>
              </w:rPr>
            </w:pPr>
            <w:r>
              <w:rPr>
                <w:rFonts w:ascii="Arial" w:cs="Arial" w:eastAsia="Arial" w:hAnsi="Arial"/>
                <w:sz w:val="16"/>
                <w:szCs w:val="16"/>
                <w:color w:val="auto"/>
              </w:rPr>
              <w:t>2025</w:t>
            </w:r>
          </w:p>
        </w:tc>
        <w:tc>
          <w:tcPr>
            <w:tcW w:w="2220" w:type="dxa"/>
            <w:vAlign w:val="bottom"/>
            <w:shd w:val="clear" w:color="auto" w:fill="CFF0FC"/>
          </w:tcPr>
          <w:p>
            <w:pPr>
              <w:ind w:left="240"/>
              <w:spacing w:after="0" w:line="148" w:lineRule="exact"/>
              <w:rPr>
                <w:sz w:val="20"/>
                <w:szCs w:val="20"/>
                <w:color w:val="auto"/>
              </w:rPr>
            </w:pPr>
            <w:r>
              <w:rPr>
                <w:rFonts w:ascii="Arial" w:cs="Arial" w:eastAsia="Arial" w:hAnsi="Arial"/>
                <w:sz w:val="16"/>
                <w:szCs w:val="16"/>
                <w:color w:val="auto"/>
              </w:rPr>
              <w:t>Dr. Keh-Shew Lu and</w:t>
            </w:r>
          </w:p>
        </w:tc>
        <w:tc>
          <w:tcPr>
            <w:tcW w:w="240" w:type="dxa"/>
            <w:vAlign w:val="bottom"/>
            <w:shd w:val="clear" w:color="auto" w:fill="CFF0FC"/>
          </w:tcPr>
          <w:p>
            <w:pPr>
              <w:spacing w:after="0"/>
              <w:rPr>
                <w:sz w:val="12"/>
                <w:szCs w:val="12"/>
                <w:color w:val="auto"/>
              </w:rPr>
            </w:pPr>
          </w:p>
        </w:tc>
        <w:tc>
          <w:tcPr>
            <w:tcW w:w="7740" w:type="dxa"/>
            <w:vAlign w:val="bottom"/>
            <w:shd w:val="clear" w:color="auto" w:fill="CFF0FC"/>
          </w:tcPr>
          <w:p>
            <w:pPr>
              <w:ind w:left="40"/>
              <w:spacing w:after="0" w:line="148" w:lineRule="exact"/>
              <w:rPr>
                <w:sz w:val="20"/>
                <w:szCs w:val="20"/>
                <w:color w:val="auto"/>
              </w:rPr>
            </w:pPr>
            <w:r>
              <w:rPr>
                <w:rFonts w:ascii="Arial" w:cs="Arial" w:eastAsia="Arial" w:hAnsi="Arial"/>
                <w:sz w:val="16"/>
                <w:szCs w:val="16"/>
                <w:color w:val="auto"/>
              </w:rPr>
              <w:t>Brett R. Whitmire, Francis Tang, Emily Yang, Andy (Kuo-Ting) Tsong, Jin Zhao</w:t>
            </w:r>
          </w:p>
        </w:tc>
        <w:tc>
          <w:tcPr>
            <w:tcW w:w="0" w:type="dxa"/>
            <w:vAlign w:val="bottom"/>
          </w:tcPr>
          <w:p>
            <w:pPr>
              <w:spacing w:after="0"/>
              <w:rPr>
                <w:sz w:val="1"/>
                <w:szCs w:val="1"/>
                <w:color w:val="auto"/>
              </w:rPr>
            </w:pPr>
          </w:p>
        </w:tc>
      </w:tr>
      <w:tr>
        <w:trPr>
          <w:trHeight w:val="229"/>
        </w:trPr>
        <w:tc>
          <w:tcPr>
            <w:tcW w:w="1040" w:type="dxa"/>
            <w:vAlign w:val="bottom"/>
            <w:vMerge w:val="continue"/>
            <w:shd w:val="clear" w:color="auto" w:fill="CFF0FC"/>
          </w:tcPr>
          <w:p>
            <w:pPr>
              <w:spacing w:after="0"/>
              <w:rPr>
                <w:sz w:val="19"/>
                <w:szCs w:val="19"/>
                <w:color w:val="auto"/>
              </w:rPr>
            </w:pPr>
          </w:p>
        </w:tc>
        <w:tc>
          <w:tcPr>
            <w:tcW w:w="2220" w:type="dxa"/>
            <w:vAlign w:val="bottom"/>
            <w:shd w:val="clear" w:color="auto" w:fill="CFF0FC"/>
          </w:tcPr>
          <w:p>
            <w:pPr>
              <w:ind w:left="240"/>
              <w:spacing w:after="0" w:line="230" w:lineRule="exact"/>
              <w:rPr>
                <w:sz w:val="20"/>
                <w:szCs w:val="20"/>
                <w:color w:val="auto"/>
              </w:rPr>
            </w:pPr>
            <w:r>
              <w:rPr>
                <w:rFonts w:ascii="Arial" w:cs="Arial" w:eastAsia="Arial" w:hAnsi="Arial"/>
                <w:sz w:val="16"/>
                <w:szCs w:val="16"/>
                <w:color w:val="auto"/>
              </w:rPr>
              <w:t xml:space="preserve">Gary Yu </w:t>
            </w:r>
            <w:r>
              <w:rPr>
                <w:rFonts w:ascii="Arial" w:cs="Arial" w:eastAsia="Arial" w:hAnsi="Arial"/>
                <w:sz w:val="21"/>
                <w:szCs w:val="21"/>
                <w:color w:val="auto"/>
                <w:vertAlign w:val="superscript"/>
              </w:rPr>
              <w:t>(1)</w:t>
            </w:r>
          </w:p>
        </w:tc>
        <w:tc>
          <w:tcPr>
            <w:tcW w:w="240" w:type="dxa"/>
            <w:vAlign w:val="bottom"/>
            <w:shd w:val="clear" w:color="auto" w:fill="CFF0FC"/>
          </w:tcPr>
          <w:p>
            <w:pPr>
              <w:spacing w:after="0"/>
              <w:rPr>
                <w:sz w:val="19"/>
                <w:szCs w:val="19"/>
                <w:color w:val="auto"/>
              </w:rPr>
            </w:pPr>
          </w:p>
        </w:tc>
        <w:tc>
          <w:tcPr>
            <w:tcW w:w="7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right"/>
              <w:ind w:right="579"/>
              <w:spacing w:after="0"/>
              <w:rPr>
                <w:sz w:val="20"/>
                <w:szCs w:val="20"/>
                <w:color w:val="auto"/>
              </w:rPr>
            </w:pPr>
            <w:r>
              <w:rPr>
                <w:rFonts w:ascii="Arial" w:cs="Arial" w:eastAsia="Arial" w:hAnsi="Arial"/>
                <w:sz w:val="16"/>
                <w:szCs w:val="16"/>
                <w:color w:val="auto"/>
              </w:rPr>
              <w:t>2024</w:t>
            </w:r>
          </w:p>
        </w:tc>
        <w:tc>
          <w:tcPr>
            <w:tcW w:w="2220" w:type="dxa"/>
            <w:vAlign w:val="bottom"/>
          </w:tcPr>
          <w:p>
            <w:pPr>
              <w:ind w:left="240"/>
              <w:spacing w:after="0"/>
              <w:rPr>
                <w:sz w:val="20"/>
                <w:szCs w:val="20"/>
                <w:color w:val="auto"/>
              </w:rPr>
            </w:pPr>
            <w:r>
              <w:rPr>
                <w:rFonts w:ascii="Arial" w:cs="Arial" w:eastAsia="Arial" w:hAnsi="Arial"/>
                <w:sz w:val="16"/>
                <w:szCs w:val="16"/>
                <w:color w:val="auto"/>
              </w:rPr>
              <w:t>Dr. Keh-Shew Lu</w:t>
            </w:r>
          </w:p>
        </w:tc>
        <w:tc>
          <w:tcPr>
            <w:tcW w:w="240" w:type="dxa"/>
            <w:vAlign w:val="bottom"/>
          </w:tcPr>
          <w:p>
            <w:pPr>
              <w:spacing w:after="0"/>
              <w:rPr>
                <w:sz w:val="16"/>
                <w:szCs w:val="16"/>
                <w:color w:val="auto"/>
              </w:rPr>
            </w:pPr>
          </w:p>
        </w:tc>
        <w:tc>
          <w:tcPr>
            <w:tcW w:w="7740" w:type="dxa"/>
            <w:vAlign w:val="bottom"/>
          </w:tcPr>
          <w:p>
            <w:pPr>
              <w:ind w:left="40"/>
              <w:spacing w:after="0"/>
              <w:rPr>
                <w:sz w:val="20"/>
                <w:szCs w:val="20"/>
                <w:color w:val="auto"/>
              </w:rPr>
            </w:pPr>
            <w:r>
              <w:rPr>
                <w:rFonts w:ascii="Arial" w:cs="Arial" w:eastAsia="Arial" w:hAnsi="Arial"/>
                <w:sz w:val="16"/>
                <w:szCs w:val="16"/>
                <w:color w:val="auto"/>
              </w:rPr>
              <w:t>Brett R. Whitmire, Gary Yu, Francis Tang, Emily Yang</w:t>
            </w:r>
          </w:p>
        </w:tc>
        <w:tc>
          <w:tcPr>
            <w:tcW w:w="0" w:type="dxa"/>
            <w:vAlign w:val="bottom"/>
          </w:tcPr>
          <w:p>
            <w:pPr>
              <w:spacing w:after="0"/>
              <w:rPr>
                <w:sz w:val="1"/>
                <w:szCs w:val="1"/>
                <w:color w:val="auto"/>
              </w:rPr>
            </w:pPr>
          </w:p>
        </w:tc>
      </w:tr>
      <w:tr>
        <w:trPr>
          <w:trHeight w:val="189"/>
        </w:trPr>
        <w:tc>
          <w:tcPr>
            <w:tcW w:w="10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2023</w:t>
            </w:r>
          </w:p>
        </w:tc>
        <w:tc>
          <w:tcPr>
            <w:tcW w:w="22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Dr. Keh-Shew Lu</w:t>
            </w:r>
          </w:p>
        </w:tc>
        <w:tc>
          <w:tcPr>
            <w:tcW w:w="240" w:type="dxa"/>
            <w:vAlign w:val="bottom"/>
            <w:shd w:val="clear" w:color="auto" w:fill="CFF0FC"/>
          </w:tcPr>
          <w:p>
            <w:pPr>
              <w:spacing w:after="0"/>
              <w:rPr>
                <w:sz w:val="16"/>
                <w:szCs w:val="16"/>
                <w:color w:val="auto"/>
              </w:rPr>
            </w:pPr>
          </w:p>
        </w:tc>
        <w:tc>
          <w:tcPr>
            <w:tcW w:w="7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Brett R. Whitmire, Gary Yu, Francis Tang, Julie Holland</w:t>
            </w:r>
          </w:p>
        </w:tc>
        <w:tc>
          <w:tcPr>
            <w:tcW w:w="0" w:type="dxa"/>
            <w:vAlign w:val="bottom"/>
          </w:tcPr>
          <w:p>
            <w:pPr>
              <w:spacing w:after="0"/>
              <w:rPr>
                <w:sz w:val="1"/>
                <w:szCs w:val="1"/>
                <w:color w:val="auto"/>
              </w:rPr>
            </w:pPr>
          </w:p>
        </w:tc>
      </w:tr>
      <w:tr>
        <w:trPr>
          <w:trHeight w:val="189"/>
        </w:trPr>
        <w:tc>
          <w:tcPr>
            <w:tcW w:w="1040" w:type="dxa"/>
            <w:vAlign w:val="bottom"/>
          </w:tcPr>
          <w:p>
            <w:pPr>
              <w:jc w:val="right"/>
              <w:ind w:right="579"/>
              <w:spacing w:after="0"/>
              <w:rPr>
                <w:sz w:val="20"/>
                <w:szCs w:val="20"/>
                <w:color w:val="auto"/>
              </w:rPr>
            </w:pPr>
            <w:r>
              <w:rPr>
                <w:rFonts w:ascii="Arial" w:cs="Arial" w:eastAsia="Arial" w:hAnsi="Arial"/>
                <w:sz w:val="16"/>
                <w:szCs w:val="16"/>
                <w:color w:val="auto"/>
              </w:rPr>
              <w:t>2022</w:t>
            </w:r>
          </w:p>
        </w:tc>
        <w:tc>
          <w:tcPr>
            <w:tcW w:w="2220" w:type="dxa"/>
            <w:vAlign w:val="bottom"/>
          </w:tcPr>
          <w:p>
            <w:pPr>
              <w:ind w:left="240"/>
              <w:spacing w:after="0"/>
              <w:rPr>
                <w:sz w:val="20"/>
                <w:szCs w:val="20"/>
                <w:color w:val="auto"/>
              </w:rPr>
            </w:pPr>
            <w:r>
              <w:rPr>
                <w:rFonts w:ascii="Arial" w:cs="Arial" w:eastAsia="Arial" w:hAnsi="Arial"/>
                <w:sz w:val="16"/>
                <w:szCs w:val="16"/>
                <w:color w:val="auto"/>
              </w:rPr>
              <w:t>Dr. Keh-Shew Lu</w:t>
            </w:r>
          </w:p>
        </w:tc>
        <w:tc>
          <w:tcPr>
            <w:tcW w:w="240" w:type="dxa"/>
            <w:vAlign w:val="bottom"/>
          </w:tcPr>
          <w:p>
            <w:pPr>
              <w:spacing w:after="0"/>
              <w:rPr>
                <w:sz w:val="16"/>
                <w:szCs w:val="16"/>
                <w:color w:val="auto"/>
              </w:rPr>
            </w:pPr>
          </w:p>
        </w:tc>
        <w:tc>
          <w:tcPr>
            <w:tcW w:w="7740" w:type="dxa"/>
            <w:vAlign w:val="bottom"/>
          </w:tcPr>
          <w:p>
            <w:pPr>
              <w:ind w:left="40"/>
              <w:spacing w:after="0"/>
              <w:rPr>
                <w:sz w:val="20"/>
                <w:szCs w:val="20"/>
                <w:color w:val="auto"/>
              </w:rPr>
            </w:pPr>
            <w:r>
              <w:rPr>
                <w:rFonts w:ascii="Arial" w:cs="Arial" w:eastAsia="Arial" w:hAnsi="Arial"/>
                <w:sz w:val="16"/>
                <w:szCs w:val="16"/>
                <w:color w:val="auto"/>
              </w:rPr>
              <w:t>Brett R. Whitmire, Gary Yu, Francis Tang, Julie Holland</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005CA9"/>
            </w:tcBorders>
            <w:shd w:val="clear" w:color="auto" w:fill="CFF0FC"/>
          </w:tcPr>
          <w:p>
            <w:pPr>
              <w:jc w:val="right"/>
              <w:ind w:right="579"/>
              <w:spacing w:after="0"/>
              <w:rPr>
                <w:sz w:val="20"/>
                <w:szCs w:val="20"/>
                <w:color w:val="auto"/>
              </w:rPr>
            </w:pPr>
            <w:r>
              <w:rPr>
                <w:rFonts w:ascii="Arial" w:cs="Arial" w:eastAsia="Arial" w:hAnsi="Arial"/>
                <w:sz w:val="16"/>
                <w:szCs w:val="16"/>
                <w:color w:val="auto"/>
              </w:rPr>
              <w:t>2021</w:t>
            </w:r>
          </w:p>
        </w:tc>
        <w:tc>
          <w:tcPr>
            <w:tcW w:w="2220" w:type="dxa"/>
            <w:vAlign w:val="bottom"/>
            <w:tcBorders>
              <w:bottom w:val="single" w:sz="8" w:color="005CA9"/>
            </w:tcBorders>
            <w:shd w:val="clear" w:color="auto" w:fill="CFF0FC"/>
          </w:tcPr>
          <w:p>
            <w:pPr>
              <w:ind w:left="240"/>
              <w:spacing w:after="0"/>
              <w:rPr>
                <w:sz w:val="20"/>
                <w:szCs w:val="20"/>
                <w:color w:val="auto"/>
              </w:rPr>
            </w:pPr>
            <w:r>
              <w:rPr>
                <w:rFonts w:ascii="Arial" w:cs="Arial" w:eastAsia="Arial" w:hAnsi="Arial"/>
                <w:sz w:val="16"/>
                <w:szCs w:val="16"/>
                <w:color w:val="auto"/>
              </w:rPr>
              <w:t>Dr. Keh-Shew Lu</w:t>
            </w:r>
          </w:p>
        </w:tc>
        <w:tc>
          <w:tcPr>
            <w:tcW w:w="240" w:type="dxa"/>
            <w:vAlign w:val="bottom"/>
            <w:tcBorders>
              <w:bottom w:val="single" w:sz="8" w:color="auto"/>
            </w:tcBorders>
            <w:shd w:val="clear" w:color="auto" w:fill="CFF0FC"/>
          </w:tcPr>
          <w:p>
            <w:pPr>
              <w:spacing w:after="0"/>
              <w:rPr>
                <w:sz w:val="16"/>
                <w:szCs w:val="16"/>
                <w:color w:val="auto"/>
              </w:rPr>
            </w:pPr>
          </w:p>
        </w:tc>
        <w:tc>
          <w:tcPr>
            <w:tcW w:w="7740" w:type="dxa"/>
            <w:vAlign w:val="bottom"/>
            <w:tcBorders>
              <w:bottom w:val="single" w:sz="8" w:color="005CA9"/>
            </w:tcBorders>
            <w:shd w:val="clear" w:color="auto" w:fill="CFF0FC"/>
          </w:tcPr>
          <w:p>
            <w:pPr>
              <w:ind w:left="40"/>
              <w:spacing w:after="0"/>
              <w:rPr>
                <w:sz w:val="20"/>
                <w:szCs w:val="20"/>
                <w:color w:val="auto"/>
              </w:rPr>
            </w:pPr>
            <w:r>
              <w:rPr>
                <w:rFonts w:ascii="Arial" w:cs="Arial" w:eastAsia="Arial" w:hAnsi="Arial"/>
                <w:sz w:val="16"/>
                <w:szCs w:val="16"/>
                <w:color w:val="auto"/>
              </w:rPr>
              <w:t>Brett R. Whitmire, Gary Yu, Francis Tang, Julie Holland</w:t>
            </w:r>
          </w:p>
        </w:tc>
        <w:tc>
          <w:tcPr>
            <w:tcW w:w="0" w:type="dxa"/>
            <w:vAlign w:val="bottom"/>
          </w:tcPr>
          <w:p>
            <w:pPr>
              <w:spacing w:after="0"/>
              <w:rPr>
                <w:sz w:val="1"/>
                <w:szCs w:val="1"/>
                <w:color w:val="auto"/>
              </w:rPr>
            </w:pPr>
          </w:p>
        </w:tc>
      </w:tr>
    </w:tbl>
    <w:p>
      <w:pPr>
        <w:ind w:left="300" w:hanging="292"/>
        <w:spacing w:after="0"/>
        <w:tabs>
          <w:tab w:leader="none" w:pos="300" w:val="left"/>
        </w:tabs>
        <w:numPr>
          <w:ilvl w:val="0"/>
          <w:numId w:val="52"/>
        </w:numPr>
        <w:rPr>
          <w:rFonts w:ascii="Calibri" w:cs="Calibri" w:eastAsia="Calibri" w:hAnsi="Calibri"/>
          <w:sz w:val="14"/>
          <w:szCs w:val="14"/>
          <w:color w:val="auto"/>
        </w:rPr>
      </w:pPr>
      <w:r>
        <w:rPr>
          <w:rFonts w:ascii="Arial" w:cs="Arial" w:eastAsia="Arial" w:hAnsi="Arial"/>
          <w:sz w:val="14"/>
          <w:szCs w:val="14"/>
          <w:color w:val="auto"/>
        </w:rPr>
        <w:t>Dr. Keh-Shew Lu served as PEO until May 13, 2025. Gary Yu became PEO on May 13, 2025. Dr. Lu is referred to are PEO 1 and Mr. Yu is referred to as PEO 2.</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 calculate the amounts in the "Compensation Actually Paid to PEO" columns in the Pay versus Performance table above, the following amounts were deducted from and added to (as applicable) "Total" compensation of the PEO for each applicable year, as reported in the Summary Compensation Table above.</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Compensation Actually Paid to PEO</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top w:val="single" w:sz="8" w:color="005CA9"/>
            </w:tcBorders>
          </w:tcPr>
          <w:p>
            <w:pPr>
              <w:spacing w:after="0"/>
              <w:rPr>
                <w:sz w:val="15"/>
                <w:szCs w:val="15"/>
                <w:color w:val="auto"/>
              </w:rPr>
            </w:pPr>
          </w:p>
        </w:tc>
        <w:tc>
          <w:tcPr>
            <w:tcW w:w="360" w:type="dxa"/>
            <w:vAlign w:val="bottom"/>
            <w:tcBorders>
              <w:top w:val="single" w:sz="8" w:color="005CA9"/>
            </w:tcBorders>
          </w:tcPr>
          <w:p>
            <w:pPr>
              <w:spacing w:after="0"/>
              <w:rPr>
                <w:sz w:val="15"/>
                <w:szCs w:val="15"/>
                <w:color w:val="auto"/>
              </w:rPr>
            </w:pPr>
          </w:p>
        </w:tc>
        <w:tc>
          <w:tcPr>
            <w:tcW w:w="1760" w:type="dxa"/>
            <w:vAlign w:val="bottom"/>
            <w:tcBorders>
              <w:top w:val="single" w:sz="8" w:color="005CA9"/>
            </w:tcBorders>
          </w:tcPr>
          <w:p>
            <w:pPr>
              <w:spacing w:after="0"/>
              <w:rPr>
                <w:sz w:val="15"/>
                <w:szCs w:val="15"/>
                <w:color w:val="auto"/>
              </w:rPr>
            </w:pPr>
          </w:p>
        </w:tc>
        <w:tc>
          <w:tcPr>
            <w:tcW w:w="260" w:type="dxa"/>
            <w:vAlign w:val="bottom"/>
            <w:tcBorders>
              <w:top w:val="single" w:sz="8" w:color="005CA9"/>
            </w:tcBorders>
          </w:tcPr>
          <w:p>
            <w:pPr>
              <w:spacing w:after="0"/>
              <w:rPr>
                <w:sz w:val="15"/>
                <w:szCs w:val="15"/>
                <w:color w:val="auto"/>
              </w:rPr>
            </w:pPr>
          </w:p>
        </w:tc>
        <w:tc>
          <w:tcPr>
            <w:tcW w:w="1680" w:type="dxa"/>
            <w:vAlign w:val="bottom"/>
            <w:tcBorders>
              <w:top w:val="single" w:sz="8" w:color="005CA9"/>
            </w:tcBorders>
          </w:tcPr>
          <w:p>
            <w:pPr>
              <w:spacing w:after="0"/>
              <w:rPr>
                <w:sz w:val="15"/>
                <w:szCs w:val="15"/>
                <w:color w:val="auto"/>
              </w:rPr>
            </w:pPr>
          </w:p>
        </w:tc>
        <w:tc>
          <w:tcPr>
            <w:tcW w:w="540" w:type="dxa"/>
            <w:vAlign w:val="bottom"/>
            <w:tcBorders>
              <w:top w:val="single" w:sz="8" w:color="005CA9"/>
            </w:tcBorders>
          </w:tcPr>
          <w:p>
            <w:pPr>
              <w:spacing w:after="0"/>
              <w:rPr>
                <w:sz w:val="15"/>
                <w:szCs w:val="15"/>
                <w:color w:val="auto"/>
              </w:rPr>
            </w:pPr>
          </w:p>
        </w:tc>
        <w:tc>
          <w:tcPr>
            <w:tcW w:w="1780" w:type="dxa"/>
            <w:vAlign w:val="bottom"/>
            <w:tcBorders>
              <w:top w:val="single" w:sz="8" w:color="005CA9"/>
            </w:tcBorders>
          </w:tcPr>
          <w:p>
            <w:pPr>
              <w:spacing w:after="0"/>
              <w:rPr>
                <w:sz w:val="15"/>
                <w:szCs w:val="15"/>
                <w:color w:val="auto"/>
              </w:rPr>
            </w:pPr>
          </w:p>
        </w:tc>
        <w:tc>
          <w:tcPr>
            <w:tcW w:w="180" w:type="dxa"/>
            <w:vAlign w:val="bottom"/>
            <w:tcBorders>
              <w:top w:val="single" w:sz="8" w:color="005CA9"/>
            </w:tcBorders>
          </w:tcPr>
          <w:p>
            <w:pPr>
              <w:spacing w:after="0"/>
              <w:rPr>
                <w:sz w:val="15"/>
                <w:szCs w:val="15"/>
                <w:color w:val="auto"/>
              </w:rPr>
            </w:pPr>
          </w:p>
        </w:tc>
        <w:tc>
          <w:tcPr>
            <w:tcW w:w="1700" w:type="dxa"/>
            <w:vAlign w:val="bottom"/>
            <w:tcBorders>
              <w:top w:val="single" w:sz="8" w:color="005CA9"/>
            </w:tcBorders>
          </w:tcPr>
          <w:p>
            <w:pPr>
              <w:jc w:val="center"/>
              <w:ind w:right="168"/>
              <w:spacing w:after="0"/>
              <w:rPr>
                <w:sz w:val="20"/>
                <w:szCs w:val="20"/>
                <w:color w:val="auto"/>
              </w:rPr>
            </w:pPr>
            <w:r>
              <w:rPr>
                <w:rFonts w:ascii="Arial" w:cs="Arial" w:eastAsia="Arial" w:hAnsi="Arial"/>
                <w:sz w:val="14"/>
                <w:szCs w:val="14"/>
                <w:b w:val="1"/>
                <w:bCs w:val="1"/>
                <w:color w:val="auto"/>
              </w:rPr>
              <w:t>Plus</w:t>
            </w:r>
          </w:p>
        </w:tc>
        <w:tc>
          <w:tcPr>
            <w:tcW w:w="340" w:type="dxa"/>
            <w:vAlign w:val="bottom"/>
            <w:tcBorders>
              <w:top w:val="single" w:sz="8" w:color="005CA9"/>
            </w:tcBorders>
          </w:tcPr>
          <w:p>
            <w:pPr>
              <w:spacing w:after="0"/>
              <w:rPr>
                <w:sz w:val="15"/>
                <w:szCs w:val="15"/>
                <w:color w:val="auto"/>
              </w:rPr>
            </w:pPr>
          </w:p>
        </w:tc>
        <w:tc>
          <w:tcPr>
            <w:tcW w:w="1620" w:type="dxa"/>
            <w:vAlign w:val="bottom"/>
            <w:tcBorders>
              <w:top w:val="single" w:sz="8" w:color="005CA9"/>
            </w:tcBorders>
          </w:tcPr>
          <w:p>
            <w:pPr>
              <w:spacing w:after="0"/>
              <w:rPr>
                <w:sz w:val="15"/>
                <w:szCs w:val="15"/>
                <w:color w:val="auto"/>
              </w:rPr>
            </w:pPr>
          </w:p>
        </w:tc>
      </w:tr>
      <w:tr>
        <w:trPr>
          <w:trHeight w:val="162"/>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148"/>
              <w:spacing w:after="0"/>
              <w:rPr>
                <w:sz w:val="20"/>
                <w:szCs w:val="20"/>
                <w:color w:val="auto"/>
              </w:rPr>
            </w:pPr>
            <w:r>
              <w:rPr>
                <w:rFonts w:ascii="Arial" w:cs="Arial" w:eastAsia="Arial" w:hAnsi="Arial"/>
                <w:sz w:val="14"/>
                <w:szCs w:val="14"/>
                <w:b w:val="1"/>
                <w:bCs w:val="1"/>
                <w:color w:val="auto"/>
              </w:rPr>
              <w:t>Reported Change in</w:t>
            </w: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128"/>
              <w:spacing w:after="0"/>
              <w:rPr>
                <w:sz w:val="20"/>
                <w:szCs w:val="20"/>
                <w:color w:val="auto"/>
              </w:rPr>
            </w:pPr>
            <w:r>
              <w:rPr>
                <w:rFonts w:ascii="Arial" w:cs="Arial" w:eastAsia="Arial" w:hAnsi="Arial"/>
                <w:sz w:val="14"/>
                <w:szCs w:val="14"/>
                <w:b w:val="1"/>
                <w:bCs w:val="1"/>
                <w:color w:val="auto"/>
              </w:rPr>
              <w:t>Pension Value</w:t>
            </w: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128"/>
              <w:spacing w:after="0"/>
              <w:rPr>
                <w:sz w:val="20"/>
                <w:szCs w:val="20"/>
                <w:color w:val="auto"/>
              </w:rPr>
            </w:pPr>
            <w:r>
              <w:rPr>
                <w:rFonts w:ascii="Arial" w:cs="Arial" w:eastAsia="Arial" w:hAnsi="Arial"/>
                <w:sz w:val="14"/>
                <w:szCs w:val="14"/>
                <w:b w:val="1"/>
                <w:bCs w:val="1"/>
                <w:color w:val="auto"/>
              </w:rPr>
              <w:t>and</w:t>
            </w: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148"/>
              <w:spacing w:after="0"/>
              <w:rPr>
                <w:sz w:val="20"/>
                <w:szCs w:val="20"/>
                <w:color w:val="auto"/>
              </w:rPr>
            </w:pPr>
            <w:r>
              <w:rPr>
                <w:rFonts w:ascii="Arial" w:cs="Arial" w:eastAsia="Arial" w:hAnsi="Arial"/>
                <w:sz w:val="14"/>
                <w:szCs w:val="14"/>
                <w:b w:val="1"/>
                <w:bCs w:val="1"/>
                <w:color w:val="auto"/>
              </w:rPr>
              <w:t>Non-qualified</w:t>
            </w: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148"/>
              <w:spacing w:after="0"/>
              <w:rPr>
                <w:sz w:val="20"/>
                <w:szCs w:val="20"/>
                <w:color w:val="auto"/>
              </w:rPr>
            </w:pPr>
            <w:r>
              <w:rPr>
                <w:rFonts w:ascii="Arial" w:cs="Arial" w:eastAsia="Arial" w:hAnsi="Arial"/>
                <w:sz w:val="14"/>
                <w:szCs w:val="14"/>
                <w:b w:val="1"/>
                <w:bCs w:val="1"/>
                <w:color w:val="auto"/>
              </w:rPr>
              <w:t>Deferred</w:t>
            </w: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88"/>
              <w:spacing w:after="0"/>
              <w:rPr>
                <w:sz w:val="20"/>
                <w:szCs w:val="20"/>
                <w:color w:val="auto"/>
              </w:rPr>
            </w:pPr>
            <w:r>
              <w:rPr>
                <w:rFonts w:ascii="Arial" w:cs="Arial" w:eastAsia="Arial" w:hAnsi="Arial"/>
                <w:sz w:val="14"/>
                <w:szCs w:val="14"/>
                <w:b w:val="1"/>
                <w:bCs w:val="1"/>
                <w:color w:val="auto"/>
              </w:rPr>
              <w:t>Minus</w:t>
            </w:r>
          </w:p>
        </w:tc>
        <w:tc>
          <w:tcPr>
            <w:tcW w:w="540" w:type="dxa"/>
            <w:vAlign w:val="bottom"/>
          </w:tcPr>
          <w:p>
            <w:pPr>
              <w:spacing w:after="0"/>
              <w:rPr>
                <w:sz w:val="14"/>
                <w:szCs w:val="14"/>
                <w:color w:val="auto"/>
              </w:rPr>
            </w:pPr>
          </w:p>
        </w:tc>
        <w:tc>
          <w:tcPr>
            <w:tcW w:w="1780" w:type="dxa"/>
            <w:vAlign w:val="bottom"/>
          </w:tcPr>
          <w:p>
            <w:pPr>
              <w:jc w:val="center"/>
              <w:ind w:right="532"/>
              <w:spacing w:after="0"/>
              <w:rPr>
                <w:sz w:val="20"/>
                <w:szCs w:val="20"/>
                <w:color w:val="auto"/>
              </w:rPr>
            </w:pPr>
            <w:r>
              <w:rPr>
                <w:rFonts w:ascii="Arial" w:cs="Arial" w:eastAsia="Arial" w:hAnsi="Arial"/>
                <w:sz w:val="14"/>
                <w:szCs w:val="14"/>
                <w:b w:val="1"/>
                <w:bCs w:val="1"/>
                <w:color w:val="auto"/>
              </w:rPr>
              <w:t>Plus</w:t>
            </w:r>
          </w:p>
        </w:tc>
        <w:tc>
          <w:tcPr>
            <w:tcW w:w="180" w:type="dxa"/>
            <w:vAlign w:val="bottom"/>
          </w:tcPr>
          <w:p>
            <w:pPr>
              <w:spacing w:after="0"/>
              <w:rPr>
                <w:sz w:val="14"/>
                <w:szCs w:val="14"/>
                <w:color w:val="auto"/>
              </w:rPr>
            </w:pPr>
          </w:p>
        </w:tc>
        <w:tc>
          <w:tcPr>
            <w:tcW w:w="17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Compensation</w:t>
            </w: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44"/>
        </w:trPr>
        <w:tc>
          <w:tcPr>
            <w:tcW w:w="1020" w:type="dxa"/>
            <w:vAlign w:val="bottom"/>
          </w:tcPr>
          <w:p>
            <w:pPr>
              <w:spacing w:after="0"/>
              <w:rPr>
                <w:sz w:val="12"/>
                <w:szCs w:val="12"/>
                <w:color w:val="auto"/>
              </w:rPr>
            </w:pPr>
          </w:p>
        </w:tc>
        <w:tc>
          <w:tcPr>
            <w:tcW w:w="2120" w:type="dxa"/>
            <w:vAlign w:val="bottom"/>
            <w:gridSpan w:val="2"/>
          </w:tcPr>
          <w:p>
            <w:pPr>
              <w:jc w:val="right"/>
              <w:ind w:right="68"/>
              <w:spacing w:after="0" w:line="145" w:lineRule="exact"/>
              <w:rPr>
                <w:sz w:val="20"/>
                <w:szCs w:val="20"/>
                <w:color w:val="auto"/>
              </w:rPr>
            </w:pPr>
            <w:r>
              <w:rPr>
                <w:rFonts w:ascii="Arial" w:cs="Arial" w:eastAsia="Arial" w:hAnsi="Arial"/>
                <w:sz w:val="14"/>
                <w:szCs w:val="14"/>
                <w:b w:val="1"/>
                <w:bCs w:val="1"/>
                <w:color w:val="auto"/>
              </w:rPr>
              <w:t>Summary Compensation</w:t>
            </w:r>
          </w:p>
        </w:tc>
        <w:tc>
          <w:tcPr>
            <w:tcW w:w="1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Reported Value of Equity</w:t>
            </w:r>
          </w:p>
        </w:tc>
        <w:tc>
          <w:tcPr>
            <w:tcW w:w="23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Equity Award Adjustments for</w:t>
            </w:r>
          </w:p>
        </w:tc>
        <w:tc>
          <w:tcPr>
            <w:tcW w:w="180" w:type="dxa"/>
            <w:vAlign w:val="bottom"/>
          </w:tcPr>
          <w:p>
            <w:pPr>
              <w:spacing w:after="0"/>
              <w:rPr>
                <w:sz w:val="12"/>
                <w:szCs w:val="12"/>
                <w:color w:val="auto"/>
              </w:rPr>
            </w:pPr>
          </w:p>
        </w:tc>
        <w:tc>
          <w:tcPr>
            <w:tcW w:w="17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Earnings</w:t>
            </w:r>
          </w:p>
        </w:tc>
        <w:tc>
          <w:tcPr>
            <w:tcW w:w="1960" w:type="dxa"/>
            <w:vAlign w:val="bottom"/>
            <w:gridSpan w:val="2"/>
          </w:tcPr>
          <w:p>
            <w:pPr>
              <w:jc w:val="right"/>
              <w:ind w:right="168"/>
              <w:spacing w:after="0" w:line="145" w:lineRule="exact"/>
              <w:rPr>
                <w:sz w:val="20"/>
                <w:szCs w:val="20"/>
                <w:color w:val="auto"/>
              </w:rPr>
            </w:pPr>
            <w:r>
              <w:rPr>
                <w:rFonts w:ascii="Arial" w:cs="Arial" w:eastAsia="Arial" w:hAnsi="Arial"/>
                <w:sz w:val="14"/>
                <w:szCs w:val="14"/>
                <w:b w:val="1"/>
                <w:bCs w:val="1"/>
                <w:color w:val="auto"/>
              </w:rPr>
              <w:t>Compensation Actually</w:t>
            </w:r>
          </w:p>
        </w:tc>
      </w:tr>
      <w:tr>
        <w:trPr>
          <w:trHeight w:val="209"/>
        </w:trPr>
        <w:tc>
          <w:tcPr>
            <w:tcW w:w="1020" w:type="dxa"/>
            <w:vAlign w:val="bottom"/>
            <w:tcBorders>
              <w:bottom w:val="single" w:sz="8" w:color="005CA9"/>
            </w:tcBorders>
          </w:tcPr>
          <w:p>
            <w:pPr>
              <w:ind w:left="480"/>
              <w:spacing w:after="0"/>
              <w:rPr>
                <w:sz w:val="20"/>
                <w:szCs w:val="20"/>
                <w:color w:val="auto"/>
              </w:rPr>
            </w:pPr>
            <w:r>
              <w:rPr>
                <w:rFonts w:ascii="Arial" w:cs="Arial" w:eastAsia="Arial" w:hAnsi="Arial"/>
                <w:sz w:val="14"/>
                <w:szCs w:val="14"/>
                <w:b w:val="1"/>
                <w:bCs w:val="1"/>
                <w:color w:val="auto"/>
              </w:rPr>
              <w:t>Year</w:t>
            </w:r>
          </w:p>
        </w:tc>
        <w:tc>
          <w:tcPr>
            <w:tcW w:w="360" w:type="dxa"/>
            <w:vAlign w:val="bottom"/>
            <w:tcBorders>
              <w:bottom w:val="single" w:sz="8" w:color="005CA9"/>
            </w:tcBorders>
          </w:tcPr>
          <w:p>
            <w:pPr>
              <w:spacing w:after="0"/>
              <w:rPr>
                <w:sz w:val="18"/>
                <w:szCs w:val="18"/>
                <w:color w:val="auto"/>
              </w:rPr>
            </w:pPr>
          </w:p>
        </w:tc>
        <w:tc>
          <w:tcPr>
            <w:tcW w:w="1760" w:type="dxa"/>
            <w:vAlign w:val="bottom"/>
            <w:tcBorders>
              <w:bottom w:val="single" w:sz="8" w:color="005CA9"/>
            </w:tcBorders>
          </w:tcPr>
          <w:p>
            <w:pPr>
              <w:jc w:val="right"/>
              <w:ind w:right="148"/>
              <w:spacing w:after="0" w:line="189" w:lineRule="exact"/>
              <w:rPr>
                <w:sz w:val="20"/>
                <w:szCs w:val="20"/>
                <w:color w:val="auto"/>
              </w:rPr>
            </w:pPr>
            <w:r>
              <w:rPr>
                <w:rFonts w:ascii="Arial" w:cs="Arial" w:eastAsia="Arial" w:hAnsi="Arial"/>
                <w:sz w:val="14"/>
                <w:szCs w:val="14"/>
                <w:b w:val="1"/>
                <w:bCs w:val="1"/>
                <w:color w:val="auto"/>
              </w:rPr>
              <w:t xml:space="preserve">Table Total for PEO </w:t>
            </w:r>
            <w:r>
              <w:rPr>
                <w:rFonts w:ascii="Arial" w:cs="Arial" w:eastAsia="Arial" w:hAnsi="Arial"/>
                <w:sz w:val="19"/>
                <w:szCs w:val="19"/>
                <w:b w:val="1"/>
                <w:bCs w:val="1"/>
                <w:color w:val="auto"/>
                <w:vertAlign w:val="superscript"/>
              </w:rPr>
              <w:t>(1)</w:t>
            </w:r>
          </w:p>
        </w:tc>
        <w:tc>
          <w:tcPr>
            <w:tcW w:w="260" w:type="dxa"/>
            <w:vAlign w:val="bottom"/>
            <w:tcBorders>
              <w:bottom w:val="single" w:sz="8" w:color="005CA9"/>
            </w:tcBorders>
          </w:tcPr>
          <w:p>
            <w:pPr>
              <w:spacing w:after="0"/>
              <w:rPr>
                <w:sz w:val="18"/>
                <w:szCs w:val="18"/>
                <w:color w:val="auto"/>
              </w:rPr>
            </w:pPr>
          </w:p>
        </w:tc>
        <w:tc>
          <w:tcPr>
            <w:tcW w:w="1680" w:type="dxa"/>
            <w:vAlign w:val="bottom"/>
            <w:tcBorders>
              <w:bottom w:val="single" w:sz="8" w:color="005CA9"/>
            </w:tcBorders>
          </w:tcPr>
          <w:p>
            <w:pPr>
              <w:jc w:val="center"/>
              <w:ind w:right="168"/>
              <w:spacing w:after="0" w:line="189" w:lineRule="exact"/>
              <w:rPr>
                <w:sz w:val="20"/>
                <w:szCs w:val="20"/>
                <w:color w:val="auto"/>
              </w:rPr>
            </w:pPr>
            <w:r>
              <w:rPr>
                <w:rFonts w:ascii="Arial" w:cs="Arial" w:eastAsia="Arial" w:hAnsi="Arial"/>
                <w:sz w:val="14"/>
                <w:szCs w:val="14"/>
                <w:b w:val="1"/>
                <w:bCs w:val="1"/>
                <w:color w:val="auto"/>
                <w:w w:val="98"/>
              </w:rPr>
              <w:t xml:space="preserve">Awards for PEO </w:t>
            </w:r>
            <w:r>
              <w:rPr>
                <w:rFonts w:ascii="Arial" w:cs="Arial" w:eastAsia="Arial" w:hAnsi="Arial"/>
                <w:sz w:val="19"/>
                <w:szCs w:val="19"/>
                <w:b w:val="1"/>
                <w:bCs w:val="1"/>
                <w:color w:val="auto"/>
                <w:w w:val="98"/>
                <w:vertAlign w:val="superscript"/>
              </w:rPr>
              <w:t>(2)</w:t>
            </w:r>
          </w:p>
        </w:tc>
        <w:tc>
          <w:tcPr>
            <w:tcW w:w="540" w:type="dxa"/>
            <w:vAlign w:val="bottom"/>
            <w:tcBorders>
              <w:bottom w:val="single" w:sz="8" w:color="005CA9"/>
            </w:tcBorders>
          </w:tcPr>
          <w:p>
            <w:pPr>
              <w:spacing w:after="0"/>
              <w:rPr>
                <w:sz w:val="18"/>
                <w:szCs w:val="18"/>
                <w:color w:val="auto"/>
              </w:rPr>
            </w:pPr>
          </w:p>
        </w:tc>
        <w:tc>
          <w:tcPr>
            <w:tcW w:w="1780" w:type="dxa"/>
            <w:vAlign w:val="bottom"/>
            <w:tcBorders>
              <w:bottom w:val="single" w:sz="8" w:color="005CA9"/>
            </w:tcBorders>
          </w:tcPr>
          <w:p>
            <w:pPr>
              <w:jc w:val="center"/>
              <w:ind w:right="492"/>
              <w:spacing w:after="0" w:line="189" w:lineRule="exact"/>
              <w:rPr>
                <w:sz w:val="20"/>
                <w:szCs w:val="20"/>
                <w:color w:val="auto"/>
              </w:rPr>
            </w:pPr>
            <w:r>
              <w:rPr>
                <w:rFonts w:ascii="Arial" w:cs="Arial" w:eastAsia="Arial" w:hAnsi="Arial"/>
                <w:sz w:val="21"/>
                <w:szCs w:val="21"/>
                <w:b w:val="1"/>
                <w:bCs w:val="1"/>
                <w:color w:val="auto"/>
                <w:vertAlign w:val="subscript"/>
              </w:rPr>
              <w:t>PEO</w:t>
            </w:r>
            <w:r>
              <w:rPr>
                <w:rFonts w:ascii="Arial" w:cs="Arial" w:eastAsia="Arial" w:hAnsi="Arial"/>
                <w:sz w:val="8"/>
                <w:szCs w:val="8"/>
                <w:b w:val="1"/>
                <w:bCs w:val="1"/>
                <w:color w:val="auto"/>
              </w:rPr>
              <w:t xml:space="preserve"> (3)</w:t>
            </w:r>
          </w:p>
        </w:tc>
        <w:tc>
          <w:tcPr>
            <w:tcW w:w="180" w:type="dxa"/>
            <w:vAlign w:val="bottom"/>
            <w:tcBorders>
              <w:bottom w:val="single" w:sz="8" w:color="005CA9"/>
            </w:tcBorders>
          </w:tcPr>
          <w:p>
            <w:pPr>
              <w:spacing w:after="0"/>
              <w:rPr>
                <w:sz w:val="18"/>
                <w:szCs w:val="18"/>
                <w:color w:val="auto"/>
              </w:rPr>
            </w:pPr>
          </w:p>
        </w:tc>
        <w:tc>
          <w:tcPr>
            <w:tcW w:w="1700" w:type="dxa"/>
            <w:vAlign w:val="bottom"/>
            <w:tcBorders>
              <w:bottom w:val="single" w:sz="8" w:color="005CA9"/>
            </w:tcBorders>
          </w:tcPr>
          <w:p>
            <w:pPr>
              <w:jc w:val="center"/>
              <w:ind w:right="12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5CA9"/>
            </w:tcBorders>
          </w:tcPr>
          <w:p>
            <w:pPr>
              <w:spacing w:after="0"/>
              <w:rPr>
                <w:sz w:val="18"/>
                <w:szCs w:val="18"/>
                <w:color w:val="auto"/>
              </w:rPr>
            </w:pPr>
          </w:p>
        </w:tc>
        <w:tc>
          <w:tcPr>
            <w:tcW w:w="1620" w:type="dxa"/>
            <w:vAlign w:val="bottom"/>
            <w:tcBorders>
              <w:bottom w:val="single" w:sz="8" w:color="005CA9"/>
            </w:tcBorders>
          </w:tcPr>
          <w:p>
            <w:pPr>
              <w:jc w:val="right"/>
              <w:ind w:right="528"/>
              <w:spacing w:after="0"/>
              <w:rPr>
                <w:sz w:val="20"/>
                <w:szCs w:val="20"/>
                <w:color w:val="auto"/>
              </w:rPr>
            </w:pPr>
            <w:r>
              <w:rPr>
                <w:rFonts w:ascii="Arial" w:cs="Arial" w:eastAsia="Arial" w:hAnsi="Arial"/>
                <w:sz w:val="14"/>
                <w:szCs w:val="14"/>
                <w:b w:val="1"/>
                <w:bCs w:val="1"/>
                <w:color w:val="auto"/>
              </w:rPr>
              <w:t>Paid to PEO</w:t>
            </w:r>
          </w:p>
        </w:tc>
      </w:tr>
      <w:tr>
        <w:trPr>
          <w:trHeight w:val="162"/>
        </w:trPr>
        <w:tc>
          <w:tcPr>
            <w:tcW w:w="1020" w:type="dxa"/>
            <w:vAlign w:val="bottom"/>
          </w:tcPr>
          <w:p>
            <w:pPr>
              <w:ind w:left="20"/>
              <w:spacing w:after="0" w:line="162" w:lineRule="exact"/>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(4)</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3,695,596</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2,968,150</w:t>
            </w:r>
          </w:p>
        </w:tc>
        <w:tc>
          <w:tcPr>
            <w:tcW w:w="54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(1,769,180)</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316</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(1,041,418)</w:t>
            </w:r>
          </w:p>
        </w:tc>
      </w:tr>
      <w:tr>
        <w:trPr>
          <w:trHeight w:val="162"/>
        </w:trPr>
        <w:tc>
          <w:tcPr>
            <w:tcW w:w="1020" w:type="dxa"/>
            <w:vAlign w:val="bottom"/>
            <w:shd w:val="clear" w:color="auto" w:fill="CFF0FC"/>
          </w:tcPr>
          <w:p>
            <w:pPr>
              <w:ind w:left="20"/>
              <w:spacing w:after="0" w:line="162" w:lineRule="exact"/>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8"/>
                <w:szCs w:val="18"/>
                <w:b w:val="1"/>
                <w:bCs w:val="1"/>
                <w:color w:val="auto"/>
                <w:vertAlign w:val="superscript"/>
              </w:rPr>
              <w:t>(5)</w:t>
            </w:r>
          </w:p>
        </w:tc>
        <w:tc>
          <w:tcPr>
            <w:tcW w:w="360" w:type="dxa"/>
            <w:vAlign w:val="bottom"/>
            <w:shd w:val="clear" w:color="auto" w:fill="CFF0FC"/>
          </w:tcPr>
          <w:p>
            <w:pPr>
              <w:spacing w:after="0"/>
              <w:rPr>
                <w:sz w:val="14"/>
                <w:szCs w:val="14"/>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4,331,731</w:t>
            </w:r>
          </w:p>
        </w:tc>
        <w:tc>
          <w:tcPr>
            <w:tcW w:w="26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2,722,423</w:t>
            </w:r>
          </w:p>
        </w:tc>
        <w:tc>
          <w:tcPr>
            <w:tcW w:w="540" w:type="dxa"/>
            <w:vAlign w:val="bottom"/>
            <w:shd w:val="clear" w:color="auto" w:fill="CFF0FC"/>
          </w:tcPr>
          <w:p>
            <w:pPr>
              <w:spacing w:after="0"/>
              <w:rPr>
                <w:sz w:val="14"/>
                <w:szCs w:val="14"/>
                <w:color w:val="auto"/>
              </w:rPr>
            </w:pPr>
          </w:p>
        </w:tc>
        <w:tc>
          <w:tcPr>
            <w:tcW w:w="1780" w:type="dxa"/>
            <w:vAlign w:val="bottom"/>
            <w:shd w:val="clear" w:color="auto" w:fill="CFF0FC"/>
          </w:tcPr>
          <w:p>
            <w:pPr>
              <w:jc w:val="right"/>
              <w:ind w:right="12"/>
              <w:spacing w:after="0"/>
              <w:rPr>
                <w:sz w:val="20"/>
                <w:szCs w:val="20"/>
                <w:color w:val="auto"/>
              </w:rPr>
            </w:pPr>
            <w:r>
              <w:rPr>
                <w:rFonts w:ascii="Arial" w:cs="Arial" w:eastAsia="Arial" w:hAnsi="Arial"/>
                <w:sz w:val="14"/>
                <w:szCs w:val="14"/>
                <w:b w:val="1"/>
                <w:bCs w:val="1"/>
                <w:color w:val="auto"/>
              </w:rPr>
              <w:t>919,154</w:t>
            </w:r>
          </w:p>
        </w:tc>
        <w:tc>
          <w:tcPr>
            <w:tcW w:w="180" w:type="dxa"/>
            <w:vAlign w:val="bottom"/>
            <w:shd w:val="clear" w:color="auto" w:fill="CFF0FC"/>
          </w:tcPr>
          <w:p>
            <w:pPr>
              <w:spacing w:after="0"/>
              <w:rPr>
                <w:sz w:val="14"/>
                <w:szCs w:val="14"/>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184,126</w:t>
            </w:r>
          </w:p>
        </w:tc>
        <w:tc>
          <w:tcPr>
            <w:tcW w:w="3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2,712,588</w:t>
            </w:r>
          </w:p>
        </w:tc>
      </w:tr>
      <w:tr>
        <w:trPr>
          <w:trHeight w:val="162"/>
        </w:trPr>
        <w:tc>
          <w:tcPr>
            <w:tcW w:w="1020" w:type="dxa"/>
            <w:vAlign w:val="bottom"/>
          </w:tcPr>
          <w:p>
            <w:pPr>
              <w:ind w:left="20"/>
              <w:spacing w:after="0"/>
              <w:rPr>
                <w:sz w:val="20"/>
                <w:szCs w:val="20"/>
                <w:color w:val="auto"/>
              </w:rPr>
            </w:pPr>
            <w:r>
              <w:rPr>
                <w:rFonts w:ascii="Arial" w:cs="Arial" w:eastAsia="Arial" w:hAnsi="Arial"/>
                <w:sz w:val="14"/>
                <w:szCs w:val="14"/>
                <w:color w:val="auto"/>
              </w:rPr>
              <w:t>2024</w:t>
            </w:r>
          </w:p>
        </w:tc>
        <w:tc>
          <w:tcPr>
            <w:tcW w:w="3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4,823,227</w:t>
            </w:r>
          </w:p>
        </w:tc>
        <w:tc>
          <w:tcPr>
            <w:tcW w:w="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3,821,600</w:t>
            </w:r>
          </w:p>
        </w:tc>
        <w:tc>
          <w:tcPr>
            <w:tcW w:w="5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(1,508,420)</w:t>
            </w: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369</w:t>
            </w: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(506,424)</w:t>
            </w:r>
          </w:p>
        </w:tc>
      </w:tr>
      <w:tr>
        <w:trPr>
          <w:trHeight w:val="162"/>
        </w:trPr>
        <w:tc>
          <w:tcPr>
            <w:tcW w:w="1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2023</w:t>
            </w:r>
          </w:p>
        </w:tc>
        <w:tc>
          <w:tcPr>
            <w:tcW w:w="360" w:type="dxa"/>
            <w:vAlign w:val="bottom"/>
            <w:shd w:val="clear" w:color="auto" w:fill="CFF0FC"/>
          </w:tcPr>
          <w:p>
            <w:pPr>
              <w:spacing w:after="0"/>
              <w:rPr>
                <w:sz w:val="14"/>
                <w:szCs w:val="14"/>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9,483,816</w:t>
            </w:r>
          </w:p>
        </w:tc>
        <w:tc>
          <w:tcPr>
            <w:tcW w:w="26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8,365,620</w:t>
            </w:r>
          </w:p>
        </w:tc>
        <w:tc>
          <w:tcPr>
            <w:tcW w:w="540" w:type="dxa"/>
            <w:vAlign w:val="bottom"/>
            <w:shd w:val="clear" w:color="auto" w:fill="CFF0FC"/>
          </w:tcPr>
          <w:p>
            <w:pPr>
              <w:spacing w:after="0"/>
              <w:rPr>
                <w:sz w:val="14"/>
                <w:szCs w:val="14"/>
                <w:color w:val="auto"/>
              </w:rPr>
            </w:pPr>
          </w:p>
        </w:tc>
        <w:tc>
          <w:tcPr>
            <w:tcW w:w="1780" w:type="dxa"/>
            <w:vAlign w:val="bottom"/>
            <w:shd w:val="clear" w:color="auto" w:fill="CFF0FC"/>
          </w:tcPr>
          <w:p>
            <w:pPr>
              <w:jc w:val="right"/>
              <w:ind w:right="12"/>
              <w:spacing w:after="0"/>
              <w:rPr>
                <w:sz w:val="20"/>
                <w:szCs w:val="20"/>
                <w:color w:val="auto"/>
              </w:rPr>
            </w:pPr>
            <w:r>
              <w:rPr>
                <w:rFonts w:ascii="Arial" w:cs="Arial" w:eastAsia="Arial" w:hAnsi="Arial"/>
                <w:sz w:val="14"/>
                <w:szCs w:val="14"/>
                <w:color w:val="auto"/>
              </w:rPr>
              <w:t>12,133,722</w:t>
            </w:r>
          </w:p>
        </w:tc>
        <w:tc>
          <w:tcPr>
            <w:tcW w:w="180" w:type="dxa"/>
            <w:vAlign w:val="bottom"/>
            <w:shd w:val="clear" w:color="auto" w:fill="CFF0FC"/>
          </w:tcPr>
          <w:p>
            <w:pPr>
              <w:spacing w:after="0"/>
              <w:rPr>
                <w:sz w:val="14"/>
                <w:szCs w:val="14"/>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341</w:t>
            </w:r>
          </w:p>
        </w:tc>
        <w:tc>
          <w:tcPr>
            <w:tcW w:w="340" w:type="dxa"/>
            <w:vAlign w:val="bottom"/>
            <w:shd w:val="clear" w:color="auto" w:fill="CFF0FC"/>
          </w:tcPr>
          <w:p>
            <w:pPr>
              <w:spacing w:after="0"/>
              <w:rPr>
                <w:sz w:val="14"/>
                <w:szCs w:val="14"/>
                <w:color w:val="auto"/>
              </w:rPr>
            </w:pPr>
          </w:p>
        </w:tc>
        <w:tc>
          <w:tcPr>
            <w:tcW w:w="1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13,252,259</w:t>
            </w:r>
          </w:p>
        </w:tc>
      </w:tr>
      <w:tr>
        <w:trPr>
          <w:trHeight w:val="162"/>
        </w:trPr>
        <w:tc>
          <w:tcPr>
            <w:tcW w:w="1020" w:type="dxa"/>
            <w:vAlign w:val="bottom"/>
          </w:tcPr>
          <w:p>
            <w:pPr>
              <w:ind w:left="20"/>
              <w:spacing w:after="0"/>
              <w:rPr>
                <w:sz w:val="20"/>
                <w:szCs w:val="20"/>
                <w:color w:val="auto"/>
              </w:rPr>
            </w:pPr>
            <w:r>
              <w:rPr>
                <w:rFonts w:ascii="Arial" w:cs="Arial" w:eastAsia="Arial" w:hAnsi="Arial"/>
                <w:sz w:val="14"/>
                <w:szCs w:val="14"/>
                <w:color w:val="auto"/>
              </w:rPr>
              <w:t>2022</w:t>
            </w:r>
          </w:p>
        </w:tc>
        <w:tc>
          <w:tcPr>
            <w:tcW w:w="3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9,045,646</w:t>
            </w:r>
          </w:p>
        </w:tc>
        <w:tc>
          <w:tcPr>
            <w:tcW w:w="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6,250,510</w:t>
            </w:r>
          </w:p>
        </w:tc>
        <w:tc>
          <w:tcPr>
            <w:tcW w:w="5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(5,045,133)</w:t>
            </w: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99</w:t>
            </w:r>
          </w:p>
        </w:tc>
        <w:tc>
          <w:tcPr>
            <w:tcW w:w="3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(2,249,898)</w:t>
            </w:r>
          </w:p>
        </w:tc>
      </w:tr>
      <w:tr>
        <w:trPr>
          <w:trHeight w:val="162"/>
        </w:trPr>
        <w:tc>
          <w:tcPr>
            <w:tcW w:w="1020" w:type="dxa"/>
            <w:vAlign w:val="bottom"/>
            <w:tcBorders>
              <w:bottom w:val="single" w:sz="8" w:color="005CA9"/>
            </w:tcBorders>
            <w:shd w:val="clear" w:color="auto" w:fill="CFF0FC"/>
          </w:tcPr>
          <w:p>
            <w:pPr>
              <w:ind w:left="2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005CA9"/>
            </w:tcBorders>
            <w:shd w:val="clear" w:color="auto" w:fill="CFF0FC"/>
          </w:tcPr>
          <w:p>
            <w:pPr>
              <w:spacing w:after="0"/>
              <w:rPr>
                <w:sz w:val="14"/>
                <w:szCs w:val="14"/>
                <w:color w:val="auto"/>
              </w:rPr>
            </w:pPr>
          </w:p>
        </w:tc>
        <w:tc>
          <w:tcPr>
            <w:tcW w:w="176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8,137,329</w:t>
            </w:r>
          </w:p>
        </w:tc>
        <w:tc>
          <w:tcPr>
            <w:tcW w:w="260" w:type="dxa"/>
            <w:vAlign w:val="bottom"/>
            <w:tcBorders>
              <w:bottom w:val="single" w:sz="8" w:color="005CA9"/>
            </w:tcBorders>
            <w:shd w:val="clear" w:color="auto" w:fill="CFF0FC"/>
          </w:tcPr>
          <w:p>
            <w:pPr>
              <w:spacing w:after="0"/>
              <w:rPr>
                <w:sz w:val="14"/>
                <w:szCs w:val="14"/>
                <w:color w:val="auto"/>
              </w:rPr>
            </w:pPr>
          </w:p>
        </w:tc>
        <w:tc>
          <w:tcPr>
            <w:tcW w:w="168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5,468,930</w:t>
            </w:r>
          </w:p>
        </w:tc>
        <w:tc>
          <w:tcPr>
            <w:tcW w:w="540" w:type="dxa"/>
            <w:vAlign w:val="bottom"/>
            <w:tcBorders>
              <w:bottom w:val="single" w:sz="8" w:color="005CA9"/>
            </w:tcBorders>
            <w:shd w:val="clear" w:color="auto" w:fill="CFF0FC"/>
          </w:tcPr>
          <w:p>
            <w:pPr>
              <w:spacing w:after="0"/>
              <w:rPr>
                <w:sz w:val="14"/>
                <w:szCs w:val="14"/>
                <w:color w:val="auto"/>
              </w:rPr>
            </w:pPr>
          </w:p>
        </w:tc>
        <w:tc>
          <w:tcPr>
            <w:tcW w:w="1780" w:type="dxa"/>
            <w:vAlign w:val="bottom"/>
            <w:tcBorders>
              <w:bottom w:val="single" w:sz="8" w:color="005CA9"/>
            </w:tcBorders>
            <w:shd w:val="clear" w:color="auto" w:fill="CFF0FC"/>
          </w:tcPr>
          <w:p>
            <w:pPr>
              <w:jc w:val="right"/>
              <w:ind w:right="12"/>
              <w:spacing w:after="0"/>
              <w:rPr>
                <w:sz w:val="20"/>
                <w:szCs w:val="20"/>
                <w:color w:val="auto"/>
              </w:rPr>
            </w:pPr>
            <w:r>
              <w:rPr>
                <w:rFonts w:ascii="Arial" w:cs="Arial" w:eastAsia="Arial" w:hAnsi="Arial"/>
                <w:sz w:val="14"/>
                <w:szCs w:val="14"/>
                <w:color w:val="auto"/>
              </w:rPr>
              <w:t>28,000,786</w:t>
            </w:r>
          </w:p>
        </w:tc>
        <w:tc>
          <w:tcPr>
            <w:tcW w:w="180" w:type="dxa"/>
            <w:vAlign w:val="bottom"/>
            <w:tcBorders>
              <w:bottom w:val="single" w:sz="8" w:color="005CA9"/>
            </w:tcBorders>
            <w:shd w:val="clear" w:color="auto" w:fill="CFF0FC"/>
          </w:tcPr>
          <w:p>
            <w:pPr>
              <w:spacing w:after="0"/>
              <w:rPr>
                <w:sz w:val="14"/>
                <w:szCs w:val="14"/>
                <w:color w:val="auto"/>
              </w:rPr>
            </w:pPr>
          </w:p>
        </w:tc>
        <w:tc>
          <w:tcPr>
            <w:tcW w:w="170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005CA9"/>
            </w:tcBorders>
            <w:shd w:val="clear" w:color="auto" w:fill="CFF0FC"/>
          </w:tcPr>
          <w:p>
            <w:pPr>
              <w:spacing w:after="0"/>
              <w:rPr>
                <w:sz w:val="14"/>
                <w:szCs w:val="14"/>
                <w:color w:val="auto"/>
              </w:rPr>
            </w:pPr>
          </w:p>
        </w:tc>
        <w:tc>
          <w:tcPr>
            <w:tcW w:w="1620" w:type="dxa"/>
            <w:vAlign w:val="bottom"/>
            <w:tcBorders>
              <w:bottom w:val="single" w:sz="8" w:color="005CA9"/>
            </w:tcBorders>
            <w:shd w:val="clear" w:color="auto" w:fill="CFF0FC"/>
          </w:tcPr>
          <w:p>
            <w:pPr>
              <w:jc w:val="right"/>
              <w:ind w:right="48"/>
              <w:spacing w:after="0"/>
              <w:rPr>
                <w:sz w:val="20"/>
                <w:szCs w:val="20"/>
                <w:color w:val="auto"/>
              </w:rPr>
            </w:pPr>
            <w:r>
              <w:rPr>
                <w:rFonts w:ascii="Arial" w:cs="Arial" w:eastAsia="Arial" w:hAnsi="Arial"/>
                <w:sz w:val="14"/>
                <w:szCs w:val="14"/>
                <w:color w:val="auto"/>
              </w:rPr>
              <w:t>30,669,186</w:t>
            </w:r>
          </w:p>
        </w:tc>
      </w:tr>
    </w:tbl>
    <w:p>
      <w:pPr>
        <w:ind w:left="300" w:hanging="292"/>
        <w:spacing w:after="0"/>
        <w:tabs>
          <w:tab w:leader="none" w:pos="300" w:val="left"/>
        </w:tabs>
        <w:numPr>
          <w:ilvl w:val="0"/>
          <w:numId w:val="53"/>
        </w:numPr>
        <w:rPr>
          <w:rFonts w:ascii="Calibri" w:cs="Calibri" w:eastAsia="Calibri" w:hAnsi="Calibri"/>
          <w:sz w:val="14"/>
          <w:szCs w:val="14"/>
          <w:color w:val="auto"/>
        </w:rPr>
      </w:pPr>
      <w:r>
        <w:rPr>
          <w:rFonts w:ascii="Arial" w:cs="Arial" w:eastAsia="Arial" w:hAnsi="Arial"/>
          <w:sz w:val="14"/>
          <w:szCs w:val="14"/>
          <w:color w:val="auto"/>
        </w:rPr>
        <w:t>The dollar amounts reported are the amounts of total compensation reported for our PEO in the Summary Compensation Table for the applicable fiscal year.</w:t>
      </w:r>
    </w:p>
    <w:p>
      <w:pPr>
        <w:spacing w:after="0" w:line="10" w:lineRule="exact"/>
        <w:rPr>
          <w:rFonts w:ascii="Calibri" w:cs="Calibri" w:eastAsia="Calibri" w:hAnsi="Calibri"/>
          <w:sz w:val="14"/>
          <w:szCs w:val="14"/>
          <w:color w:val="auto"/>
        </w:rPr>
      </w:pPr>
    </w:p>
    <w:p>
      <w:pPr>
        <w:ind w:left="300" w:hanging="292"/>
        <w:spacing w:after="0"/>
        <w:tabs>
          <w:tab w:leader="none" w:pos="300" w:val="left"/>
        </w:tabs>
        <w:numPr>
          <w:ilvl w:val="0"/>
          <w:numId w:val="53"/>
        </w:numPr>
        <w:rPr>
          <w:rFonts w:ascii="Calibri" w:cs="Calibri" w:eastAsia="Calibri" w:hAnsi="Calibri"/>
          <w:sz w:val="14"/>
          <w:szCs w:val="14"/>
          <w:color w:val="auto"/>
        </w:rPr>
      </w:pPr>
      <w:r>
        <w:rPr>
          <w:rFonts w:ascii="Arial" w:cs="Arial" w:eastAsia="Arial" w:hAnsi="Arial"/>
          <w:sz w:val="14"/>
          <w:szCs w:val="14"/>
          <w:color w:val="auto"/>
        </w:rPr>
        <w:t>Represents the grant date fair value of the equity awards to our PEO, as reported in the “Stock Awards” column in the Summary Compensation Table for each applicable year.</w:t>
      </w:r>
    </w:p>
    <w:p>
      <w:pPr>
        <w:spacing w:after="0" w:line="165" w:lineRule="exact"/>
        <w:rPr>
          <w:rFonts w:ascii="Calibri" w:cs="Calibri" w:eastAsia="Calibri" w:hAnsi="Calibri"/>
          <w:sz w:val="14"/>
          <w:szCs w:val="14"/>
          <w:color w:val="auto"/>
        </w:rPr>
      </w:pPr>
    </w:p>
    <w:p>
      <w:pPr>
        <w:jc w:val="both"/>
        <w:ind w:left="300" w:hanging="292"/>
        <w:spacing w:after="0" w:line="237" w:lineRule="auto"/>
        <w:tabs>
          <w:tab w:leader="none" w:pos="300" w:val="left"/>
        </w:tabs>
        <w:numPr>
          <w:ilvl w:val="0"/>
          <w:numId w:val="53"/>
        </w:numPr>
        <w:rPr>
          <w:rFonts w:ascii="Calibri" w:cs="Calibri" w:eastAsia="Calibri" w:hAnsi="Calibri"/>
          <w:sz w:val="14"/>
          <w:szCs w:val="14"/>
          <w:color w:val="auto"/>
        </w:rPr>
      </w:pPr>
      <w:r>
        <w:rPr>
          <w:rFonts w:ascii="Arial" w:cs="Arial" w:eastAsia="Arial" w:hAnsi="Arial"/>
          <w:sz w:val="14"/>
          <w:szCs w:val="14"/>
          <w:color w:val="auto"/>
        </w:rPr>
        <w:t>Represents the year-over-year change in the fair value of equity awards to our PEO, as itemized in the table below. No awards granted in any year vested in the year they were granted. Fair value or change in fair value, as applicable, of equity awards in the "Compensation Actually Paid" columns was determined by reference to (a) for RSU awards, closing price on applicable year-end dates (b) for PSU awards, the same valuation methodology as RSU awards above except year-end share amounts are multiplied by the probability of achievement as of each such date.</w:t>
      </w:r>
    </w:p>
    <w:p>
      <w:pPr>
        <w:spacing w:after="0" w:line="2" w:lineRule="exact"/>
        <w:rPr>
          <w:rFonts w:ascii="Calibri" w:cs="Calibri" w:eastAsia="Calibri" w:hAnsi="Calibri"/>
          <w:sz w:val="14"/>
          <w:szCs w:val="14"/>
          <w:color w:val="auto"/>
        </w:rPr>
      </w:pPr>
    </w:p>
    <w:p>
      <w:pPr>
        <w:ind w:left="300" w:hanging="292"/>
        <w:spacing w:after="0"/>
        <w:tabs>
          <w:tab w:leader="none" w:pos="300" w:val="left"/>
        </w:tabs>
        <w:numPr>
          <w:ilvl w:val="0"/>
          <w:numId w:val="53"/>
        </w:numPr>
        <w:rPr>
          <w:rFonts w:ascii="Calibri" w:cs="Calibri" w:eastAsia="Calibri" w:hAnsi="Calibri"/>
          <w:sz w:val="14"/>
          <w:szCs w:val="14"/>
          <w:color w:val="auto"/>
        </w:rPr>
      </w:pPr>
      <w:r>
        <w:rPr>
          <w:rFonts w:ascii="Arial" w:cs="Arial" w:eastAsia="Arial" w:hAnsi="Arial"/>
          <w:sz w:val="14"/>
          <w:szCs w:val="14"/>
          <w:color w:val="auto"/>
        </w:rPr>
        <w:t>Reflects compensation for Dr. Keh-Shew Lu, who was PEO until May 13, 2025.</w:t>
      </w:r>
    </w:p>
    <w:p>
      <w:pPr>
        <w:spacing w:after="0" w:line="5" w:lineRule="exact"/>
        <w:rPr>
          <w:rFonts w:ascii="Calibri" w:cs="Calibri" w:eastAsia="Calibri" w:hAnsi="Calibri"/>
          <w:sz w:val="14"/>
          <w:szCs w:val="14"/>
          <w:color w:val="auto"/>
        </w:rPr>
      </w:pPr>
    </w:p>
    <w:p>
      <w:pPr>
        <w:ind w:left="300" w:hanging="292"/>
        <w:spacing w:after="0"/>
        <w:tabs>
          <w:tab w:leader="none" w:pos="300" w:val="left"/>
        </w:tabs>
        <w:numPr>
          <w:ilvl w:val="0"/>
          <w:numId w:val="53"/>
        </w:numPr>
        <w:rPr>
          <w:rFonts w:ascii="Calibri" w:cs="Calibri" w:eastAsia="Calibri" w:hAnsi="Calibri"/>
          <w:sz w:val="14"/>
          <w:szCs w:val="14"/>
          <w:color w:val="auto"/>
        </w:rPr>
      </w:pPr>
      <w:r>
        <w:rPr>
          <w:rFonts w:ascii="Arial" w:cs="Arial" w:eastAsia="Arial" w:hAnsi="Arial"/>
          <w:sz w:val="14"/>
          <w:szCs w:val="14"/>
          <w:color w:val="auto"/>
        </w:rPr>
        <w:t>Reflects compensation for Gary Yu, who became PEO on May 13, 2025.</w:t>
      </w:r>
    </w:p>
    <w:p>
      <w:pPr>
        <w:spacing w:after="0" w:line="12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Equity Award Adjustments for PEO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9" w:lineRule="exact"/>
        <w:rPr>
          <w:sz w:val="20"/>
          <w:szCs w:val="20"/>
          <w:color w:val="auto"/>
        </w:rPr>
      </w:pPr>
    </w:p>
    <w:p>
      <w:pPr>
        <w:ind w:left="3680"/>
        <w:spacing w:after="0"/>
        <w:tabs>
          <w:tab w:leader="none" w:pos="5280" w:val="left"/>
          <w:tab w:leader="none" w:pos="6800" w:val="left"/>
          <w:tab w:leader="none" w:pos="8440" w:val="left"/>
          <w:tab w:leader="none" w:pos="10180" w:val="left"/>
        </w:tabs>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9"/>
          <w:szCs w:val="19"/>
          <w:b w:val="1"/>
          <w:bCs w:val="1"/>
          <w:color w:val="auto"/>
          <w:vertAlign w:val="superscript"/>
        </w:rPr>
        <w:t>(1)</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Fair Value of Equity Awards for PEO</w:t>
      </w:r>
    </w:p>
    <w:p>
      <w:pPr>
        <w:spacing w:after="0" w:line="1" w:lineRule="exact"/>
        <w:rPr>
          <w:sz w:val="20"/>
          <w:szCs w:val="20"/>
          <w:color w:val="auto"/>
        </w:rPr>
      </w:pPr>
    </w:p>
    <w:p>
      <w:pPr>
        <w:spacing w:after="0" w:line="182" w:lineRule="auto"/>
        <w:rPr>
          <w:sz w:val="20"/>
          <w:szCs w:val="20"/>
          <w:color w:val="auto"/>
        </w:rPr>
      </w:pPr>
      <w:r>
        <w:rPr>
          <w:rFonts w:ascii="Arial" w:cs="Arial" w:eastAsia="Arial" w:hAnsi="Arial"/>
          <w:sz w:val="13"/>
          <w:szCs w:val="13"/>
          <w:color w:val="auto"/>
        </w:rPr>
        <w:t xml:space="preserve">Plus as of year-end value for awards granted </w:t>
      </w:r>
      <w:r>
        <w:rPr>
          <w:rFonts w:ascii="Arial" w:cs="Arial" w:eastAsia="Arial" w:hAnsi="Arial"/>
          <w:sz w:val="24"/>
          <w:szCs w:val="24"/>
          <w:color w:val="auto"/>
          <w:vertAlign w:val="subscript"/>
        </w:rPr>
        <w:t>$</w:t>
      </w:r>
      <w:r>
        <w:rPr>
          <w:rFonts w:ascii="Arial" w:cs="Arial" w:eastAsia="Arial" w:hAnsi="Arial"/>
          <w:sz w:val="13"/>
          <w:szCs w:val="13"/>
          <w:color w:val="auto"/>
        </w:rPr>
        <w:t xml:space="preserve"> during the year</w:t>
      </w:r>
    </w:p>
    <w:p>
      <w:pPr>
        <w:spacing w:after="0" w:line="1" w:lineRule="exact"/>
        <w:rPr>
          <w:sz w:val="20"/>
          <w:szCs w:val="20"/>
          <w:color w:val="auto"/>
        </w:rPr>
      </w:pPr>
    </w:p>
    <w:p>
      <w:pPr>
        <w:ind w:right="300"/>
        <w:spacing w:after="0" w:line="241" w:lineRule="auto"/>
        <w:rPr>
          <w:sz w:val="20"/>
          <w:szCs w:val="20"/>
          <w:color w:val="auto"/>
        </w:rPr>
      </w:pPr>
      <w:r>
        <w:rPr>
          <w:rFonts w:ascii="Arial" w:cs="Arial" w:eastAsia="Arial" w:hAnsi="Arial"/>
          <w:sz w:val="14"/>
          <w:szCs w:val="14"/>
          <w:color w:val="auto"/>
        </w:rPr>
        <w:t>Plus year-over-year change of unvested awards granted in previous years</w:t>
      </w:r>
    </w:p>
    <w:p>
      <w:pPr>
        <w:spacing w:after="0" w:line="1" w:lineRule="exact"/>
        <w:rPr>
          <w:sz w:val="20"/>
          <w:szCs w:val="20"/>
          <w:color w:val="auto"/>
        </w:rPr>
      </w:pPr>
    </w:p>
    <w:p>
      <w:pPr>
        <w:ind w:right="140"/>
        <w:spacing w:after="0" w:line="241" w:lineRule="auto"/>
        <w:rPr>
          <w:sz w:val="20"/>
          <w:szCs w:val="20"/>
          <w:color w:val="auto"/>
        </w:rPr>
      </w:pPr>
      <w:r>
        <w:rPr>
          <w:rFonts w:ascii="Arial" w:cs="Arial" w:eastAsia="Arial" w:hAnsi="Arial"/>
          <w:sz w:val="14"/>
          <w:szCs w:val="14"/>
          <w:color w:val="auto"/>
        </w:rPr>
        <w:t>Plus change from prior fiscal year-end awards that vested during the year</w:t>
      </w:r>
    </w:p>
    <w:p>
      <w:pPr>
        <w:spacing w:after="0" w:line="1" w:lineRule="exact"/>
        <w:rPr>
          <w:sz w:val="20"/>
          <w:szCs w:val="20"/>
          <w:color w:val="auto"/>
        </w:rPr>
      </w:pPr>
    </w:p>
    <w:p>
      <w:pPr>
        <w:ind w:right="320"/>
        <w:spacing w:after="0" w:line="241" w:lineRule="auto"/>
        <w:rPr>
          <w:sz w:val="20"/>
          <w:szCs w:val="20"/>
          <w:color w:val="auto"/>
        </w:rPr>
      </w:pPr>
      <w:r>
        <w:rPr>
          <w:rFonts w:ascii="Arial" w:cs="Arial" w:eastAsia="Arial" w:hAnsi="Arial"/>
          <w:sz w:val="14"/>
          <w:szCs w:val="14"/>
          <w:color w:val="auto"/>
        </w:rPr>
        <w:t>Minus awards granted in prior years that did not meet vesting conditions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Total equity award adjustments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jc w:val="right"/>
              <w:ind w:right="108"/>
              <w:spacing w:after="0"/>
              <w:rPr>
                <w:sz w:val="20"/>
                <w:szCs w:val="20"/>
                <w:color w:val="auto"/>
              </w:rPr>
            </w:pPr>
            <w:r>
              <w:rPr>
                <w:rFonts w:ascii="Arial" w:cs="Arial" w:eastAsia="Arial" w:hAnsi="Arial"/>
                <w:sz w:val="14"/>
                <w:szCs w:val="14"/>
                <w:color w:val="auto"/>
              </w:rPr>
              <w:t>2,615,020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4,995,270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10,628,640</w:t>
            </w: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7,690,140</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11,090,810</w:t>
            </w:r>
          </w:p>
        </w:tc>
      </w:tr>
      <w:tr>
        <w:trPr>
          <w:trHeight w:val="324"/>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(1,522,755)</w:t>
            </w:r>
          </w:p>
        </w:tc>
        <w:tc>
          <w:tcPr>
            <w:tcW w:w="4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(3,991,488)</w:t>
            </w:r>
          </w:p>
        </w:tc>
        <w:tc>
          <w:tcPr>
            <w:tcW w:w="4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828,753</w:t>
            </w:r>
          </w:p>
        </w:tc>
        <w:tc>
          <w:tcPr>
            <w:tcW w:w="5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(8,169,217)</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9,551,577</w:t>
            </w:r>
          </w:p>
        </w:tc>
      </w:tr>
      <w:tr>
        <w:trPr>
          <w:trHeight w:val="324"/>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(271,305)</w:t>
            </w:r>
          </w:p>
        </w:tc>
        <w:tc>
          <w:tcPr>
            <w:tcW w:w="4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(5,682,752)</w:t>
            </w:r>
          </w:p>
        </w:tc>
        <w:tc>
          <w:tcPr>
            <w:tcW w:w="4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676,329</w:t>
            </w:r>
          </w:p>
        </w:tc>
        <w:tc>
          <w:tcPr>
            <w:tcW w:w="5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(4,566,056)</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7,358,400</w:t>
            </w:r>
          </w:p>
        </w:tc>
      </w:tr>
      <w:tr>
        <w:trPr>
          <w:trHeight w:val="324"/>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(2,590,140)</w:t>
            </w:r>
          </w:p>
        </w:tc>
        <w:tc>
          <w:tcPr>
            <w:tcW w:w="44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(2,576,640)</w:t>
            </w:r>
          </w:p>
        </w:tc>
        <w:tc>
          <w:tcPr>
            <w:tcW w:w="400" w:type="dxa"/>
            <w:vAlign w:val="bottom"/>
          </w:tcPr>
          <w:p>
            <w:pPr>
              <w:spacing w:after="0"/>
              <w:rPr>
                <w:sz w:val="24"/>
                <w:szCs w:val="2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2"/>
        </w:trPr>
        <w:tc>
          <w:tcPr>
            <w:tcW w:w="860" w:type="dxa"/>
            <w:vAlign w:val="bottom"/>
          </w:tcPr>
          <w:p>
            <w:pPr>
              <w:jc w:val="right"/>
              <w:ind w:right="48"/>
              <w:spacing w:after="0"/>
              <w:rPr>
                <w:sz w:val="20"/>
                <w:szCs w:val="20"/>
                <w:color w:val="auto"/>
              </w:rPr>
            </w:pPr>
            <w:r>
              <w:rPr>
                <w:rFonts w:ascii="Arial" w:cs="Arial" w:eastAsia="Arial" w:hAnsi="Arial"/>
                <w:sz w:val="14"/>
                <w:szCs w:val="14"/>
                <w:color w:val="auto"/>
              </w:rPr>
              <w:t>(1,769,180)</w:t>
            </w:r>
          </w:p>
        </w:tc>
        <w:tc>
          <w:tcPr>
            <w:tcW w:w="44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(7,255,609)</w:t>
            </w:r>
          </w:p>
        </w:tc>
        <w:tc>
          <w:tcPr>
            <w:tcW w:w="4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12,133,722</w:t>
            </w:r>
          </w:p>
        </w:tc>
        <w:tc>
          <w:tcPr>
            <w:tcW w:w="5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(5,045,133)</w:t>
            </w: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28,000,786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-730885</wp:posOffset>
            </wp:positionV>
            <wp:extent cx="7132320"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-319405</wp:posOffset>
            </wp:positionV>
            <wp:extent cx="7132320" cy="205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-10795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500"/>
            <w:col w:w="7380"/>
          </w:cols>
          <w:pgMar w:left="320" w:top="778" w:right="339" w:bottom="1440" w:gutter="0" w:footer="0" w:header="0"/>
          <w:type w:val="continuous"/>
        </w:sectPr>
      </w:pPr>
    </w:p>
    <w:p>
      <w:pPr>
        <w:ind w:left="320" w:hanging="312"/>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Reflects compensation for Dr. Keh-Shew Lu, who was PEO until May 13, 2025.</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59" w:name="page60"/>
    <w:bookmarkEnd w:id="59"/>
    <w:p>
      <w:pPr>
        <w:jc w:val="center"/>
        <w:ind w:right="120"/>
        <w:spacing w:after="0"/>
        <w:rPr>
          <w:sz w:val="20"/>
          <w:szCs w:val="20"/>
          <w:color w:val="auto"/>
        </w:rPr>
      </w:pPr>
      <w:r>
        <w:rPr>
          <w:rFonts w:ascii="Arial" w:cs="Arial" w:eastAsia="Arial" w:hAnsi="Arial"/>
          <w:sz w:val="14"/>
          <w:szCs w:val="14"/>
          <w:color w:val="auto"/>
        </w:rPr>
        <w:t>Equity Award Adjustments for PEO 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Borders>
              <w:top w:val="single" w:sz="8" w:color="005CA9"/>
              <w:bottom w:val="single" w:sz="8" w:color="005CA9"/>
            </w:tcBorders>
          </w:tcPr>
          <w:p>
            <w:pPr>
              <w:spacing w:after="0"/>
              <w:rPr>
                <w:sz w:val="17"/>
                <w:szCs w:val="17"/>
                <w:color w:val="auto"/>
              </w:rPr>
            </w:pPr>
          </w:p>
        </w:tc>
        <w:tc>
          <w:tcPr>
            <w:tcW w:w="2200" w:type="dxa"/>
            <w:vAlign w:val="bottom"/>
            <w:tcBorders>
              <w:top w:val="single" w:sz="8" w:color="005CA9"/>
              <w:bottom w:val="single" w:sz="8" w:color="005CA9"/>
            </w:tcBorders>
          </w:tcPr>
          <w:p>
            <w:pPr>
              <w:spacing w:after="0"/>
              <w:rPr>
                <w:sz w:val="17"/>
                <w:szCs w:val="17"/>
                <w:color w:val="auto"/>
              </w:rPr>
            </w:pPr>
          </w:p>
        </w:tc>
        <w:tc>
          <w:tcPr>
            <w:tcW w:w="2620" w:type="dxa"/>
            <w:vAlign w:val="bottom"/>
            <w:tcBorders>
              <w:top w:val="single" w:sz="8" w:color="005CA9"/>
              <w:bottom w:val="single" w:sz="8" w:color="005CA9"/>
            </w:tcBorders>
          </w:tcPr>
          <w:p>
            <w:pPr>
              <w:jc w:val="right"/>
              <w:ind w:right="1428"/>
              <w:spacing w:after="0" w:line="183" w:lineRule="exact"/>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9"/>
                <w:szCs w:val="19"/>
                <w:b w:val="1"/>
                <w:bCs w:val="1"/>
                <w:color w:val="auto"/>
                <w:vertAlign w:val="superscript"/>
              </w:rPr>
              <w:t>(1)</w:t>
            </w:r>
          </w:p>
        </w:tc>
      </w:tr>
      <w:tr>
        <w:trPr>
          <w:trHeight w:val="162"/>
        </w:trPr>
        <w:tc>
          <w:tcPr>
            <w:tcW w:w="6420" w:type="dxa"/>
            <w:vAlign w:val="bottom"/>
            <w:shd w:val="clear" w:color="auto" w:fill="CFF0FC"/>
          </w:tcPr>
          <w:p>
            <w:pPr>
              <w:spacing w:after="0"/>
              <w:rPr>
                <w:sz w:val="20"/>
                <w:szCs w:val="20"/>
                <w:color w:val="auto"/>
              </w:rPr>
            </w:pPr>
            <w:r>
              <w:rPr>
                <w:rFonts w:ascii="Arial" w:cs="Arial" w:eastAsia="Arial" w:hAnsi="Arial"/>
                <w:sz w:val="14"/>
                <w:szCs w:val="14"/>
                <w:color w:val="auto"/>
              </w:rPr>
              <w:t>Fair Value of Equity Awards for PEO</w:t>
            </w:r>
          </w:p>
        </w:tc>
        <w:tc>
          <w:tcPr>
            <w:tcW w:w="2200" w:type="dxa"/>
            <w:vAlign w:val="bottom"/>
            <w:shd w:val="clear" w:color="auto" w:fill="CFF0FC"/>
          </w:tcPr>
          <w:p>
            <w:pPr>
              <w:spacing w:after="0"/>
              <w:rPr>
                <w:sz w:val="14"/>
                <w:szCs w:val="14"/>
                <w:color w:val="auto"/>
              </w:rPr>
            </w:pPr>
          </w:p>
        </w:tc>
        <w:tc>
          <w:tcPr>
            <w:tcW w:w="2620" w:type="dxa"/>
            <w:vAlign w:val="bottom"/>
            <w:shd w:val="clear" w:color="auto" w:fill="CFF0FC"/>
          </w:tcPr>
          <w:p>
            <w:pPr>
              <w:spacing w:after="0"/>
              <w:rPr>
                <w:sz w:val="14"/>
                <w:szCs w:val="14"/>
                <w:color w:val="auto"/>
              </w:rPr>
            </w:pP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Plus as of year-end value for awards granted during the year</w:t>
            </w:r>
          </w:p>
        </w:tc>
        <w:tc>
          <w:tcPr>
            <w:tcW w:w="22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2620" w:type="dxa"/>
            <w:vAlign w:val="bottom"/>
          </w:tcPr>
          <w:p>
            <w:pPr>
              <w:jc w:val="right"/>
              <w:ind w:right="48"/>
              <w:spacing w:after="0"/>
              <w:rPr>
                <w:sz w:val="20"/>
                <w:szCs w:val="20"/>
                <w:color w:val="auto"/>
              </w:rPr>
            </w:pPr>
            <w:r>
              <w:rPr>
                <w:rFonts w:ascii="Arial" w:cs="Arial" w:eastAsia="Arial" w:hAnsi="Arial"/>
                <w:sz w:val="14"/>
                <w:szCs w:val="14"/>
                <w:color w:val="auto"/>
              </w:rPr>
              <w:t>2,413,466</w:t>
            </w:r>
          </w:p>
        </w:tc>
      </w:tr>
      <w:tr>
        <w:trPr>
          <w:trHeight w:val="162"/>
        </w:trPr>
        <w:tc>
          <w:tcPr>
            <w:tcW w:w="6420" w:type="dxa"/>
            <w:vAlign w:val="bottom"/>
            <w:shd w:val="clear" w:color="auto" w:fill="CFF0FC"/>
          </w:tcPr>
          <w:p>
            <w:pPr>
              <w:spacing w:after="0"/>
              <w:rPr>
                <w:sz w:val="20"/>
                <w:szCs w:val="20"/>
                <w:color w:val="auto"/>
              </w:rPr>
            </w:pPr>
            <w:r>
              <w:rPr>
                <w:rFonts w:ascii="Arial" w:cs="Arial" w:eastAsia="Arial" w:hAnsi="Arial"/>
                <w:sz w:val="14"/>
                <w:szCs w:val="14"/>
                <w:color w:val="auto"/>
              </w:rPr>
              <w:t>Plus year-over-year change of unvested awards granted in previous years</w:t>
            </w:r>
          </w:p>
        </w:tc>
        <w:tc>
          <w:tcPr>
            <w:tcW w:w="2200" w:type="dxa"/>
            <w:vAlign w:val="bottom"/>
            <w:shd w:val="clear" w:color="auto" w:fill="CFF0FC"/>
          </w:tcPr>
          <w:p>
            <w:pPr>
              <w:spacing w:after="0"/>
              <w:rPr>
                <w:sz w:val="14"/>
                <w:szCs w:val="14"/>
                <w:color w:val="auto"/>
              </w:rPr>
            </w:pPr>
          </w:p>
        </w:tc>
        <w:tc>
          <w:tcPr>
            <w:tcW w:w="2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(769,084)</w:t>
            </w:r>
          </w:p>
        </w:tc>
      </w:tr>
      <w:tr>
        <w:trPr>
          <w:trHeight w:val="162"/>
        </w:trPr>
        <w:tc>
          <w:tcPr>
            <w:tcW w:w="6420" w:type="dxa"/>
            <w:vAlign w:val="bottom"/>
          </w:tcPr>
          <w:p>
            <w:pPr>
              <w:spacing w:after="0"/>
              <w:rPr>
                <w:sz w:val="20"/>
                <w:szCs w:val="20"/>
                <w:color w:val="auto"/>
              </w:rPr>
            </w:pPr>
            <w:r>
              <w:rPr>
                <w:rFonts w:ascii="Arial" w:cs="Arial" w:eastAsia="Arial" w:hAnsi="Arial"/>
                <w:sz w:val="14"/>
                <w:szCs w:val="14"/>
                <w:color w:val="auto"/>
              </w:rPr>
              <w:t>Plus change from prior fiscal year-end awards that vested during the year</w:t>
            </w:r>
          </w:p>
        </w:tc>
        <w:tc>
          <w:tcPr>
            <w:tcW w:w="2200" w:type="dxa"/>
            <w:vAlign w:val="bottom"/>
          </w:tcPr>
          <w:p>
            <w:pPr>
              <w:spacing w:after="0"/>
              <w:rPr>
                <w:sz w:val="14"/>
                <w:szCs w:val="14"/>
                <w:color w:val="auto"/>
              </w:rPr>
            </w:pPr>
          </w:p>
        </w:tc>
        <w:tc>
          <w:tcPr>
            <w:tcW w:w="2620" w:type="dxa"/>
            <w:vAlign w:val="bottom"/>
          </w:tcPr>
          <w:p>
            <w:pPr>
              <w:jc w:val="right"/>
              <w:spacing w:after="0"/>
              <w:rPr>
                <w:sz w:val="20"/>
                <w:szCs w:val="20"/>
                <w:color w:val="auto"/>
              </w:rPr>
            </w:pPr>
            <w:r>
              <w:rPr>
                <w:rFonts w:ascii="Arial" w:cs="Arial" w:eastAsia="Arial" w:hAnsi="Arial"/>
                <w:sz w:val="14"/>
                <w:szCs w:val="14"/>
                <w:color w:val="auto"/>
              </w:rPr>
              <w:t>(83,809)</w:t>
            </w:r>
          </w:p>
        </w:tc>
      </w:tr>
      <w:tr>
        <w:trPr>
          <w:trHeight w:val="162"/>
        </w:trPr>
        <w:tc>
          <w:tcPr>
            <w:tcW w:w="6420" w:type="dxa"/>
            <w:vAlign w:val="bottom"/>
            <w:shd w:val="clear" w:color="auto" w:fill="CFF0FC"/>
          </w:tcPr>
          <w:p>
            <w:pPr>
              <w:spacing w:after="0"/>
              <w:rPr>
                <w:sz w:val="20"/>
                <w:szCs w:val="20"/>
                <w:color w:val="auto"/>
              </w:rPr>
            </w:pPr>
            <w:r>
              <w:rPr>
                <w:rFonts w:ascii="Arial" w:cs="Arial" w:eastAsia="Arial" w:hAnsi="Arial"/>
                <w:sz w:val="14"/>
                <w:szCs w:val="14"/>
                <w:color w:val="auto"/>
              </w:rPr>
              <w:t>Minus awards granted in prior years that did not meet vesting conditions</w:t>
            </w:r>
          </w:p>
        </w:tc>
        <w:tc>
          <w:tcPr>
            <w:tcW w:w="2200" w:type="dxa"/>
            <w:vAlign w:val="bottom"/>
            <w:shd w:val="clear" w:color="auto" w:fill="CFF0FC"/>
          </w:tcPr>
          <w:p>
            <w:pPr>
              <w:spacing w:after="0"/>
              <w:rPr>
                <w:sz w:val="14"/>
                <w:szCs w:val="14"/>
                <w:color w:val="auto"/>
              </w:rPr>
            </w:pPr>
          </w:p>
        </w:tc>
        <w:tc>
          <w:tcPr>
            <w:tcW w:w="2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(641,420)</w:t>
            </w:r>
          </w:p>
        </w:tc>
      </w:tr>
      <w:tr>
        <w:trPr>
          <w:trHeight w:val="162"/>
        </w:trPr>
        <w:tc>
          <w:tcPr>
            <w:tcW w:w="6420" w:type="dxa"/>
            <w:vAlign w:val="bottom"/>
            <w:tcBorders>
              <w:bottom w:val="single" w:sz="8" w:color="005CA9"/>
            </w:tcBorders>
          </w:tcPr>
          <w:p>
            <w:pPr>
              <w:spacing w:after="0"/>
              <w:rPr>
                <w:sz w:val="20"/>
                <w:szCs w:val="20"/>
                <w:color w:val="auto"/>
              </w:rPr>
            </w:pPr>
            <w:r>
              <w:rPr>
                <w:rFonts w:ascii="Arial" w:cs="Arial" w:eastAsia="Arial" w:hAnsi="Arial"/>
                <w:sz w:val="14"/>
                <w:szCs w:val="14"/>
                <w:color w:val="auto"/>
              </w:rPr>
              <w:t>Total equity award adjustments</w:t>
            </w:r>
          </w:p>
        </w:tc>
        <w:tc>
          <w:tcPr>
            <w:tcW w:w="2200" w:type="dxa"/>
            <w:vAlign w:val="bottom"/>
            <w:tcBorders>
              <w:bottom w:val="single" w:sz="8" w:color="005CA9"/>
            </w:tcBorders>
          </w:tcPr>
          <w:p>
            <w:pPr>
              <w:spacing w:after="0"/>
              <w:rPr>
                <w:sz w:val="14"/>
                <w:szCs w:val="14"/>
                <w:color w:val="auto"/>
              </w:rPr>
            </w:pPr>
          </w:p>
        </w:tc>
        <w:tc>
          <w:tcPr>
            <w:tcW w:w="2620" w:type="dxa"/>
            <w:vAlign w:val="bottom"/>
            <w:tcBorders>
              <w:bottom w:val="single" w:sz="8" w:color="005CA9"/>
            </w:tcBorders>
          </w:tcPr>
          <w:p>
            <w:pPr>
              <w:jc w:val="right"/>
              <w:ind w:right="48"/>
              <w:spacing w:after="0"/>
              <w:rPr>
                <w:sz w:val="20"/>
                <w:szCs w:val="20"/>
                <w:color w:val="auto"/>
              </w:rPr>
            </w:pPr>
            <w:r>
              <w:rPr>
                <w:rFonts w:ascii="Arial" w:cs="Arial" w:eastAsia="Arial" w:hAnsi="Arial"/>
                <w:sz w:val="14"/>
                <w:szCs w:val="14"/>
                <w:color w:val="auto"/>
              </w:rPr>
              <w:t>919,154</w:t>
            </w:r>
          </w:p>
        </w:tc>
      </w:tr>
      <w:tr>
        <w:trPr>
          <w:trHeight w:val="184"/>
        </w:trPr>
        <w:tc>
          <w:tcPr>
            <w:tcW w:w="6420" w:type="dxa"/>
            <w:vAlign w:val="bottom"/>
          </w:tcPr>
          <w:p>
            <w:pPr>
              <w:spacing w:after="0"/>
              <w:rPr>
                <w:sz w:val="20"/>
                <w:szCs w:val="20"/>
                <w:color w:val="auto"/>
              </w:rPr>
            </w:pPr>
            <w:r>
              <w:rPr>
                <w:rFonts w:ascii="Arial" w:cs="Arial" w:eastAsia="Arial" w:hAnsi="Arial"/>
                <w:sz w:val="14"/>
                <w:szCs w:val="14"/>
                <w:color w:val="auto"/>
              </w:rPr>
              <w:t>(1)  Reflects compensation for Gary Yu, who became PEO on May 13, 2025.</w:t>
            </w:r>
          </w:p>
        </w:tc>
        <w:tc>
          <w:tcPr>
            <w:tcW w:w="2200" w:type="dxa"/>
            <w:vAlign w:val="bottom"/>
          </w:tcPr>
          <w:p>
            <w:pPr>
              <w:spacing w:after="0"/>
              <w:rPr>
                <w:sz w:val="15"/>
                <w:szCs w:val="15"/>
                <w:color w:val="auto"/>
              </w:rPr>
            </w:pPr>
          </w:p>
        </w:tc>
        <w:tc>
          <w:tcPr>
            <w:tcW w:w="2620" w:type="dxa"/>
            <w:vAlign w:val="bottom"/>
          </w:tcPr>
          <w:p>
            <w:pPr>
              <w:spacing w:after="0"/>
              <w:rPr>
                <w:sz w:val="15"/>
                <w:szCs w:val="15"/>
                <w:color w:val="auto"/>
              </w:rPr>
            </w:pPr>
          </w:p>
        </w:tc>
      </w:tr>
    </w:tbl>
    <w:p>
      <w:pPr>
        <w:spacing w:after="0" w:line="5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To calculate the amounts in the “Average Compensation Actually Paid to Non-PEO NEOs” column in the Pay versus Performance table above, the following amounts were deducted from and added to (as applicable) the average of the “Total” compensation of our non-PEO NEOs for each applicable year, as reported in the Summary Compensation Table above.</w:t>
      </w:r>
    </w:p>
    <w:p>
      <w:pPr>
        <w:spacing w:after="0" w:line="76"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Average Compensation Actually Paid to Non-PEO NEOs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Borders>
              <w:top w:val="single" w:sz="8" w:color="005CA9"/>
            </w:tcBorders>
          </w:tcPr>
          <w:p>
            <w:pPr>
              <w:spacing w:after="0"/>
              <w:rPr>
                <w:sz w:val="15"/>
                <w:szCs w:val="15"/>
                <w:color w:val="auto"/>
              </w:rPr>
            </w:pPr>
          </w:p>
        </w:tc>
        <w:tc>
          <w:tcPr>
            <w:tcW w:w="380" w:type="dxa"/>
            <w:vAlign w:val="bottom"/>
            <w:tcBorders>
              <w:top w:val="single" w:sz="8" w:color="005CA9"/>
            </w:tcBorders>
          </w:tcPr>
          <w:p>
            <w:pPr>
              <w:spacing w:after="0"/>
              <w:rPr>
                <w:sz w:val="15"/>
                <w:szCs w:val="15"/>
                <w:color w:val="auto"/>
              </w:rPr>
            </w:pPr>
          </w:p>
        </w:tc>
        <w:tc>
          <w:tcPr>
            <w:tcW w:w="1740" w:type="dxa"/>
            <w:vAlign w:val="bottom"/>
            <w:tcBorders>
              <w:top w:val="single" w:sz="8" w:color="005CA9"/>
            </w:tcBorders>
          </w:tcPr>
          <w:p>
            <w:pPr>
              <w:spacing w:after="0"/>
              <w:rPr>
                <w:sz w:val="15"/>
                <w:szCs w:val="15"/>
                <w:color w:val="auto"/>
              </w:rPr>
            </w:pPr>
          </w:p>
        </w:tc>
        <w:tc>
          <w:tcPr>
            <w:tcW w:w="340" w:type="dxa"/>
            <w:vAlign w:val="bottom"/>
            <w:tcBorders>
              <w:top w:val="single" w:sz="8" w:color="005CA9"/>
            </w:tcBorders>
          </w:tcPr>
          <w:p>
            <w:pPr>
              <w:spacing w:after="0"/>
              <w:rPr>
                <w:sz w:val="15"/>
                <w:szCs w:val="15"/>
                <w:color w:val="auto"/>
              </w:rPr>
            </w:pPr>
          </w:p>
        </w:tc>
        <w:tc>
          <w:tcPr>
            <w:tcW w:w="1600" w:type="dxa"/>
            <w:vAlign w:val="bottom"/>
            <w:tcBorders>
              <w:top w:val="single" w:sz="8" w:color="005CA9"/>
            </w:tcBorders>
          </w:tcPr>
          <w:p>
            <w:pPr>
              <w:spacing w:after="0"/>
              <w:rPr>
                <w:sz w:val="15"/>
                <w:szCs w:val="15"/>
                <w:color w:val="auto"/>
              </w:rPr>
            </w:pPr>
          </w:p>
        </w:tc>
        <w:tc>
          <w:tcPr>
            <w:tcW w:w="200" w:type="dxa"/>
            <w:vAlign w:val="bottom"/>
            <w:tcBorders>
              <w:top w:val="single" w:sz="8" w:color="005CA9"/>
            </w:tcBorders>
          </w:tcPr>
          <w:p>
            <w:pPr>
              <w:spacing w:after="0"/>
              <w:rPr>
                <w:sz w:val="15"/>
                <w:szCs w:val="15"/>
                <w:color w:val="auto"/>
              </w:rPr>
            </w:pPr>
          </w:p>
        </w:tc>
        <w:tc>
          <w:tcPr>
            <w:tcW w:w="2100" w:type="dxa"/>
            <w:vAlign w:val="bottom"/>
            <w:tcBorders>
              <w:top w:val="single" w:sz="8" w:color="005CA9"/>
            </w:tcBorders>
          </w:tcPr>
          <w:p>
            <w:pPr>
              <w:spacing w:after="0"/>
              <w:rPr>
                <w:sz w:val="15"/>
                <w:szCs w:val="15"/>
                <w:color w:val="auto"/>
              </w:rPr>
            </w:pPr>
          </w:p>
        </w:tc>
        <w:tc>
          <w:tcPr>
            <w:tcW w:w="140" w:type="dxa"/>
            <w:vAlign w:val="bottom"/>
            <w:tcBorders>
              <w:top w:val="single" w:sz="8" w:color="005CA9"/>
            </w:tcBorders>
          </w:tcPr>
          <w:p>
            <w:pPr>
              <w:spacing w:after="0"/>
              <w:rPr>
                <w:sz w:val="15"/>
                <w:szCs w:val="15"/>
                <w:color w:val="auto"/>
              </w:rPr>
            </w:pPr>
          </w:p>
        </w:tc>
        <w:tc>
          <w:tcPr>
            <w:tcW w:w="1780" w:type="dxa"/>
            <w:vAlign w:val="bottom"/>
            <w:tcBorders>
              <w:top w:val="single" w:sz="8" w:color="005CA9"/>
            </w:tcBorders>
          </w:tcPr>
          <w:p>
            <w:pPr>
              <w:jc w:val="center"/>
              <w:ind w:right="128"/>
              <w:spacing w:after="0"/>
              <w:rPr>
                <w:sz w:val="20"/>
                <w:szCs w:val="20"/>
                <w:color w:val="auto"/>
              </w:rPr>
            </w:pPr>
            <w:r>
              <w:rPr>
                <w:rFonts w:ascii="Arial" w:cs="Arial" w:eastAsia="Arial" w:hAnsi="Arial"/>
                <w:sz w:val="14"/>
                <w:szCs w:val="14"/>
                <w:b w:val="1"/>
                <w:bCs w:val="1"/>
                <w:color w:val="auto"/>
              </w:rPr>
              <w:t>Plus</w:t>
            </w:r>
          </w:p>
        </w:tc>
        <w:tc>
          <w:tcPr>
            <w:tcW w:w="420" w:type="dxa"/>
            <w:vAlign w:val="bottom"/>
            <w:tcBorders>
              <w:top w:val="single" w:sz="8" w:color="005CA9"/>
            </w:tcBorders>
          </w:tcPr>
          <w:p>
            <w:pPr>
              <w:spacing w:after="0"/>
              <w:rPr>
                <w:sz w:val="15"/>
                <w:szCs w:val="15"/>
                <w:color w:val="auto"/>
              </w:rPr>
            </w:pPr>
          </w:p>
        </w:tc>
        <w:tc>
          <w:tcPr>
            <w:tcW w:w="1520" w:type="dxa"/>
            <w:vAlign w:val="bottom"/>
            <w:tcBorders>
              <w:top w:val="single" w:sz="8" w:color="005CA9"/>
            </w:tcBorders>
          </w:tcPr>
          <w:p>
            <w:pPr>
              <w:spacing w:after="0"/>
              <w:rPr>
                <w:sz w:val="15"/>
                <w:szCs w:val="15"/>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148"/>
              <w:spacing w:after="0"/>
              <w:rPr>
                <w:sz w:val="20"/>
                <w:szCs w:val="20"/>
                <w:color w:val="auto"/>
              </w:rPr>
            </w:pPr>
            <w:r>
              <w:rPr>
                <w:rFonts w:ascii="Arial" w:cs="Arial" w:eastAsia="Arial" w:hAnsi="Arial"/>
                <w:sz w:val="14"/>
                <w:szCs w:val="14"/>
                <w:b w:val="1"/>
                <w:bCs w:val="1"/>
                <w:color w:val="auto"/>
              </w:rPr>
              <w:t>Average Reported</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88"/>
              <w:spacing w:after="0"/>
              <w:rPr>
                <w:sz w:val="20"/>
                <w:szCs w:val="20"/>
                <w:color w:val="auto"/>
              </w:rPr>
            </w:pPr>
            <w:r>
              <w:rPr>
                <w:rFonts w:ascii="Arial" w:cs="Arial" w:eastAsia="Arial" w:hAnsi="Arial"/>
                <w:sz w:val="14"/>
                <w:szCs w:val="14"/>
                <w:b w:val="1"/>
                <w:bCs w:val="1"/>
                <w:color w:val="auto"/>
              </w:rPr>
              <w:t>Change in</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88"/>
              <w:spacing w:after="0"/>
              <w:rPr>
                <w:sz w:val="20"/>
                <w:szCs w:val="20"/>
                <w:color w:val="auto"/>
              </w:rPr>
            </w:pPr>
            <w:r>
              <w:rPr>
                <w:rFonts w:ascii="Arial" w:cs="Arial" w:eastAsia="Arial" w:hAnsi="Arial"/>
                <w:sz w:val="14"/>
                <w:szCs w:val="14"/>
                <w:b w:val="1"/>
                <w:bCs w:val="1"/>
                <w:color w:val="auto"/>
              </w:rPr>
              <w:t>Pension Value</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88"/>
              <w:spacing w:after="0"/>
              <w:rPr>
                <w:sz w:val="20"/>
                <w:szCs w:val="20"/>
                <w:color w:val="auto"/>
              </w:rPr>
            </w:pPr>
            <w:r>
              <w:rPr>
                <w:rFonts w:ascii="Arial" w:cs="Arial" w:eastAsia="Arial" w:hAnsi="Arial"/>
                <w:sz w:val="14"/>
                <w:szCs w:val="14"/>
                <w:b w:val="1"/>
                <w:bCs w:val="1"/>
                <w:color w:val="auto"/>
              </w:rPr>
              <w:t>and</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auto"/>
              </w:rPr>
              <w:t>Non-qualified</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auto"/>
              </w:rPr>
              <w:t>Deferred</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Arial" w:cs="Arial" w:eastAsia="Arial" w:hAnsi="Arial"/>
                <w:sz w:val="14"/>
                <w:szCs w:val="14"/>
                <w:b w:val="1"/>
                <w:bCs w:val="1"/>
                <w:color w:val="auto"/>
              </w:rPr>
              <w:t>Minus</w:t>
            </w:r>
          </w:p>
        </w:tc>
        <w:tc>
          <w:tcPr>
            <w:tcW w:w="200" w:type="dxa"/>
            <w:vAlign w:val="bottom"/>
          </w:tcPr>
          <w:p>
            <w:pPr>
              <w:spacing w:after="0"/>
              <w:rPr>
                <w:sz w:val="14"/>
                <w:szCs w:val="14"/>
                <w:color w:val="auto"/>
              </w:rPr>
            </w:pPr>
          </w:p>
        </w:tc>
        <w:tc>
          <w:tcPr>
            <w:tcW w:w="2100" w:type="dxa"/>
            <w:vAlign w:val="bottom"/>
          </w:tcPr>
          <w:p>
            <w:pPr>
              <w:jc w:val="center"/>
              <w:ind w:right="168"/>
              <w:spacing w:after="0"/>
              <w:rPr>
                <w:sz w:val="20"/>
                <w:szCs w:val="20"/>
                <w:color w:val="auto"/>
              </w:rPr>
            </w:pPr>
            <w:r>
              <w:rPr>
                <w:rFonts w:ascii="Arial" w:cs="Arial" w:eastAsia="Arial" w:hAnsi="Arial"/>
                <w:sz w:val="14"/>
                <w:szCs w:val="14"/>
                <w:b w:val="1"/>
                <w:bCs w:val="1"/>
                <w:color w:val="auto"/>
              </w:rPr>
              <w:t>Plus</w:t>
            </w:r>
          </w:p>
        </w:tc>
        <w:tc>
          <w:tcPr>
            <w:tcW w:w="140" w:type="dxa"/>
            <w:vAlign w:val="bottom"/>
          </w:tcPr>
          <w:p>
            <w:pPr>
              <w:spacing w:after="0"/>
              <w:rPr>
                <w:sz w:val="14"/>
                <w:szCs w:val="14"/>
                <w:color w:val="auto"/>
              </w:rPr>
            </w:pP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jc w:val="center"/>
              <w:ind w:right="168"/>
              <w:spacing w:after="0"/>
              <w:rPr>
                <w:sz w:val="20"/>
                <w:szCs w:val="20"/>
                <w:color w:val="auto"/>
              </w:rPr>
            </w:pPr>
            <w:r>
              <w:rPr>
                <w:rFonts w:ascii="Arial" w:cs="Arial" w:eastAsia="Arial" w:hAnsi="Arial"/>
                <w:sz w:val="14"/>
                <w:szCs w:val="14"/>
                <w:b w:val="1"/>
                <w:bCs w:val="1"/>
                <w:color w:val="auto"/>
              </w:rPr>
              <w:t>Average Summary</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Reported Value</w:t>
            </w:r>
          </w:p>
        </w:tc>
        <w:tc>
          <w:tcPr>
            <w:tcW w:w="200" w:type="dxa"/>
            <w:vAlign w:val="bottom"/>
          </w:tcPr>
          <w:p>
            <w:pPr>
              <w:spacing w:after="0"/>
              <w:rPr>
                <w:sz w:val="14"/>
                <w:szCs w:val="14"/>
                <w:color w:val="auto"/>
              </w:rPr>
            </w:pPr>
          </w:p>
        </w:tc>
        <w:tc>
          <w:tcPr>
            <w:tcW w:w="2100" w:type="dxa"/>
            <w:vAlign w:val="bottom"/>
          </w:tcPr>
          <w:p>
            <w:pPr>
              <w:jc w:val="center"/>
              <w:ind w:right="168"/>
              <w:spacing w:after="0"/>
              <w:rPr>
                <w:sz w:val="20"/>
                <w:szCs w:val="20"/>
                <w:color w:val="auto"/>
              </w:rPr>
            </w:pPr>
            <w:r>
              <w:rPr>
                <w:rFonts w:ascii="Arial" w:cs="Arial" w:eastAsia="Arial" w:hAnsi="Arial"/>
                <w:sz w:val="14"/>
                <w:szCs w:val="14"/>
                <w:b w:val="1"/>
                <w:bCs w:val="1"/>
                <w:color w:val="auto"/>
              </w:rPr>
              <w:t>Average Equity Award</w:t>
            </w:r>
          </w:p>
        </w:tc>
        <w:tc>
          <w:tcPr>
            <w:tcW w:w="140" w:type="dxa"/>
            <w:vAlign w:val="bottom"/>
          </w:tcPr>
          <w:p>
            <w:pPr>
              <w:spacing w:after="0"/>
              <w:rPr>
                <w:sz w:val="14"/>
                <w:szCs w:val="14"/>
                <w:color w:val="auto"/>
              </w:rPr>
            </w:pPr>
          </w:p>
        </w:tc>
        <w:tc>
          <w:tcPr>
            <w:tcW w:w="1780" w:type="dxa"/>
            <w:vAlign w:val="bottom"/>
          </w:tcPr>
          <w:p>
            <w:pPr>
              <w:jc w:val="center"/>
              <w:ind w:right="148"/>
              <w:spacing w:after="0"/>
              <w:rPr>
                <w:sz w:val="20"/>
                <w:szCs w:val="20"/>
                <w:color w:val="auto"/>
              </w:rPr>
            </w:pPr>
            <w:r>
              <w:rPr>
                <w:rFonts w:ascii="Arial" w:cs="Arial" w:eastAsia="Arial" w:hAnsi="Arial"/>
                <w:sz w:val="14"/>
                <w:szCs w:val="14"/>
                <w:b w:val="1"/>
                <w:bCs w:val="1"/>
                <w:color w:val="auto"/>
              </w:rPr>
              <w:t>Earnings for Non-PEO</w:t>
            </w:r>
          </w:p>
        </w:tc>
        <w:tc>
          <w:tcPr>
            <w:tcW w:w="19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Average Compensation</w:t>
            </w:r>
          </w:p>
        </w:tc>
      </w:tr>
      <w:tr>
        <w:trPr>
          <w:trHeight w:val="144"/>
        </w:trPr>
        <w:tc>
          <w:tcPr>
            <w:tcW w:w="1020" w:type="dxa"/>
            <w:vAlign w:val="bottom"/>
          </w:tcPr>
          <w:p>
            <w:pPr>
              <w:spacing w:after="0"/>
              <w:rPr>
                <w:sz w:val="12"/>
                <w:szCs w:val="12"/>
                <w:color w:val="auto"/>
              </w:rPr>
            </w:pPr>
          </w:p>
        </w:tc>
        <w:tc>
          <w:tcPr>
            <w:tcW w:w="2120" w:type="dxa"/>
            <w:vAlign w:val="bottom"/>
            <w:gridSpan w:val="2"/>
          </w:tcPr>
          <w:p>
            <w:pPr>
              <w:jc w:val="center"/>
              <w:ind w:left="88"/>
              <w:spacing w:after="0" w:line="145" w:lineRule="exact"/>
              <w:rPr>
                <w:sz w:val="20"/>
                <w:szCs w:val="20"/>
                <w:color w:val="auto"/>
              </w:rPr>
            </w:pPr>
            <w:r>
              <w:rPr>
                <w:rFonts w:ascii="Arial" w:cs="Arial" w:eastAsia="Arial" w:hAnsi="Arial"/>
                <w:sz w:val="14"/>
                <w:szCs w:val="14"/>
                <w:b w:val="1"/>
                <w:bCs w:val="1"/>
                <w:color w:val="auto"/>
              </w:rPr>
              <w:t>Compensation Table Total</w:t>
            </w:r>
          </w:p>
        </w:tc>
        <w:tc>
          <w:tcPr>
            <w:tcW w:w="1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Equity Awards for Non-</w:t>
            </w:r>
          </w:p>
        </w:tc>
        <w:tc>
          <w:tcPr>
            <w:tcW w:w="200" w:type="dxa"/>
            <w:vAlign w:val="bottom"/>
          </w:tcPr>
          <w:p>
            <w:pPr>
              <w:spacing w:after="0"/>
              <w:rPr>
                <w:sz w:val="12"/>
                <w:szCs w:val="12"/>
                <w:color w:val="auto"/>
              </w:rPr>
            </w:pPr>
          </w:p>
        </w:tc>
        <w:tc>
          <w:tcPr>
            <w:tcW w:w="210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Adjustments for Non-PEO</w:t>
            </w:r>
          </w:p>
        </w:tc>
        <w:tc>
          <w:tcPr>
            <w:tcW w:w="140" w:type="dxa"/>
            <w:vAlign w:val="bottom"/>
          </w:tcPr>
          <w:p>
            <w:pPr>
              <w:spacing w:after="0"/>
              <w:rPr>
                <w:sz w:val="12"/>
                <w:szCs w:val="12"/>
                <w:color w:val="auto"/>
              </w:rPr>
            </w:pPr>
          </w:p>
        </w:tc>
        <w:tc>
          <w:tcPr>
            <w:tcW w:w="178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NEOs</w:t>
            </w:r>
          </w:p>
        </w:tc>
        <w:tc>
          <w:tcPr>
            <w:tcW w:w="1940" w:type="dxa"/>
            <w:vAlign w:val="bottom"/>
            <w:gridSpan w:val="2"/>
          </w:tcPr>
          <w:p>
            <w:pPr>
              <w:jc w:val="center"/>
              <w:ind w:right="48"/>
              <w:spacing w:after="0" w:line="145" w:lineRule="exact"/>
              <w:rPr>
                <w:sz w:val="20"/>
                <w:szCs w:val="20"/>
                <w:color w:val="auto"/>
              </w:rPr>
            </w:pPr>
            <w:r>
              <w:rPr>
                <w:rFonts w:ascii="Arial" w:cs="Arial" w:eastAsia="Arial" w:hAnsi="Arial"/>
                <w:sz w:val="14"/>
                <w:szCs w:val="14"/>
                <w:b w:val="1"/>
                <w:bCs w:val="1"/>
                <w:color w:val="auto"/>
              </w:rPr>
              <w:t>Actually Paid to Non-PEO</w:t>
            </w:r>
          </w:p>
        </w:tc>
      </w:tr>
      <w:tr>
        <w:trPr>
          <w:trHeight w:val="210"/>
        </w:trPr>
        <w:tc>
          <w:tcPr>
            <w:tcW w:w="1020" w:type="dxa"/>
            <w:vAlign w:val="bottom"/>
            <w:tcBorders>
              <w:bottom w:val="single" w:sz="8" w:color="005CA9"/>
            </w:tcBorders>
          </w:tcPr>
          <w:p>
            <w:pPr>
              <w:jc w:val="right"/>
              <w:ind w:right="168"/>
              <w:spacing w:after="0"/>
              <w:rPr>
                <w:sz w:val="20"/>
                <w:szCs w:val="20"/>
                <w:color w:val="auto"/>
              </w:rPr>
            </w:pPr>
            <w:r>
              <w:rPr>
                <w:rFonts w:ascii="Arial" w:cs="Arial" w:eastAsia="Arial" w:hAnsi="Arial"/>
                <w:sz w:val="14"/>
                <w:szCs w:val="14"/>
                <w:b w:val="1"/>
                <w:bCs w:val="1"/>
                <w:color w:val="auto"/>
              </w:rPr>
              <w:t>Year</w:t>
            </w:r>
          </w:p>
        </w:tc>
        <w:tc>
          <w:tcPr>
            <w:tcW w:w="380" w:type="dxa"/>
            <w:vAlign w:val="bottom"/>
            <w:tcBorders>
              <w:bottom w:val="single" w:sz="8" w:color="005CA9"/>
            </w:tcBorders>
          </w:tcPr>
          <w:p>
            <w:pPr>
              <w:spacing w:after="0"/>
              <w:rPr>
                <w:sz w:val="18"/>
                <w:szCs w:val="18"/>
                <w:color w:val="auto"/>
              </w:rPr>
            </w:pPr>
          </w:p>
        </w:tc>
        <w:tc>
          <w:tcPr>
            <w:tcW w:w="1740" w:type="dxa"/>
            <w:vAlign w:val="bottom"/>
            <w:tcBorders>
              <w:bottom w:val="single" w:sz="8" w:color="005CA9"/>
            </w:tcBorders>
          </w:tcPr>
          <w:p>
            <w:pPr>
              <w:jc w:val="center"/>
              <w:ind w:right="128"/>
              <w:spacing w:after="0" w:line="189" w:lineRule="exact"/>
              <w:rPr>
                <w:sz w:val="20"/>
                <w:szCs w:val="20"/>
                <w:color w:val="auto"/>
              </w:rPr>
            </w:pPr>
            <w:r>
              <w:rPr>
                <w:rFonts w:ascii="Arial" w:cs="Arial" w:eastAsia="Arial" w:hAnsi="Arial"/>
                <w:sz w:val="14"/>
                <w:szCs w:val="14"/>
                <w:b w:val="1"/>
                <w:bCs w:val="1"/>
                <w:color w:val="auto"/>
              </w:rPr>
              <w:t xml:space="preserve">for Non-PEO NEOs </w:t>
            </w:r>
            <w:r>
              <w:rPr>
                <w:rFonts w:ascii="Arial" w:cs="Arial" w:eastAsia="Arial" w:hAnsi="Arial"/>
                <w:sz w:val="19"/>
                <w:szCs w:val="19"/>
                <w:b w:val="1"/>
                <w:bCs w:val="1"/>
                <w:color w:val="auto"/>
                <w:vertAlign w:val="superscript"/>
              </w:rPr>
              <w:t>(1)</w:t>
            </w:r>
          </w:p>
        </w:tc>
        <w:tc>
          <w:tcPr>
            <w:tcW w:w="340" w:type="dxa"/>
            <w:vAlign w:val="bottom"/>
            <w:tcBorders>
              <w:bottom w:val="single" w:sz="8" w:color="005CA9"/>
            </w:tcBorders>
          </w:tcPr>
          <w:p>
            <w:pPr>
              <w:spacing w:after="0"/>
              <w:rPr>
                <w:sz w:val="18"/>
                <w:szCs w:val="18"/>
                <w:color w:val="auto"/>
              </w:rPr>
            </w:pPr>
          </w:p>
        </w:tc>
        <w:tc>
          <w:tcPr>
            <w:tcW w:w="1600" w:type="dxa"/>
            <w:vAlign w:val="bottom"/>
            <w:tcBorders>
              <w:bottom w:val="single" w:sz="8" w:color="005CA9"/>
            </w:tcBorders>
          </w:tcPr>
          <w:p>
            <w:pPr>
              <w:jc w:val="center"/>
              <w:ind w:right="268"/>
              <w:spacing w:after="0" w:line="189" w:lineRule="exact"/>
              <w:rPr>
                <w:sz w:val="20"/>
                <w:szCs w:val="20"/>
                <w:color w:val="auto"/>
              </w:rPr>
            </w:pPr>
            <w:r>
              <w:rPr>
                <w:rFonts w:ascii="Arial" w:cs="Arial" w:eastAsia="Arial" w:hAnsi="Arial"/>
                <w:sz w:val="14"/>
                <w:szCs w:val="14"/>
                <w:b w:val="1"/>
                <w:bCs w:val="1"/>
                <w:color w:val="auto"/>
                <w:w w:val="98"/>
              </w:rPr>
              <w:t xml:space="preserve">PEO NEOs </w:t>
            </w:r>
            <w:r>
              <w:rPr>
                <w:rFonts w:ascii="Arial" w:cs="Arial" w:eastAsia="Arial" w:hAnsi="Arial"/>
                <w:sz w:val="19"/>
                <w:szCs w:val="19"/>
                <w:b w:val="1"/>
                <w:bCs w:val="1"/>
                <w:color w:val="auto"/>
                <w:w w:val="98"/>
                <w:vertAlign w:val="superscript"/>
              </w:rPr>
              <w:t>(2)</w:t>
            </w:r>
          </w:p>
        </w:tc>
        <w:tc>
          <w:tcPr>
            <w:tcW w:w="200" w:type="dxa"/>
            <w:vAlign w:val="bottom"/>
            <w:tcBorders>
              <w:bottom w:val="single" w:sz="8" w:color="005CA9"/>
            </w:tcBorders>
          </w:tcPr>
          <w:p>
            <w:pPr>
              <w:spacing w:after="0"/>
              <w:rPr>
                <w:sz w:val="18"/>
                <w:szCs w:val="18"/>
                <w:color w:val="auto"/>
              </w:rPr>
            </w:pPr>
          </w:p>
        </w:tc>
        <w:tc>
          <w:tcPr>
            <w:tcW w:w="2100" w:type="dxa"/>
            <w:vAlign w:val="bottom"/>
            <w:tcBorders>
              <w:bottom w:val="single" w:sz="8" w:color="005CA9"/>
            </w:tcBorders>
          </w:tcPr>
          <w:p>
            <w:pPr>
              <w:jc w:val="center"/>
              <w:ind w:right="128"/>
              <w:spacing w:after="0" w:line="189" w:lineRule="exact"/>
              <w:rPr>
                <w:sz w:val="20"/>
                <w:szCs w:val="20"/>
                <w:color w:val="auto"/>
              </w:rPr>
            </w:pPr>
            <w:r>
              <w:rPr>
                <w:rFonts w:ascii="Arial" w:cs="Arial" w:eastAsia="Arial" w:hAnsi="Arial"/>
                <w:sz w:val="14"/>
                <w:szCs w:val="14"/>
                <w:b w:val="1"/>
                <w:bCs w:val="1"/>
                <w:color w:val="auto"/>
                <w:w w:val="93"/>
              </w:rPr>
              <w:t xml:space="preserve">NEOs </w:t>
            </w:r>
            <w:r>
              <w:rPr>
                <w:rFonts w:ascii="Arial" w:cs="Arial" w:eastAsia="Arial" w:hAnsi="Arial"/>
                <w:sz w:val="19"/>
                <w:szCs w:val="19"/>
                <w:b w:val="1"/>
                <w:bCs w:val="1"/>
                <w:color w:val="auto"/>
                <w:w w:val="93"/>
                <w:vertAlign w:val="superscript"/>
              </w:rPr>
              <w:t>(3)</w:t>
            </w:r>
          </w:p>
        </w:tc>
        <w:tc>
          <w:tcPr>
            <w:tcW w:w="140" w:type="dxa"/>
            <w:vAlign w:val="bottom"/>
            <w:tcBorders>
              <w:bottom w:val="single" w:sz="8" w:color="005CA9"/>
            </w:tcBorders>
          </w:tcPr>
          <w:p>
            <w:pPr>
              <w:spacing w:after="0"/>
              <w:rPr>
                <w:sz w:val="18"/>
                <w:szCs w:val="18"/>
                <w:color w:val="auto"/>
              </w:rPr>
            </w:pPr>
          </w:p>
        </w:tc>
        <w:tc>
          <w:tcPr>
            <w:tcW w:w="1780" w:type="dxa"/>
            <w:vAlign w:val="bottom"/>
            <w:tcBorders>
              <w:bottom w:val="single" w:sz="8" w:color="005CA9"/>
            </w:tcBorders>
          </w:tcPr>
          <w:p>
            <w:pPr>
              <w:jc w:val="center"/>
              <w:ind w:right="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5CA9"/>
            </w:tcBorders>
          </w:tcPr>
          <w:p>
            <w:pPr>
              <w:spacing w:after="0"/>
              <w:rPr>
                <w:sz w:val="18"/>
                <w:szCs w:val="18"/>
                <w:color w:val="auto"/>
              </w:rPr>
            </w:pPr>
          </w:p>
        </w:tc>
        <w:tc>
          <w:tcPr>
            <w:tcW w:w="1520" w:type="dxa"/>
            <w:vAlign w:val="bottom"/>
            <w:tcBorders>
              <w:bottom w:val="single" w:sz="8" w:color="005CA9"/>
            </w:tcBorders>
          </w:tcPr>
          <w:p>
            <w:pPr>
              <w:jc w:val="center"/>
              <w:ind w:right="428"/>
              <w:spacing w:after="0"/>
              <w:rPr>
                <w:sz w:val="20"/>
                <w:szCs w:val="20"/>
                <w:color w:val="auto"/>
              </w:rPr>
            </w:pPr>
            <w:r>
              <w:rPr>
                <w:rFonts w:ascii="Arial" w:cs="Arial" w:eastAsia="Arial" w:hAnsi="Arial"/>
                <w:sz w:val="14"/>
                <w:szCs w:val="14"/>
                <w:b w:val="1"/>
                <w:bCs w:val="1"/>
                <w:color w:val="auto"/>
                <w:w w:val="99"/>
              </w:rPr>
              <w:t>NEOs</w:t>
            </w:r>
          </w:p>
        </w:tc>
      </w:tr>
      <w:tr>
        <w:trPr>
          <w:trHeight w:val="162"/>
        </w:trPr>
        <w:tc>
          <w:tcPr>
            <w:tcW w:w="1020" w:type="dxa"/>
            <w:vAlign w:val="bottom"/>
            <w:shd w:val="clear" w:color="auto" w:fill="CFF0FC"/>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1,567,510</w:t>
            </w:r>
          </w:p>
        </w:tc>
        <w:tc>
          <w:tcPr>
            <w:tcW w:w="34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903,200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905,018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78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79,850</w:t>
            </w:r>
          </w:p>
        </w:tc>
        <w:tc>
          <w:tcPr>
            <w:tcW w:w="42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1,649,178</w:t>
            </w:r>
          </w:p>
        </w:tc>
      </w:tr>
      <w:tr>
        <w:trPr>
          <w:trHeight w:val="162"/>
        </w:trPr>
        <w:tc>
          <w:tcPr>
            <w:tcW w:w="1020" w:type="dxa"/>
            <w:vAlign w:val="bottom"/>
          </w:tcPr>
          <w:p>
            <w:pPr>
              <w:jc w:val="right"/>
              <w:ind w:right="608"/>
              <w:spacing w:after="0"/>
              <w:rPr>
                <w:sz w:val="20"/>
                <w:szCs w:val="20"/>
                <w:color w:val="auto"/>
              </w:rPr>
            </w:pPr>
            <w:r>
              <w:rPr>
                <w:rFonts w:ascii="Arial" w:cs="Arial" w:eastAsia="Arial" w:hAnsi="Arial"/>
                <w:sz w:val="14"/>
                <w:szCs w:val="14"/>
                <w:color w:val="auto"/>
              </w:rPr>
              <w:t>2024</w:t>
            </w: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1,978,444</w:t>
            </w:r>
          </w:p>
        </w:tc>
        <w:tc>
          <w:tcPr>
            <w:tcW w:w="3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1,455,821</w:t>
            </w:r>
          </w:p>
        </w:tc>
        <w:tc>
          <w:tcPr>
            <w:tcW w:w="2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1,072,107</w:t>
            </w:r>
          </w:p>
        </w:tc>
        <w:tc>
          <w:tcPr>
            <w:tcW w:w="140" w:type="dxa"/>
            <w:vAlign w:val="bottom"/>
          </w:tcPr>
          <w:p>
            <w:pPr>
              <w:spacing w:after="0"/>
              <w:rPr>
                <w:sz w:val="14"/>
                <w:szCs w:val="14"/>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75,428</w:t>
            </w:r>
          </w:p>
        </w:tc>
        <w:tc>
          <w:tcPr>
            <w:tcW w:w="42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1,670,159</w:t>
            </w:r>
          </w:p>
        </w:tc>
      </w:tr>
      <w:tr>
        <w:trPr>
          <w:trHeight w:val="162"/>
        </w:trPr>
        <w:tc>
          <w:tcPr>
            <w:tcW w:w="102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rPr>
              <w:t>2023</w:t>
            </w:r>
          </w:p>
        </w:tc>
        <w:tc>
          <w:tcPr>
            <w:tcW w:w="380" w:type="dxa"/>
            <w:vAlign w:val="bottom"/>
            <w:shd w:val="clear" w:color="auto" w:fill="CFF0FC"/>
          </w:tcPr>
          <w:p>
            <w:pPr>
              <w:spacing w:after="0"/>
              <w:rPr>
                <w:sz w:val="14"/>
                <w:szCs w:val="14"/>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1,955,936</w:t>
            </w:r>
          </w:p>
        </w:tc>
        <w:tc>
          <w:tcPr>
            <w:tcW w:w="3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1,446,925</w:t>
            </w:r>
          </w:p>
        </w:tc>
        <w:tc>
          <w:tcPr>
            <w:tcW w:w="200" w:type="dxa"/>
            <w:vAlign w:val="bottom"/>
            <w:shd w:val="clear" w:color="auto" w:fill="CFF0FC"/>
          </w:tcPr>
          <w:p>
            <w:pPr>
              <w:spacing w:after="0"/>
              <w:rPr>
                <w:sz w:val="14"/>
                <w:szCs w:val="14"/>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2,099,234</w:t>
            </w:r>
          </w:p>
        </w:tc>
        <w:tc>
          <w:tcPr>
            <w:tcW w:w="140" w:type="dxa"/>
            <w:vAlign w:val="bottom"/>
            <w:shd w:val="clear" w:color="auto" w:fill="CFF0FC"/>
          </w:tcPr>
          <w:p>
            <w:pPr>
              <w:spacing w:after="0"/>
              <w:rPr>
                <w:sz w:val="14"/>
                <w:szCs w:val="14"/>
                <w:color w:val="auto"/>
              </w:rPr>
            </w:pPr>
          </w:p>
        </w:tc>
        <w:tc>
          <w:tcPr>
            <w:tcW w:w="1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75,428</w:t>
            </w:r>
          </w:p>
        </w:tc>
        <w:tc>
          <w:tcPr>
            <w:tcW w:w="42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2,683,673</w:t>
            </w:r>
          </w:p>
        </w:tc>
      </w:tr>
      <w:tr>
        <w:trPr>
          <w:trHeight w:val="162"/>
        </w:trPr>
        <w:tc>
          <w:tcPr>
            <w:tcW w:w="1020" w:type="dxa"/>
            <w:vAlign w:val="bottom"/>
          </w:tcPr>
          <w:p>
            <w:pPr>
              <w:jc w:val="right"/>
              <w:ind w:right="608"/>
              <w:spacing w:after="0"/>
              <w:rPr>
                <w:sz w:val="20"/>
                <w:szCs w:val="20"/>
                <w:color w:val="auto"/>
              </w:rPr>
            </w:pPr>
            <w:r>
              <w:rPr>
                <w:rFonts w:ascii="Arial" w:cs="Arial" w:eastAsia="Arial" w:hAnsi="Arial"/>
                <w:sz w:val="14"/>
                <w:szCs w:val="14"/>
                <w:color w:val="auto"/>
              </w:rPr>
              <w:t>2022</w:t>
            </w: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2,466,178</w:t>
            </w:r>
          </w:p>
        </w:tc>
        <w:tc>
          <w:tcPr>
            <w:tcW w:w="3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1,511,591</w:t>
            </w:r>
          </w:p>
        </w:tc>
        <w:tc>
          <w:tcPr>
            <w:tcW w:w="2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156,437</w:t>
            </w:r>
          </w:p>
        </w:tc>
        <w:tc>
          <w:tcPr>
            <w:tcW w:w="1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(62,277)</w:t>
            </w:r>
          </w:p>
        </w:tc>
        <w:tc>
          <w:tcPr>
            <w:tcW w:w="42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1,048,748</w:t>
            </w:r>
          </w:p>
        </w:tc>
      </w:tr>
      <w:tr>
        <w:trPr>
          <w:trHeight w:val="162"/>
        </w:trPr>
        <w:tc>
          <w:tcPr>
            <w:tcW w:w="1020" w:type="dxa"/>
            <w:vAlign w:val="bottom"/>
            <w:tcBorders>
              <w:bottom w:val="single" w:sz="8" w:color="005CA9"/>
            </w:tcBorders>
            <w:shd w:val="clear" w:color="auto" w:fill="CFF0FC"/>
          </w:tcPr>
          <w:p>
            <w:pPr>
              <w:jc w:val="right"/>
              <w:ind w:right="608"/>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005CA9"/>
            </w:tcBorders>
            <w:shd w:val="clear" w:color="auto" w:fill="CFF0FC"/>
          </w:tcPr>
          <w:p>
            <w:pPr>
              <w:spacing w:after="0"/>
              <w:rPr>
                <w:sz w:val="14"/>
                <w:szCs w:val="14"/>
                <w:color w:val="auto"/>
              </w:rPr>
            </w:pPr>
          </w:p>
        </w:tc>
        <w:tc>
          <w:tcPr>
            <w:tcW w:w="174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2,189,740</w:t>
            </w:r>
          </w:p>
        </w:tc>
        <w:tc>
          <w:tcPr>
            <w:tcW w:w="340" w:type="dxa"/>
            <w:vAlign w:val="bottom"/>
            <w:tcBorders>
              <w:bottom w:val="single" w:sz="8" w:color="005CA9"/>
            </w:tcBorders>
            <w:shd w:val="clear" w:color="auto" w:fill="CFF0FC"/>
          </w:tcPr>
          <w:p>
            <w:pPr>
              <w:spacing w:after="0"/>
              <w:rPr>
                <w:sz w:val="14"/>
                <w:szCs w:val="14"/>
                <w:color w:val="auto"/>
              </w:rPr>
            </w:pPr>
          </w:p>
        </w:tc>
        <w:tc>
          <w:tcPr>
            <w:tcW w:w="160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1,308,927</w:t>
            </w:r>
          </w:p>
        </w:tc>
        <w:tc>
          <w:tcPr>
            <w:tcW w:w="200" w:type="dxa"/>
            <w:vAlign w:val="bottom"/>
            <w:tcBorders>
              <w:bottom w:val="single" w:sz="8" w:color="005CA9"/>
            </w:tcBorders>
            <w:shd w:val="clear" w:color="auto" w:fill="CFF0FC"/>
          </w:tcPr>
          <w:p>
            <w:pPr>
              <w:spacing w:after="0"/>
              <w:rPr>
                <w:sz w:val="14"/>
                <w:szCs w:val="14"/>
                <w:color w:val="auto"/>
              </w:rPr>
            </w:pPr>
          </w:p>
        </w:tc>
        <w:tc>
          <w:tcPr>
            <w:tcW w:w="2100" w:type="dxa"/>
            <w:vAlign w:val="bottom"/>
            <w:tcBorders>
              <w:bottom w:val="single" w:sz="8" w:color="005CA9"/>
            </w:tcBorders>
            <w:shd w:val="clear" w:color="auto" w:fill="CFF0FC"/>
          </w:tcPr>
          <w:p>
            <w:pPr>
              <w:jc w:val="right"/>
              <w:spacing w:after="0"/>
              <w:rPr>
                <w:sz w:val="20"/>
                <w:szCs w:val="20"/>
                <w:color w:val="auto"/>
              </w:rPr>
            </w:pPr>
            <w:r>
              <w:rPr>
                <w:rFonts w:ascii="Arial" w:cs="Arial" w:eastAsia="Arial" w:hAnsi="Arial"/>
                <w:sz w:val="14"/>
                <w:szCs w:val="14"/>
                <w:color w:val="auto"/>
              </w:rPr>
              <w:t>4,615,418</w:t>
            </w:r>
          </w:p>
        </w:tc>
        <w:tc>
          <w:tcPr>
            <w:tcW w:w="140" w:type="dxa"/>
            <w:vAlign w:val="bottom"/>
            <w:tcBorders>
              <w:bottom w:val="single" w:sz="8" w:color="005CA9"/>
            </w:tcBorders>
            <w:shd w:val="clear" w:color="auto" w:fill="CFF0FC"/>
          </w:tcPr>
          <w:p>
            <w:pPr>
              <w:spacing w:after="0"/>
              <w:rPr>
                <w:sz w:val="14"/>
                <w:szCs w:val="14"/>
                <w:color w:val="auto"/>
              </w:rPr>
            </w:pPr>
          </w:p>
        </w:tc>
        <w:tc>
          <w:tcPr>
            <w:tcW w:w="1780" w:type="dxa"/>
            <w:vAlign w:val="bottom"/>
            <w:tcBorders>
              <w:bottom w:val="single" w:sz="8" w:color="005CA9"/>
            </w:tcBorders>
            <w:shd w:val="clear" w:color="auto" w:fill="CFF0FC"/>
          </w:tcPr>
          <w:p>
            <w:pPr>
              <w:jc w:val="right"/>
              <w:ind w:right="8"/>
              <w:spacing w:after="0"/>
              <w:rPr>
                <w:sz w:val="20"/>
                <w:szCs w:val="20"/>
                <w:color w:val="auto"/>
              </w:rPr>
            </w:pPr>
            <w:r>
              <w:rPr>
                <w:rFonts w:ascii="Arial" w:cs="Arial" w:eastAsia="Arial" w:hAnsi="Arial"/>
                <w:sz w:val="14"/>
                <w:szCs w:val="14"/>
                <w:color w:val="auto"/>
              </w:rPr>
              <w:t>131,013</w:t>
            </w:r>
          </w:p>
        </w:tc>
        <w:tc>
          <w:tcPr>
            <w:tcW w:w="420" w:type="dxa"/>
            <w:vAlign w:val="bottom"/>
            <w:tcBorders>
              <w:bottom w:val="single" w:sz="8" w:color="005CA9"/>
            </w:tcBorders>
            <w:shd w:val="clear" w:color="auto" w:fill="CFF0FC"/>
          </w:tcPr>
          <w:p>
            <w:pPr>
              <w:spacing w:after="0"/>
              <w:rPr>
                <w:sz w:val="14"/>
                <w:szCs w:val="14"/>
                <w:color w:val="auto"/>
              </w:rPr>
            </w:pPr>
          </w:p>
        </w:tc>
        <w:tc>
          <w:tcPr>
            <w:tcW w:w="1520" w:type="dxa"/>
            <w:vAlign w:val="bottom"/>
            <w:tcBorders>
              <w:bottom w:val="single" w:sz="8" w:color="005CA9"/>
            </w:tcBorders>
            <w:shd w:val="clear" w:color="auto" w:fill="CFF0FC"/>
          </w:tcPr>
          <w:p>
            <w:pPr>
              <w:jc w:val="right"/>
              <w:ind w:right="48"/>
              <w:spacing w:after="0"/>
              <w:rPr>
                <w:sz w:val="20"/>
                <w:szCs w:val="20"/>
                <w:color w:val="auto"/>
              </w:rPr>
            </w:pPr>
            <w:r>
              <w:rPr>
                <w:rFonts w:ascii="Arial" w:cs="Arial" w:eastAsia="Arial" w:hAnsi="Arial"/>
                <w:sz w:val="14"/>
                <w:szCs w:val="14"/>
                <w:color w:val="auto"/>
              </w:rPr>
              <w:t>5,627,245</w:t>
            </w:r>
          </w:p>
        </w:tc>
      </w:tr>
    </w:tbl>
    <w:p>
      <w:pPr>
        <w:ind w:left="300" w:hanging="292"/>
        <w:spacing w:after="0" w:line="237" w:lineRule="auto"/>
        <w:tabs>
          <w:tab w:leader="none" w:pos="300" w:val="left"/>
        </w:tabs>
        <w:numPr>
          <w:ilvl w:val="0"/>
          <w:numId w:val="55"/>
        </w:numPr>
        <w:rPr>
          <w:rFonts w:ascii="Calibri" w:cs="Calibri" w:eastAsia="Calibri" w:hAnsi="Calibri"/>
          <w:sz w:val="14"/>
          <w:szCs w:val="14"/>
          <w:color w:val="auto"/>
        </w:rPr>
      </w:pPr>
      <w:r>
        <w:rPr>
          <w:rFonts w:ascii="Arial" w:cs="Arial" w:eastAsia="Arial" w:hAnsi="Arial"/>
          <w:sz w:val="14"/>
          <w:szCs w:val="14"/>
          <w:color w:val="auto"/>
        </w:rPr>
        <w:t>The dollar amounts reported is the average of the amounts of total compensation reported for our Non-PEO NEOs in the Summary Compensation Table for the applicable fiscal year.</w:t>
      </w:r>
    </w:p>
    <w:p>
      <w:pPr>
        <w:spacing w:after="0" w:line="1" w:lineRule="exact"/>
        <w:rPr>
          <w:rFonts w:ascii="Calibri" w:cs="Calibri" w:eastAsia="Calibri" w:hAnsi="Calibri"/>
          <w:sz w:val="14"/>
          <w:szCs w:val="14"/>
          <w:color w:val="auto"/>
        </w:rPr>
      </w:pPr>
    </w:p>
    <w:p>
      <w:pPr>
        <w:ind w:left="300" w:hanging="292"/>
        <w:spacing w:after="0" w:line="234" w:lineRule="auto"/>
        <w:tabs>
          <w:tab w:leader="none" w:pos="300" w:val="left"/>
        </w:tabs>
        <w:numPr>
          <w:ilvl w:val="0"/>
          <w:numId w:val="55"/>
        </w:numPr>
        <w:rPr>
          <w:rFonts w:ascii="Calibri" w:cs="Calibri" w:eastAsia="Calibri" w:hAnsi="Calibri"/>
          <w:sz w:val="14"/>
          <w:szCs w:val="14"/>
          <w:color w:val="auto"/>
        </w:rPr>
      </w:pPr>
      <w:r>
        <w:rPr>
          <w:rFonts w:ascii="Arial" w:cs="Arial" w:eastAsia="Arial" w:hAnsi="Arial"/>
          <w:sz w:val="14"/>
          <w:szCs w:val="14"/>
          <w:color w:val="auto"/>
        </w:rPr>
        <w:t>Represents the grant date fair value of the equity awards to our Non-PEO NEOs, as reported in the “Stock Awards” column in the Summary Compensation Table for each applicable year.</w:t>
      </w:r>
    </w:p>
    <w:p>
      <w:pPr>
        <w:jc w:val="both"/>
        <w:ind w:left="300" w:hanging="292"/>
        <w:spacing w:after="0" w:line="244" w:lineRule="auto"/>
        <w:tabs>
          <w:tab w:leader="none" w:pos="300" w:val="left"/>
        </w:tabs>
        <w:numPr>
          <w:ilvl w:val="0"/>
          <w:numId w:val="55"/>
        </w:numPr>
        <w:rPr>
          <w:rFonts w:ascii="Calibri" w:cs="Calibri" w:eastAsia="Calibri" w:hAnsi="Calibri"/>
          <w:sz w:val="14"/>
          <w:szCs w:val="14"/>
          <w:color w:val="auto"/>
        </w:rPr>
      </w:pPr>
      <w:r>
        <w:rPr>
          <w:rFonts w:ascii="Arial" w:cs="Arial" w:eastAsia="Arial" w:hAnsi="Arial"/>
          <w:sz w:val="14"/>
          <w:szCs w:val="14"/>
          <w:color w:val="auto"/>
        </w:rPr>
        <w:t>Represents the year-over-year change in the fair value of equity awards to our Non-PEO NEOS, as itemized in the table below. No awards vested in the year they were granted. Fair value or change in fair value, as applicable, of equity awards in the "Compensation Actually Paid" columns was determined by reference to (a) for RSU awards, closing price on applicable year-end dates (b) for PSU awards, the same valuation methodology as RSU awards above except year-end share amounts are multiplied by the probability of achievement as of each such date.</w:t>
      </w:r>
    </w:p>
    <w:p>
      <w:pPr>
        <w:spacing w:after="0" w:line="77" w:lineRule="exact"/>
        <w:rPr>
          <w:sz w:val="20"/>
          <w:szCs w:val="20"/>
          <w:color w:val="auto"/>
        </w:rPr>
      </w:pPr>
    </w:p>
    <w:p>
      <w:pPr>
        <w:ind w:left="3780"/>
        <w:spacing w:after="0"/>
        <w:rPr>
          <w:sz w:val="20"/>
          <w:szCs w:val="20"/>
          <w:color w:val="auto"/>
        </w:rPr>
      </w:pPr>
      <w:r>
        <w:rPr>
          <w:rFonts w:ascii="Arial" w:cs="Arial" w:eastAsia="Arial" w:hAnsi="Arial"/>
          <w:sz w:val="14"/>
          <w:szCs w:val="14"/>
          <w:color w:val="auto"/>
        </w:rPr>
        <w:t>Average Equity Award Adjustments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2" w:lineRule="exact"/>
        <w:rPr>
          <w:sz w:val="20"/>
          <w:szCs w:val="20"/>
          <w:color w:val="auto"/>
        </w:rPr>
      </w:pPr>
    </w:p>
    <w:p>
      <w:pPr>
        <w:ind w:left="3760"/>
        <w:spacing w:after="0"/>
        <w:tabs>
          <w:tab w:leader="none" w:pos="5280" w:val="left"/>
          <w:tab w:leader="none" w:pos="6800" w:val="left"/>
          <w:tab w:leader="none" w:pos="8440" w:val="left"/>
          <w:tab w:leader="none" w:pos="101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p>
      <w:pPr>
        <w:spacing w:after="0" w:line="42" w:lineRule="exact"/>
        <w:rPr>
          <w:sz w:val="20"/>
          <w:szCs w:val="20"/>
          <w:color w:val="auto"/>
        </w:rPr>
      </w:pPr>
    </w:p>
    <w:p>
      <w:pPr>
        <w:ind w:right="140"/>
        <w:spacing w:after="0" w:line="248" w:lineRule="auto"/>
        <w:rPr>
          <w:sz w:val="20"/>
          <w:szCs w:val="20"/>
          <w:color w:val="auto"/>
        </w:rPr>
      </w:pPr>
      <w:r>
        <w:rPr>
          <w:rFonts w:ascii="Arial" w:cs="Arial" w:eastAsia="Arial" w:hAnsi="Arial"/>
          <w:sz w:val="14"/>
          <w:szCs w:val="14"/>
          <w:color w:val="auto"/>
        </w:rPr>
        <w:t>Fair Value of Equity Awards for Non-PEO NEOs Plus as of year-end value for awards granted during the year</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4"/>
          <w:szCs w:val="14"/>
          <w:color w:val="auto"/>
        </w:rPr>
        <w:t>Plus year-over-year change of unvested awards granted in previous years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Plus change from prior fiscal year-end awards that vested during the year</w:t>
      </w:r>
    </w:p>
    <w:p>
      <w:pPr>
        <w:spacing w:after="0" w:line="1" w:lineRule="exact"/>
        <w:rPr>
          <w:sz w:val="20"/>
          <w:szCs w:val="20"/>
          <w:color w:val="auto"/>
        </w:rPr>
      </w:pPr>
    </w:p>
    <w:p>
      <w:pPr>
        <w:ind w:right="180"/>
        <w:spacing w:after="0" w:line="241" w:lineRule="auto"/>
        <w:rPr>
          <w:sz w:val="20"/>
          <w:szCs w:val="20"/>
          <w:color w:val="auto"/>
        </w:rPr>
      </w:pPr>
      <w:r>
        <w:rPr>
          <w:rFonts w:ascii="Arial" w:cs="Arial" w:eastAsia="Arial" w:hAnsi="Arial"/>
          <w:sz w:val="14"/>
          <w:szCs w:val="14"/>
          <w:color w:val="auto"/>
        </w:rPr>
        <w:t>Minus awards granted in prior years that did not meet vesting conditions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Total equity award adjustments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jc w:val="right"/>
              <w:ind w:right="408"/>
              <w:spacing w:after="0"/>
              <w:rPr>
                <w:sz w:val="20"/>
                <w:szCs w:val="20"/>
                <w:color w:val="auto"/>
              </w:rPr>
            </w:pPr>
            <w:r>
              <w:rPr>
                <w:rFonts w:ascii="Arial" w:cs="Arial" w:eastAsia="Arial" w:hAnsi="Arial"/>
                <w:sz w:val="14"/>
                <w:szCs w:val="14"/>
                <w:color w:val="auto"/>
                <w:w w:val="99"/>
              </w:rPr>
              <w:t>1,662,915</w:t>
            </w:r>
          </w:p>
        </w:tc>
        <w:tc>
          <w:tcPr>
            <w:tcW w:w="1540" w:type="dxa"/>
            <w:vAlign w:val="bottom"/>
          </w:tcPr>
          <w:p>
            <w:pPr>
              <w:jc w:val="right"/>
              <w:ind w:right="408"/>
              <w:spacing w:after="0"/>
              <w:rPr>
                <w:sz w:val="20"/>
                <w:szCs w:val="20"/>
                <w:color w:val="auto"/>
              </w:rPr>
            </w:pPr>
            <w:r>
              <w:rPr>
                <w:rFonts w:ascii="Arial" w:cs="Arial" w:eastAsia="Arial" w:hAnsi="Arial"/>
                <w:sz w:val="14"/>
                <w:szCs w:val="14"/>
                <w:color w:val="auto"/>
              </w:rPr>
              <w:t>2,286,269</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1,872,090</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1,878,755</w:t>
            </w:r>
          </w:p>
        </w:tc>
        <w:tc>
          <w:tcPr>
            <w:tcW w:w="1160" w:type="dxa"/>
            <w:vAlign w:val="bottom"/>
          </w:tcPr>
          <w:p>
            <w:pPr>
              <w:jc w:val="right"/>
              <w:spacing w:after="0"/>
              <w:rPr>
                <w:sz w:val="20"/>
                <w:szCs w:val="20"/>
                <w:color w:val="auto"/>
              </w:rPr>
            </w:pPr>
            <w:r>
              <w:rPr>
                <w:rFonts w:ascii="Arial" w:cs="Arial" w:eastAsia="Arial" w:hAnsi="Arial"/>
                <w:sz w:val="14"/>
                <w:szCs w:val="14"/>
                <w:color w:val="auto"/>
              </w:rPr>
              <w:t>2,709,562</w:t>
            </w:r>
          </w:p>
        </w:tc>
      </w:tr>
      <w:tr>
        <w:trPr>
          <w:trHeight w:val="324"/>
        </w:trPr>
        <w:tc>
          <w:tcPr>
            <w:tcW w:w="1120" w:type="dxa"/>
            <w:vAlign w:val="bottom"/>
          </w:tcPr>
          <w:p>
            <w:pPr>
              <w:jc w:val="right"/>
              <w:ind w:right="348"/>
              <w:spacing w:after="0"/>
              <w:rPr>
                <w:sz w:val="20"/>
                <w:szCs w:val="20"/>
                <w:color w:val="auto"/>
              </w:rPr>
            </w:pPr>
            <w:r>
              <w:rPr>
                <w:rFonts w:ascii="Arial" w:cs="Arial" w:eastAsia="Arial" w:hAnsi="Arial"/>
                <w:sz w:val="14"/>
                <w:szCs w:val="14"/>
                <w:color w:val="auto"/>
              </w:rPr>
              <w:t>(159,135)</w:t>
            </w:r>
          </w:p>
        </w:tc>
        <w:tc>
          <w:tcPr>
            <w:tcW w:w="1540" w:type="dxa"/>
            <w:vAlign w:val="bottom"/>
          </w:tcPr>
          <w:p>
            <w:pPr>
              <w:jc w:val="right"/>
              <w:ind w:right="348"/>
              <w:spacing w:after="0"/>
              <w:rPr>
                <w:sz w:val="20"/>
                <w:szCs w:val="20"/>
                <w:color w:val="auto"/>
              </w:rPr>
            </w:pPr>
            <w:r>
              <w:rPr>
                <w:rFonts w:ascii="Arial" w:cs="Arial" w:eastAsia="Arial" w:hAnsi="Arial"/>
                <w:sz w:val="14"/>
                <w:szCs w:val="14"/>
                <w:color w:val="auto"/>
              </w:rPr>
              <w:t>(462,002)</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91,255</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(885,837)</w:t>
            </w:r>
          </w:p>
        </w:tc>
        <w:tc>
          <w:tcPr>
            <w:tcW w:w="1160" w:type="dxa"/>
            <w:vAlign w:val="bottom"/>
          </w:tcPr>
          <w:p>
            <w:pPr>
              <w:jc w:val="right"/>
              <w:spacing w:after="0"/>
              <w:rPr>
                <w:sz w:val="20"/>
                <w:szCs w:val="20"/>
                <w:color w:val="auto"/>
              </w:rPr>
            </w:pPr>
            <w:r>
              <w:rPr>
                <w:rFonts w:ascii="Arial" w:cs="Arial" w:eastAsia="Arial" w:hAnsi="Arial"/>
                <w:sz w:val="14"/>
                <w:szCs w:val="14"/>
                <w:color w:val="auto"/>
              </w:rPr>
              <w:t>919,834</w:t>
            </w:r>
          </w:p>
        </w:tc>
      </w:tr>
      <w:tr>
        <w:trPr>
          <w:trHeight w:val="324"/>
        </w:trPr>
        <w:tc>
          <w:tcPr>
            <w:tcW w:w="1120" w:type="dxa"/>
            <w:vAlign w:val="bottom"/>
          </w:tcPr>
          <w:p>
            <w:pPr>
              <w:jc w:val="right"/>
              <w:ind w:right="348"/>
              <w:spacing w:after="0"/>
              <w:rPr>
                <w:sz w:val="20"/>
                <w:szCs w:val="20"/>
                <w:color w:val="auto"/>
              </w:rPr>
            </w:pPr>
            <w:r>
              <w:rPr>
                <w:rFonts w:ascii="Arial" w:cs="Arial" w:eastAsia="Arial" w:hAnsi="Arial"/>
                <w:sz w:val="14"/>
                <w:szCs w:val="14"/>
                <w:color w:val="auto"/>
              </w:rPr>
              <w:t>(43,732)</w:t>
            </w:r>
          </w:p>
        </w:tc>
        <w:tc>
          <w:tcPr>
            <w:tcW w:w="1540" w:type="dxa"/>
            <w:vAlign w:val="bottom"/>
          </w:tcPr>
          <w:p>
            <w:pPr>
              <w:jc w:val="right"/>
              <w:ind w:right="348"/>
              <w:spacing w:after="0"/>
              <w:rPr>
                <w:sz w:val="20"/>
                <w:szCs w:val="20"/>
                <w:color w:val="auto"/>
              </w:rPr>
            </w:pPr>
            <w:r>
              <w:rPr>
                <w:rFonts w:ascii="Arial" w:cs="Arial" w:eastAsia="Arial" w:hAnsi="Arial"/>
                <w:sz w:val="14"/>
                <w:szCs w:val="14"/>
                <w:color w:val="auto"/>
              </w:rPr>
              <w:t>(89,883)</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135,890</w:t>
            </w:r>
          </w:p>
        </w:tc>
        <w:tc>
          <w:tcPr>
            <w:tcW w:w="1780" w:type="dxa"/>
            <w:vAlign w:val="bottom"/>
          </w:tcPr>
          <w:p>
            <w:pPr>
              <w:jc w:val="right"/>
              <w:ind w:right="448"/>
              <w:spacing w:after="0"/>
              <w:rPr>
                <w:sz w:val="20"/>
                <w:szCs w:val="20"/>
                <w:color w:val="auto"/>
              </w:rPr>
            </w:pPr>
            <w:r>
              <w:rPr>
                <w:rFonts w:ascii="Arial" w:cs="Arial" w:eastAsia="Arial" w:hAnsi="Arial"/>
                <w:sz w:val="14"/>
                <w:szCs w:val="14"/>
                <w:color w:val="auto"/>
              </w:rPr>
              <w:t>(836,481)</w:t>
            </w:r>
          </w:p>
        </w:tc>
        <w:tc>
          <w:tcPr>
            <w:tcW w:w="1160" w:type="dxa"/>
            <w:vAlign w:val="bottom"/>
          </w:tcPr>
          <w:p>
            <w:pPr>
              <w:jc w:val="right"/>
              <w:spacing w:after="0"/>
              <w:rPr>
                <w:sz w:val="20"/>
                <w:szCs w:val="20"/>
                <w:color w:val="auto"/>
              </w:rPr>
            </w:pPr>
            <w:r>
              <w:rPr>
                <w:rFonts w:ascii="Arial" w:cs="Arial" w:eastAsia="Arial" w:hAnsi="Arial"/>
                <w:sz w:val="14"/>
                <w:szCs w:val="14"/>
                <w:color w:val="auto"/>
              </w:rPr>
              <w:t>986,023</w:t>
            </w:r>
          </w:p>
        </w:tc>
      </w:tr>
      <w:tr>
        <w:trPr>
          <w:trHeight w:val="324"/>
        </w:trPr>
        <w:tc>
          <w:tcPr>
            <w:tcW w:w="1120" w:type="dxa"/>
            <w:vAlign w:val="bottom"/>
          </w:tcPr>
          <w:p>
            <w:pPr>
              <w:jc w:val="right"/>
              <w:ind w:right="348"/>
              <w:spacing w:after="0"/>
              <w:rPr>
                <w:sz w:val="20"/>
                <w:szCs w:val="20"/>
                <w:color w:val="auto"/>
              </w:rPr>
            </w:pPr>
            <w:r>
              <w:rPr>
                <w:rFonts w:ascii="Arial" w:cs="Arial" w:eastAsia="Arial" w:hAnsi="Arial"/>
                <w:sz w:val="14"/>
                <w:szCs w:val="14"/>
                <w:color w:val="auto"/>
              </w:rPr>
              <w:t>(555,030)</w:t>
            </w:r>
          </w:p>
        </w:tc>
        <w:tc>
          <w:tcPr>
            <w:tcW w:w="1540" w:type="dxa"/>
            <w:vAlign w:val="bottom"/>
          </w:tcPr>
          <w:p>
            <w:pPr>
              <w:jc w:val="right"/>
              <w:ind w:right="348"/>
              <w:spacing w:after="0"/>
              <w:rPr>
                <w:sz w:val="20"/>
                <w:szCs w:val="20"/>
                <w:color w:val="auto"/>
              </w:rPr>
            </w:pPr>
            <w:r>
              <w:rPr>
                <w:rFonts w:ascii="Arial" w:cs="Arial" w:eastAsia="Arial" w:hAnsi="Arial"/>
                <w:sz w:val="14"/>
                <w:szCs w:val="14"/>
                <w:color w:val="auto"/>
              </w:rPr>
              <w:t>(662,277)</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1120" w:type="dxa"/>
            <w:vAlign w:val="bottom"/>
          </w:tcPr>
          <w:p>
            <w:pPr>
              <w:jc w:val="right"/>
              <w:ind w:right="408"/>
              <w:spacing w:after="0"/>
              <w:rPr>
                <w:sz w:val="20"/>
                <w:szCs w:val="20"/>
                <w:color w:val="auto"/>
              </w:rPr>
            </w:pPr>
            <w:r>
              <w:rPr>
                <w:rFonts w:ascii="Arial" w:cs="Arial" w:eastAsia="Arial" w:hAnsi="Arial"/>
                <w:sz w:val="14"/>
                <w:szCs w:val="14"/>
                <w:color w:val="auto"/>
              </w:rPr>
              <w:t>905,018</w:t>
            </w:r>
          </w:p>
        </w:tc>
        <w:tc>
          <w:tcPr>
            <w:tcW w:w="1540" w:type="dxa"/>
            <w:vAlign w:val="bottom"/>
          </w:tcPr>
          <w:p>
            <w:pPr>
              <w:jc w:val="right"/>
              <w:ind w:right="408"/>
              <w:spacing w:after="0"/>
              <w:rPr>
                <w:sz w:val="20"/>
                <w:szCs w:val="20"/>
                <w:color w:val="auto"/>
              </w:rPr>
            </w:pPr>
            <w:r>
              <w:rPr>
                <w:rFonts w:ascii="Arial" w:cs="Arial" w:eastAsia="Arial" w:hAnsi="Arial"/>
                <w:sz w:val="14"/>
                <w:szCs w:val="14"/>
                <w:color w:val="auto"/>
              </w:rPr>
              <w:t>1,072,108</w:t>
            </w:r>
          </w:p>
        </w:tc>
        <w:tc>
          <w:tcPr>
            <w:tcW w:w="1600" w:type="dxa"/>
            <w:vAlign w:val="bottom"/>
          </w:tcPr>
          <w:p>
            <w:pPr>
              <w:jc w:val="right"/>
              <w:ind w:right="488"/>
              <w:spacing w:after="0"/>
              <w:rPr>
                <w:sz w:val="20"/>
                <w:szCs w:val="20"/>
                <w:color w:val="auto"/>
              </w:rPr>
            </w:pPr>
            <w:r>
              <w:rPr>
                <w:rFonts w:ascii="Arial" w:cs="Arial" w:eastAsia="Arial" w:hAnsi="Arial"/>
                <w:sz w:val="14"/>
                <w:szCs w:val="14"/>
                <w:color w:val="auto"/>
              </w:rPr>
              <w:t>2,099,234</w:t>
            </w:r>
          </w:p>
        </w:tc>
        <w:tc>
          <w:tcPr>
            <w:tcW w:w="1780" w:type="dxa"/>
            <w:vAlign w:val="bottom"/>
          </w:tcPr>
          <w:p>
            <w:pPr>
              <w:jc w:val="right"/>
              <w:ind w:right="508"/>
              <w:spacing w:after="0"/>
              <w:rPr>
                <w:sz w:val="20"/>
                <w:szCs w:val="20"/>
                <w:color w:val="auto"/>
              </w:rPr>
            </w:pPr>
            <w:r>
              <w:rPr>
                <w:rFonts w:ascii="Arial" w:cs="Arial" w:eastAsia="Arial" w:hAnsi="Arial"/>
                <w:sz w:val="14"/>
                <w:szCs w:val="14"/>
                <w:color w:val="auto"/>
              </w:rPr>
              <w:t>156,437</w:t>
            </w:r>
          </w:p>
        </w:tc>
        <w:tc>
          <w:tcPr>
            <w:tcW w:w="1160" w:type="dxa"/>
            <w:vAlign w:val="bottom"/>
          </w:tcPr>
          <w:p>
            <w:pPr>
              <w:jc w:val="right"/>
              <w:spacing w:after="0"/>
              <w:rPr>
                <w:sz w:val="20"/>
                <w:szCs w:val="20"/>
                <w:color w:val="auto"/>
              </w:rPr>
            </w:pPr>
            <w:r>
              <w:rPr>
                <w:rFonts w:ascii="Arial" w:cs="Arial" w:eastAsia="Arial" w:hAnsi="Arial"/>
                <w:sz w:val="14"/>
                <w:szCs w:val="14"/>
                <w:color w:val="auto"/>
              </w:rPr>
              <w:t>4,615,418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-1040130</wp:posOffset>
            </wp:positionV>
            <wp:extent cx="713232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-731520</wp:posOffset>
            </wp:positionV>
            <wp:extent cx="713232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-320040</wp:posOffset>
            </wp:positionV>
            <wp:extent cx="713232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-11430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3220" w:space="680"/>
            <w:col w:w="7340"/>
          </w:cols>
          <w:pgMar w:left="320" w:top="778" w:right="339" w:bottom="1440" w:gutter="0" w:footer="0" w:header="0"/>
          <w:type w:val="continuous"/>
        </w:sectPr>
      </w:pPr>
    </w:p>
    <w:p>
      <w:pPr>
        <w:jc w:val="both"/>
        <w:spacing w:after="0" w:line="241" w:lineRule="auto"/>
        <w:rPr>
          <w:sz w:val="20"/>
          <w:szCs w:val="20"/>
          <w:color w:val="auto"/>
        </w:rPr>
      </w:pPr>
      <w:r>
        <w:rPr>
          <w:rFonts w:ascii="Arial" w:cs="Arial" w:eastAsia="Arial" w:hAnsi="Arial"/>
          <w:sz w:val="20"/>
          <w:szCs w:val="20"/>
          <w:color w:val="auto"/>
        </w:rPr>
        <w:t>The following graphs illustrates the relationship of CAP for our PEO and the average CAP for our Non-PEO NEOs in relationship to our Total Shareholder Return ("TSR"), net income and net sales. Additionally, the graphs also describe the relationship between our own TSR versus peer group TSR.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568960</wp:posOffset>
            </wp:positionV>
            <wp:extent cx="4808855" cy="6660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08855" cy="666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58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1330960</wp:posOffset>
            </wp:positionH>
            <wp:positionV relativeFrom="page">
              <wp:posOffset>568960</wp:posOffset>
            </wp:positionV>
            <wp:extent cx="4886325" cy="2820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488632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Company considers, net sales, operating income, and non-GAAP earnings per share the three financial performance measures “most important” linking CAP to the NEOs for 2025 and company performance. After net sales, we do not consider any one of the other following financial performance measures to be a more important measure than the other when measuring performance for our company or executive compensation program. See the discussion above in "Compensation Discussion and Analysis" for additional discussion related to executive pay.</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59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ind w:left="3640"/>
        <w:spacing w:after="0"/>
        <w:rPr>
          <w:sz w:val="20"/>
          <w:szCs w:val="20"/>
          <w:color w:val="auto"/>
        </w:rPr>
      </w:pPr>
      <w:r>
        <w:rPr>
          <w:rFonts w:ascii="Arial" w:cs="Arial" w:eastAsia="Arial" w:hAnsi="Arial"/>
          <w:sz w:val="43"/>
          <w:szCs w:val="43"/>
          <w:color w:val="005CA9"/>
        </w:rPr>
        <w:t>PROPOSAL THREE</w:t>
      </w:r>
    </w:p>
    <w:p>
      <w:pPr>
        <w:spacing w:after="0" w:line="154" w:lineRule="exact"/>
        <w:rPr>
          <w:sz w:val="20"/>
          <w:szCs w:val="20"/>
          <w:color w:val="auto"/>
        </w:rPr>
      </w:pPr>
    </w:p>
    <w:p>
      <w:pPr>
        <w:jc w:val="center"/>
        <w:ind w:right="120"/>
        <w:spacing w:after="0" w:line="248" w:lineRule="auto"/>
        <w:rPr>
          <w:sz w:val="20"/>
          <w:szCs w:val="20"/>
          <w:color w:val="auto"/>
        </w:rPr>
      </w:pPr>
      <w:r>
        <w:rPr>
          <w:rFonts w:ascii="Arial" w:cs="Arial" w:eastAsia="Arial" w:hAnsi="Arial"/>
          <w:sz w:val="43"/>
          <w:szCs w:val="43"/>
          <w:color w:val="005CA9"/>
        </w:rPr>
        <w:t>RATIFICATION OF THE APPOINTMENT OF INDEPENDENT REGISTERED PUBLIC ACCOUNTING FIRM</w:t>
      </w:r>
    </w:p>
    <w:p>
      <w:pPr>
        <w:spacing w:after="0" w:line="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Audit Committee of the Board has the authority and responsibility for the appointment, compensation, retention, and oversight of the work of the Company's independent registered public accounting firm. The Audit Committee of the Board has appointed PricewaterhouseCoopers LLP ("PwC") as our independent registered public accounting firm to audit our financial statements for the fiscal year ending December 31, 2026, and the Board is asking stockholders to ratify this appointment at the Meeting. A representative of PwC is expected to attend the Meeting electronically, will have the opportunity to make a statement, if desired, and will be available to respond to appropriate questions.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Independent Registered Public Accounting Firm</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March 5, 2026, the Audit Committee dismissed Baker Tilly US, LLP ("Baker Tilly") as the Company’s independent registered public accounting firm. A representative of Baker Tilly is not expected to attend the Meeting.</w:t>
      </w:r>
    </w:p>
    <w:p>
      <w:pPr>
        <w:spacing w:after="0" w:line="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On June 3, 2025, the Company was notified that Baker Tilly had merged with Moss Adams LLP (“Moss Adams”), which had served as the Company’s auditors since 1993. The combined audit practices operate as Baker Tilly. In connection with notification of the merger, Moss Adams resigned as the Company’s auditors and the Audit Committee approved the appointment of Baker Tilly, as the successor to Moss Adams, as the Company’s independent registered public accounting firm.</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Company’s two most recent fiscal years ended December 31, 2025 and 2024, and the subsequent interim period through March 5, 2026:</w:t>
      </w:r>
    </w:p>
    <w:p>
      <w:pPr>
        <w:spacing w:after="0" w:line="47" w:lineRule="exact"/>
        <w:rPr>
          <w:sz w:val="20"/>
          <w:szCs w:val="20"/>
          <w:color w:val="auto"/>
        </w:rPr>
      </w:pPr>
    </w:p>
    <w:p>
      <w:pPr>
        <w:ind w:left="860" w:hanging="384"/>
        <w:spacing w:after="0" w:line="256" w:lineRule="auto"/>
        <w:tabs>
          <w:tab w:leader="none" w:pos="86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The reports of Baker Tilly on the Company’s consolidated financial statements did not contain an adverse opinion or disclaimer of opinion and were not qualified or modified as to uncertainty, audit scope, or accounting principles;</w:t>
      </w:r>
    </w:p>
    <w:p>
      <w:pPr>
        <w:spacing w:after="0" w:line="48" w:lineRule="exact"/>
        <w:rPr>
          <w:rFonts w:ascii="Times New Roman" w:cs="Times New Roman" w:eastAsia="Times New Roman" w:hAnsi="Times New Roman"/>
          <w:sz w:val="20"/>
          <w:szCs w:val="20"/>
          <w:color w:val="auto"/>
        </w:rPr>
      </w:pPr>
    </w:p>
    <w:p>
      <w:pPr>
        <w:jc w:val="both"/>
        <w:ind w:left="860" w:hanging="384"/>
        <w:spacing w:after="0" w:line="236" w:lineRule="auto"/>
        <w:tabs>
          <w:tab w:leader="none" w:pos="86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There were no disagreements (as that term is described in Item 304(a)(1)(iv) of Regulation S-K) with Baker Tilly on any matters of accounting principles or practices, financial statement disclosure, or auditing scope and procedures which, if not resolved to the satisfaction of Baker Tilly, would have caused Baker Tilly to make reference to such matters in its report; and</w:t>
      </w:r>
    </w:p>
    <w:p>
      <w:pPr>
        <w:spacing w:after="0" w:line="66" w:lineRule="exact"/>
        <w:rPr>
          <w:rFonts w:ascii="Times New Roman" w:cs="Times New Roman" w:eastAsia="Times New Roman" w:hAnsi="Times New Roman"/>
          <w:sz w:val="20"/>
          <w:szCs w:val="20"/>
          <w:color w:val="auto"/>
        </w:rPr>
      </w:pPr>
    </w:p>
    <w:p>
      <w:pPr>
        <w:ind w:left="860" w:hanging="384"/>
        <w:spacing w:after="0"/>
        <w:tabs>
          <w:tab w:leader="none" w:pos="860" w:val="left"/>
        </w:tabs>
        <w:numPr>
          <w:ilvl w:val="0"/>
          <w:numId w:val="56"/>
        </w:numPr>
        <w:rPr>
          <w:rFonts w:ascii="Times New Roman" w:cs="Times New Roman" w:eastAsia="Times New Roman" w:hAnsi="Times New Roman"/>
          <w:sz w:val="20"/>
          <w:szCs w:val="20"/>
          <w:color w:val="auto"/>
        </w:rPr>
      </w:pPr>
      <w:r>
        <w:rPr>
          <w:rFonts w:ascii="Arial" w:cs="Arial" w:eastAsia="Arial" w:hAnsi="Arial"/>
          <w:sz w:val="20"/>
          <w:szCs w:val="20"/>
          <w:color w:val="auto"/>
        </w:rPr>
        <w:t>There were no reportable events (as that term is described in Item 304(a)(1)(v) of Regulation S-K).</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On March 5, 2026, the Audit Committee approved the engagement of PwC as the Company’s independent registered public accounting firm for our fiscal year ending December 31, 2026.</w:t>
      </w:r>
    </w:p>
    <w:p>
      <w:pPr>
        <w:spacing w:after="0" w:line="4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During the Company’s two most recent fiscal years ended December 31, 2025 and 2024, and the subsequent interim period through March 5, 2026, neither the Company nor anyone acting on its behalf has consulted with PwC regarding:</w:t>
      </w:r>
    </w:p>
    <w:p>
      <w:pPr>
        <w:spacing w:after="0" w:line="47" w:lineRule="exact"/>
        <w:rPr>
          <w:sz w:val="20"/>
          <w:szCs w:val="20"/>
          <w:color w:val="auto"/>
        </w:rPr>
      </w:pPr>
    </w:p>
    <w:p>
      <w:pPr>
        <w:ind w:left="920" w:hanging="444"/>
        <w:spacing w:after="0"/>
        <w:tabs>
          <w:tab w:leader="none" w:pos="9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application of accounting principles to any specific completed or proposed transaction;</w:t>
      </w:r>
    </w:p>
    <w:p>
      <w:pPr>
        <w:spacing w:after="0" w:line="94" w:lineRule="exact"/>
        <w:rPr>
          <w:rFonts w:ascii="Arial" w:cs="Arial" w:eastAsia="Arial" w:hAnsi="Arial"/>
          <w:sz w:val="20"/>
          <w:szCs w:val="20"/>
          <w:color w:val="auto"/>
        </w:rPr>
      </w:pPr>
    </w:p>
    <w:p>
      <w:pPr>
        <w:ind w:left="920" w:hanging="444"/>
        <w:spacing w:after="0"/>
        <w:tabs>
          <w:tab w:leader="none" w:pos="9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type of audit opinion that might be rendered on the financial statements; or</w:t>
      </w:r>
    </w:p>
    <w:p>
      <w:pPr>
        <w:spacing w:after="0" w:line="94" w:lineRule="exact"/>
        <w:rPr>
          <w:rFonts w:ascii="Arial" w:cs="Arial" w:eastAsia="Arial" w:hAnsi="Arial"/>
          <w:sz w:val="20"/>
          <w:szCs w:val="20"/>
          <w:color w:val="auto"/>
        </w:rPr>
      </w:pPr>
    </w:p>
    <w:p>
      <w:pPr>
        <w:ind w:left="920" w:hanging="444"/>
        <w:spacing w:after="0"/>
        <w:tabs>
          <w:tab w:leader="none" w:pos="9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matter that was the subject of a disagreement or reportable event as defined in Item 304(a)(1)(v) of Regulation S-</w:t>
      </w:r>
    </w:p>
    <w:p>
      <w:pPr>
        <w:spacing w:after="0" w:line="15" w:lineRule="exact"/>
        <w:rPr>
          <w:rFonts w:ascii="Arial" w:cs="Arial" w:eastAsia="Arial" w:hAnsi="Arial"/>
          <w:sz w:val="19"/>
          <w:szCs w:val="19"/>
          <w:color w:val="auto"/>
        </w:rPr>
      </w:pPr>
    </w:p>
    <w:p>
      <w:pPr>
        <w:ind w:left="860"/>
        <w:spacing w:after="0"/>
        <w:rPr>
          <w:rFonts w:ascii="Arial" w:cs="Arial" w:eastAsia="Arial" w:hAnsi="Arial"/>
          <w:sz w:val="19"/>
          <w:szCs w:val="19"/>
          <w:color w:val="auto"/>
        </w:rPr>
      </w:pPr>
      <w:r>
        <w:rPr>
          <w:rFonts w:ascii="Arial" w:cs="Arial" w:eastAsia="Arial" w:hAnsi="Arial"/>
          <w:sz w:val="20"/>
          <w:szCs w:val="20"/>
          <w:color w:val="auto"/>
        </w:rPr>
        <w:t>K</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Professional services rendered by Baker Tilly for 2025 consisted of an audit of the Company’s annual financial statements (including services incurred with rendering an opinion under Section 404 of the Sarbanes-Oxley Act of 2002) and review of quarterly financial statements, services related to filings with the SEC and meetings with the Company’s Audit Committee. All professional services rendered by Baker Tilly during 2025 were furnished at customary rates and terms.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60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63" w:name="page64"/>
    <w:bookmarkEnd w:id="63"/>
    <w:p>
      <w:pPr>
        <w:spacing w:after="0"/>
        <w:rPr>
          <w:sz w:val="20"/>
          <w:szCs w:val="20"/>
          <w:color w:val="auto"/>
        </w:rPr>
      </w:pPr>
      <w:r>
        <w:rPr>
          <w:rFonts w:ascii="Arial" w:cs="Arial" w:eastAsia="Arial" w:hAnsi="Arial"/>
          <w:sz w:val="25"/>
          <w:szCs w:val="25"/>
          <w:b w:val="1"/>
          <w:bCs w:val="1"/>
          <w:color w:val="005CA9"/>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AUDIT FEES, AUDIT-RELATED FEES, TAX FEES AND ALL OTHER FEES</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For the fiscal years ended December 31, 2025 and 2024, fees for the services provided by Baker Tilly US, LLP were approximately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tcBorders>
              <w:top w:val="single" w:sz="8" w:color="005CA9"/>
              <w:bottom w:val="single" w:sz="8" w:color="005CA9"/>
            </w:tcBorders>
          </w:tcPr>
          <w:p>
            <w:pPr>
              <w:spacing w:after="0"/>
              <w:rPr>
                <w:sz w:val="20"/>
                <w:szCs w:val="20"/>
                <w:color w:val="auto"/>
              </w:rPr>
            </w:pPr>
            <w:r>
              <w:rPr>
                <w:rFonts w:ascii="Arial" w:cs="Arial" w:eastAsia="Arial" w:hAnsi="Arial"/>
                <w:sz w:val="20"/>
                <w:szCs w:val="20"/>
                <w:b w:val="1"/>
                <w:bCs w:val="1"/>
                <w:color w:val="auto"/>
              </w:rPr>
              <w:t>Description</w:t>
            </w:r>
          </w:p>
        </w:tc>
        <w:tc>
          <w:tcPr>
            <w:tcW w:w="440" w:type="dxa"/>
            <w:vAlign w:val="bottom"/>
            <w:tcBorders>
              <w:top w:val="single" w:sz="8" w:color="005CA9"/>
              <w:bottom w:val="single" w:sz="8" w:color="005CA9"/>
            </w:tcBorders>
          </w:tcPr>
          <w:p>
            <w:pPr>
              <w:spacing w:after="0"/>
              <w:rPr>
                <w:sz w:val="21"/>
                <w:szCs w:val="21"/>
                <w:color w:val="auto"/>
              </w:rPr>
            </w:pPr>
          </w:p>
        </w:tc>
        <w:tc>
          <w:tcPr>
            <w:tcW w:w="1640" w:type="dxa"/>
            <w:vAlign w:val="bottom"/>
            <w:tcBorders>
              <w:top w:val="single" w:sz="8" w:color="005CA9"/>
              <w:bottom w:val="single" w:sz="8" w:color="005CA9"/>
            </w:tcBorders>
          </w:tcPr>
          <w:p>
            <w:pPr>
              <w:jc w:val="right"/>
              <w:ind w:right="781"/>
              <w:spacing w:after="0"/>
              <w:rPr>
                <w:sz w:val="20"/>
                <w:szCs w:val="20"/>
                <w:color w:val="auto"/>
              </w:rPr>
            </w:pPr>
            <w:r>
              <w:rPr>
                <w:rFonts w:ascii="Arial" w:cs="Arial" w:eastAsia="Arial" w:hAnsi="Arial"/>
                <w:sz w:val="20"/>
                <w:szCs w:val="20"/>
                <w:b w:val="1"/>
                <w:bCs w:val="1"/>
                <w:color w:val="auto"/>
              </w:rPr>
              <w:t>2025</w:t>
            </w:r>
          </w:p>
        </w:tc>
        <w:tc>
          <w:tcPr>
            <w:tcW w:w="220" w:type="dxa"/>
            <w:vAlign w:val="bottom"/>
            <w:tcBorders>
              <w:top w:val="single" w:sz="8" w:color="005CA9"/>
              <w:bottom w:val="single" w:sz="8" w:color="005CA9"/>
            </w:tcBorders>
          </w:tcPr>
          <w:p>
            <w:pPr>
              <w:spacing w:after="0"/>
              <w:rPr>
                <w:sz w:val="21"/>
                <w:szCs w:val="21"/>
                <w:color w:val="auto"/>
              </w:rPr>
            </w:pPr>
          </w:p>
        </w:tc>
        <w:tc>
          <w:tcPr>
            <w:tcW w:w="440" w:type="dxa"/>
            <w:vAlign w:val="bottom"/>
            <w:tcBorders>
              <w:top w:val="single" w:sz="8" w:color="005CA9"/>
              <w:bottom w:val="single" w:sz="8" w:color="005CA9"/>
            </w:tcBorders>
          </w:tcPr>
          <w:p>
            <w:pPr>
              <w:spacing w:after="0"/>
              <w:rPr>
                <w:sz w:val="21"/>
                <w:szCs w:val="21"/>
                <w:color w:val="auto"/>
              </w:rPr>
            </w:pPr>
          </w:p>
        </w:tc>
        <w:tc>
          <w:tcPr>
            <w:tcW w:w="1640" w:type="dxa"/>
            <w:vAlign w:val="bottom"/>
            <w:tcBorders>
              <w:top w:val="single" w:sz="8" w:color="005CA9"/>
              <w:bottom w:val="single" w:sz="8" w:color="005CA9"/>
            </w:tcBorders>
          </w:tcPr>
          <w:p>
            <w:pPr>
              <w:jc w:val="right"/>
              <w:ind w:right="781"/>
              <w:spacing w:after="0"/>
              <w:rPr>
                <w:sz w:val="20"/>
                <w:szCs w:val="20"/>
                <w:color w:val="auto"/>
              </w:rPr>
            </w:pPr>
            <w:r>
              <w:rPr>
                <w:rFonts w:ascii="Arial" w:cs="Arial" w:eastAsia="Arial" w:hAnsi="Arial"/>
                <w:sz w:val="20"/>
                <w:szCs w:val="20"/>
                <w:b w:val="1"/>
                <w:bCs w:val="1"/>
                <w:color w:val="auto"/>
              </w:rPr>
              <w:t>2024</w:t>
            </w:r>
          </w:p>
        </w:tc>
      </w:tr>
      <w:tr>
        <w:trPr>
          <w:trHeight w:val="216"/>
        </w:trPr>
        <w:tc>
          <w:tcPr>
            <w:tcW w:w="6860" w:type="dxa"/>
            <w:vAlign w:val="bottom"/>
            <w:shd w:val="clear" w:color="auto" w:fill="CFF0FC"/>
          </w:tcPr>
          <w:p>
            <w:pPr>
              <w:ind w:left="60"/>
              <w:spacing w:after="0" w:line="216" w:lineRule="exact"/>
              <w:rPr>
                <w:sz w:val="20"/>
                <w:szCs w:val="20"/>
                <w:color w:val="auto"/>
              </w:rPr>
            </w:pPr>
            <w:r>
              <w:rPr>
                <w:rFonts w:ascii="Arial" w:cs="Arial" w:eastAsia="Arial" w:hAnsi="Arial"/>
                <w:sz w:val="19"/>
                <w:szCs w:val="19"/>
                <w:color w:val="auto"/>
              </w:rPr>
              <w:t xml:space="preserve">Audit fees </w:t>
            </w:r>
            <w:r>
              <w:rPr>
                <w:rFonts w:ascii="Arial" w:cs="Arial" w:eastAsia="Arial" w:hAnsi="Arial"/>
                <w:sz w:val="25"/>
                <w:szCs w:val="25"/>
                <w:color w:val="auto"/>
                <w:vertAlign w:val="superscript"/>
              </w:rPr>
              <w:t>(1)</w:t>
            </w:r>
          </w:p>
        </w:tc>
        <w:tc>
          <w:tcPr>
            <w:tcW w:w="440" w:type="dxa"/>
            <w:vAlign w:val="bottom"/>
            <w:shd w:val="clear" w:color="auto" w:fill="CFF0FC"/>
          </w:tcPr>
          <w:p>
            <w:pPr>
              <w:jc w:val="right"/>
              <w:ind w:right="221"/>
              <w:spacing w:after="0" w:line="216" w:lineRule="exact"/>
              <w:rPr>
                <w:sz w:val="20"/>
                <w:szCs w:val="20"/>
                <w:color w:val="auto"/>
              </w:rPr>
            </w:pPr>
            <w:r>
              <w:rPr>
                <w:rFonts w:ascii="Arial" w:cs="Arial" w:eastAsia="Arial" w:hAnsi="Arial"/>
                <w:sz w:val="20"/>
                <w:szCs w:val="20"/>
                <w:color w:val="auto"/>
                <w:w w:val="89"/>
              </w:rPr>
              <w:t>$</w:t>
            </w:r>
          </w:p>
        </w:tc>
        <w:tc>
          <w:tcPr>
            <w:tcW w:w="16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2,824,640</w:t>
            </w:r>
          </w:p>
        </w:tc>
        <w:tc>
          <w:tcPr>
            <w:tcW w:w="660" w:type="dxa"/>
            <w:vAlign w:val="bottom"/>
            <w:gridSpan w:val="2"/>
            <w:shd w:val="clear" w:color="auto" w:fill="CFF0FC"/>
          </w:tcPr>
          <w:p>
            <w:pPr>
              <w:jc w:val="right"/>
              <w:ind w:right="221"/>
              <w:spacing w:after="0" w:line="216" w:lineRule="exact"/>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3,090,188</w:t>
            </w:r>
          </w:p>
        </w:tc>
      </w:tr>
      <w:tr>
        <w:trPr>
          <w:trHeight w:val="216"/>
        </w:trPr>
        <w:tc>
          <w:tcPr>
            <w:tcW w:w="6860" w:type="dxa"/>
            <w:vAlign w:val="bottom"/>
          </w:tcPr>
          <w:p>
            <w:pPr>
              <w:ind w:left="60"/>
              <w:spacing w:after="0" w:line="216" w:lineRule="exact"/>
              <w:rPr>
                <w:sz w:val="20"/>
                <w:szCs w:val="20"/>
                <w:color w:val="auto"/>
              </w:rPr>
            </w:pPr>
            <w:r>
              <w:rPr>
                <w:rFonts w:ascii="Arial" w:cs="Arial" w:eastAsia="Arial" w:hAnsi="Arial"/>
                <w:sz w:val="19"/>
                <w:szCs w:val="19"/>
                <w:color w:val="auto"/>
              </w:rPr>
              <w:t xml:space="preserve">Audit-related fees </w:t>
            </w:r>
            <w:r>
              <w:rPr>
                <w:rFonts w:ascii="Arial" w:cs="Arial" w:eastAsia="Arial" w:hAnsi="Arial"/>
                <w:sz w:val="25"/>
                <w:szCs w:val="25"/>
                <w:color w:val="auto"/>
                <w:vertAlign w:val="superscript"/>
              </w:rPr>
              <w:t>(2)</w:t>
            </w:r>
          </w:p>
        </w:tc>
        <w:tc>
          <w:tcPr>
            <w:tcW w:w="440" w:type="dxa"/>
            <w:vAlign w:val="bottom"/>
          </w:tcPr>
          <w:p>
            <w:pPr>
              <w:spacing w:after="0"/>
              <w:rPr>
                <w:sz w:val="18"/>
                <w:szCs w:val="18"/>
                <w:color w:val="auto"/>
              </w:rPr>
            </w:pPr>
          </w:p>
        </w:tc>
        <w:tc>
          <w:tcPr>
            <w:tcW w:w="16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16"/>
        </w:trPr>
        <w:tc>
          <w:tcPr>
            <w:tcW w:w="6860" w:type="dxa"/>
            <w:vAlign w:val="bottom"/>
            <w:shd w:val="clear" w:color="auto" w:fill="CFF0FC"/>
          </w:tcPr>
          <w:p>
            <w:pPr>
              <w:ind w:left="60"/>
              <w:spacing w:after="0" w:line="216" w:lineRule="exact"/>
              <w:rPr>
                <w:sz w:val="20"/>
                <w:szCs w:val="20"/>
                <w:color w:val="auto"/>
              </w:rPr>
            </w:pPr>
            <w:r>
              <w:rPr>
                <w:rFonts w:ascii="Arial" w:cs="Arial" w:eastAsia="Arial" w:hAnsi="Arial"/>
                <w:sz w:val="20"/>
                <w:szCs w:val="20"/>
                <w:color w:val="auto"/>
              </w:rPr>
              <w:t>Tax fees, professional services related to income tax</w:t>
            </w:r>
          </w:p>
        </w:tc>
        <w:tc>
          <w:tcPr>
            <w:tcW w:w="4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16"/>
        </w:trPr>
        <w:tc>
          <w:tcPr>
            <w:tcW w:w="6860" w:type="dxa"/>
            <w:vAlign w:val="bottom"/>
          </w:tcPr>
          <w:p>
            <w:pPr>
              <w:ind w:left="60"/>
              <w:spacing w:after="0" w:line="216" w:lineRule="exact"/>
              <w:rPr>
                <w:sz w:val="20"/>
                <w:szCs w:val="20"/>
                <w:color w:val="auto"/>
              </w:rPr>
            </w:pPr>
            <w:r>
              <w:rPr>
                <w:rFonts w:ascii="Arial" w:cs="Arial" w:eastAsia="Arial" w:hAnsi="Arial"/>
                <w:sz w:val="20"/>
                <w:szCs w:val="20"/>
                <w:color w:val="auto"/>
              </w:rPr>
              <w:t>All other fees, not included above</w:t>
            </w:r>
          </w:p>
        </w:tc>
        <w:tc>
          <w:tcPr>
            <w:tcW w:w="440" w:type="dxa"/>
            <w:vAlign w:val="bottom"/>
            <w:tcBorders>
              <w:bottom w:val="single" w:sz="8" w:color="4F81BD"/>
            </w:tcBorders>
          </w:tcPr>
          <w:p>
            <w:pPr>
              <w:spacing w:after="0"/>
              <w:rPr>
                <w:sz w:val="18"/>
                <w:szCs w:val="18"/>
                <w:color w:val="auto"/>
              </w:rPr>
            </w:pPr>
          </w:p>
        </w:tc>
        <w:tc>
          <w:tcPr>
            <w:tcW w:w="1640" w:type="dxa"/>
            <w:vAlign w:val="bottom"/>
            <w:tcBorders>
              <w:bottom w:val="single" w:sz="8" w:color="4F81BD"/>
            </w:tcBorders>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220" w:type="dxa"/>
            <w:vAlign w:val="bottom"/>
          </w:tcPr>
          <w:p>
            <w:pPr>
              <w:spacing w:after="0"/>
              <w:rPr>
                <w:sz w:val="18"/>
                <w:szCs w:val="18"/>
                <w:color w:val="auto"/>
              </w:rPr>
            </w:pPr>
          </w:p>
        </w:tc>
        <w:tc>
          <w:tcPr>
            <w:tcW w:w="440" w:type="dxa"/>
            <w:vAlign w:val="bottom"/>
            <w:tcBorders>
              <w:bottom w:val="single" w:sz="8" w:color="4F81BD"/>
            </w:tcBorders>
          </w:tcPr>
          <w:p>
            <w:pPr>
              <w:spacing w:after="0"/>
              <w:rPr>
                <w:sz w:val="18"/>
                <w:szCs w:val="18"/>
                <w:color w:val="auto"/>
              </w:rPr>
            </w:pPr>
          </w:p>
        </w:tc>
        <w:tc>
          <w:tcPr>
            <w:tcW w:w="1640" w:type="dxa"/>
            <w:vAlign w:val="bottom"/>
            <w:tcBorders>
              <w:bottom w:val="single" w:sz="8" w:color="4F81BD"/>
            </w:tcBorders>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09"/>
        </w:trPr>
        <w:tc>
          <w:tcPr>
            <w:tcW w:w="6860" w:type="dxa"/>
            <w:vAlign w:val="bottom"/>
            <w:tcBorders>
              <w:bottom w:val="single" w:sz="8" w:color="005CA9"/>
            </w:tcBorders>
            <w:shd w:val="clear" w:color="auto" w:fill="CFF0FC"/>
          </w:tcPr>
          <w:p>
            <w:pPr>
              <w:ind w:left="60"/>
              <w:spacing w:after="0" w:line="209" w:lineRule="exact"/>
              <w:rPr>
                <w:sz w:val="20"/>
                <w:szCs w:val="20"/>
                <w:color w:val="auto"/>
              </w:rPr>
            </w:pPr>
            <w:r>
              <w:rPr>
                <w:rFonts w:ascii="Arial" w:cs="Arial" w:eastAsia="Arial" w:hAnsi="Arial"/>
                <w:sz w:val="20"/>
                <w:szCs w:val="20"/>
                <w:color w:val="auto"/>
              </w:rPr>
              <w:t>Total</w:t>
            </w:r>
          </w:p>
        </w:tc>
        <w:tc>
          <w:tcPr>
            <w:tcW w:w="440" w:type="dxa"/>
            <w:vAlign w:val="bottom"/>
            <w:tcBorders>
              <w:bottom w:val="single" w:sz="8" w:color="005CA9"/>
            </w:tcBorders>
            <w:shd w:val="clear" w:color="auto" w:fill="CFF0FC"/>
          </w:tcPr>
          <w:p>
            <w:pPr>
              <w:jc w:val="right"/>
              <w:ind w:right="221"/>
              <w:spacing w:after="0" w:line="209" w:lineRule="exact"/>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005CA9"/>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2,824,640</w:t>
            </w:r>
          </w:p>
        </w:tc>
        <w:tc>
          <w:tcPr>
            <w:tcW w:w="220" w:type="dxa"/>
            <w:vAlign w:val="bottom"/>
            <w:tcBorders>
              <w:bottom w:val="single" w:sz="8" w:color="4F81BD"/>
            </w:tcBorders>
            <w:shd w:val="clear" w:color="auto" w:fill="CFF0FC"/>
          </w:tcPr>
          <w:p>
            <w:pPr>
              <w:spacing w:after="0"/>
              <w:rPr>
                <w:sz w:val="18"/>
                <w:szCs w:val="18"/>
                <w:color w:val="auto"/>
              </w:rPr>
            </w:pPr>
          </w:p>
        </w:tc>
        <w:tc>
          <w:tcPr>
            <w:tcW w:w="440" w:type="dxa"/>
            <w:vAlign w:val="bottom"/>
            <w:tcBorders>
              <w:bottom w:val="single" w:sz="8" w:color="005CA9"/>
            </w:tcBorders>
            <w:shd w:val="clear" w:color="auto" w:fill="CFF0FC"/>
          </w:tcPr>
          <w:p>
            <w:pPr>
              <w:jc w:val="right"/>
              <w:ind w:right="221"/>
              <w:spacing w:after="0" w:line="209" w:lineRule="exact"/>
              <w:rPr>
                <w:sz w:val="20"/>
                <w:szCs w:val="20"/>
                <w:color w:val="auto"/>
              </w:rPr>
            </w:pPr>
            <w:r>
              <w:rPr>
                <w:rFonts w:ascii="Arial" w:cs="Arial" w:eastAsia="Arial" w:hAnsi="Arial"/>
                <w:sz w:val="20"/>
                <w:szCs w:val="20"/>
                <w:color w:val="auto"/>
                <w:w w:val="89"/>
              </w:rPr>
              <w:t>$</w:t>
            </w:r>
          </w:p>
        </w:tc>
        <w:tc>
          <w:tcPr>
            <w:tcW w:w="1640" w:type="dxa"/>
            <w:vAlign w:val="bottom"/>
            <w:tcBorders>
              <w:bottom w:val="single" w:sz="8" w:color="005CA9"/>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3,090,188</w:t>
            </w:r>
          </w:p>
        </w:tc>
      </w:tr>
    </w:tbl>
    <w:p>
      <w:pPr>
        <w:spacing w:after="0" w:line="31" w:lineRule="exact"/>
        <w:rPr>
          <w:sz w:val="20"/>
          <w:szCs w:val="20"/>
          <w:color w:val="auto"/>
        </w:rPr>
      </w:pPr>
    </w:p>
    <w:p>
      <w:pPr>
        <w:jc w:val="both"/>
        <w:ind w:left="300" w:hanging="292"/>
        <w:spacing w:after="0" w:line="243" w:lineRule="auto"/>
        <w:tabs>
          <w:tab w:leader="none" w:pos="300" w:val="left"/>
        </w:tabs>
        <w:numPr>
          <w:ilvl w:val="0"/>
          <w:numId w:val="58"/>
        </w:numPr>
        <w:rPr>
          <w:rFonts w:ascii="Calibri" w:cs="Calibri" w:eastAsia="Calibri" w:hAnsi="Calibri"/>
          <w:sz w:val="14"/>
          <w:szCs w:val="14"/>
          <w:color w:val="auto"/>
        </w:rPr>
      </w:pPr>
      <w:r>
        <w:rPr>
          <w:rFonts w:ascii="Arial" w:cs="Arial" w:eastAsia="Arial" w:hAnsi="Arial"/>
          <w:sz w:val="14"/>
          <w:szCs w:val="14"/>
          <w:color w:val="auto"/>
        </w:rPr>
        <w:t>Includes fees for professional services necessary to perform an audit or review in accordance with the standards of the Public Company Accounting Oversight Board, including services rendered for the audit of the Company’s financial statements (including services incurred with rendering an opinion under Section 404 of the Sarbanes-Oxley Act of 2002) included in the Annual Report on Form 10-K and review of financial statements included in the Quarterly Reports on Form 10-Q.</w:t>
      </w:r>
    </w:p>
    <w:p>
      <w:pPr>
        <w:ind w:left="300" w:hanging="292"/>
        <w:spacing w:after="0" w:line="249" w:lineRule="auto"/>
        <w:tabs>
          <w:tab w:leader="none" w:pos="300" w:val="left"/>
        </w:tabs>
        <w:numPr>
          <w:ilvl w:val="0"/>
          <w:numId w:val="58"/>
        </w:numPr>
        <w:rPr>
          <w:rFonts w:ascii="Calibri" w:cs="Calibri" w:eastAsia="Calibri" w:hAnsi="Calibri"/>
          <w:sz w:val="14"/>
          <w:szCs w:val="14"/>
          <w:color w:val="auto"/>
        </w:rPr>
      </w:pPr>
      <w:r>
        <w:rPr>
          <w:rFonts w:ascii="Arial" w:cs="Arial" w:eastAsia="Arial" w:hAnsi="Arial"/>
          <w:sz w:val="14"/>
          <w:szCs w:val="14"/>
          <w:color w:val="auto"/>
        </w:rPr>
        <w:t>Includes assurance and related services that are reasonably related to the performance of the audit or review of the Company’s financial statements and are not reported under Audit Fees of this section.</w:t>
      </w:r>
    </w:p>
    <w:p>
      <w:pPr>
        <w:spacing w:after="0" w:line="6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Audit Committee administers the Company’s engagement of it's independent registered public accounting firm and pre-approves all audit and permissible non-audit services on a case-by-case basis. In approving non-audit services, the Audit Committee considers whether the engagement could compromise the independence of its audit firm, and whether for reasons of efficiency or convenience it is in the best interest of the Company to engage its independent registered public accounting firm to perform the services.</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PwC has advised the Company that neither the firm, nor any member of the firm, has any financial interest, direct or indirect, in any capacity in the Company or its subsidiaries. The Audit Committee, in reliance on the independent registered public accounting firm, determined that the provision of these services is compatible with maintaining the independence of PwC.</w:t>
      </w:r>
    </w:p>
    <w:p>
      <w:pPr>
        <w:spacing w:after="0" w:line="6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Prior to engagement, the Audit Committee pre-approves all independent registered public accounting firm services. The fees are budgeted, and the Audit Committee may require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pre-approved categories. In those instances, the Audit Committee is required to specifically pre-approve such additional services before engaging the independent registered public accounting firm.</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Audit Committee has delegated pre-approval authority to each of its members. Each member must report, for informational purposes only, any pre-approval decisions to the Audit Committee at its next scheduled meeting.</w:t>
      </w:r>
    </w:p>
    <w:p>
      <w:pPr>
        <w:spacing w:after="0" w:line="4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Although the appointment of PwC as the Company’s independent registered public accounting firm for the fiscal year ending December 31, 2026 is not required to be submitted to a vote of stockholders, the Audit Committee believes that it is appropriate as a matter of policy to request that the stockholders ratify the appointment. If the stockholders do not ratify the appointment, which requires the affirmative vote of a majority of the outstanding shares of Common Stock present, in person via the Internet or by proxy, and entitled to vote on the proposal at the Meeting, the Board will consider the selection of another independent registered public accounting firm.</w:t>
      </w:r>
    </w:p>
    <w:p>
      <w:pPr>
        <w:spacing w:after="0" w:line="6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THE BOARD UNANIMOUSLY RECOMMENDS A VOTE “FOR” THE RATIFICATION OF THE APPOINTMENT OF PRICEWATERHOUSECOOPERS LLP AS THE COMPANY’S INDEPENDENT REGISTERED PUBLIC ACCOUNTING FIRM FOR THE FISCAL YEAR ENDING December 31, 2026.</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61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64" w:name="page65"/>
    <w:bookmarkEnd w:id="64"/>
    <w:p>
      <w:pPr>
        <w:jc w:val="center"/>
        <w:ind w:right="120"/>
        <w:spacing w:after="0" w:line="261" w:lineRule="auto"/>
        <w:rPr>
          <w:sz w:val="20"/>
          <w:szCs w:val="20"/>
          <w:color w:val="auto"/>
        </w:rPr>
      </w:pPr>
      <w:r>
        <w:rPr>
          <w:rFonts w:ascii="Arial" w:cs="Arial" w:eastAsia="Arial" w:hAnsi="Arial"/>
          <w:sz w:val="43"/>
          <w:szCs w:val="43"/>
          <w:color w:val="005CA9"/>
        </w:rPr>
        <w:t>PROPOSALS OF STOCKHOLDERS AND STOCKHOLDER NOMINATIONS FOR 2027 ANNUAL MEETING</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Under certain circumstances, stockholders are entitled to present proposals at stockholder meetings. Currently, the 2027 annual meeting of stockholders is expected to be held on or about May 18, 2027.</w:t>
      </w:r>
    </w:p>
    <w:p>
      <w:pPr>
        <w:spacing w:after="0" w:line="7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SEC Rule 14a-8 provides that any stockholder proposal to be included in the proxy statement for the Company’s 2027 annual meeting must be received by the Corporate Secretary of the Company at the Company’s office at 4949 Hedgcoxe Road, Suite 200, Plano, Texas 75024 on or before December 2, 2026, in a form that complies with applicable regulations. If the date of the 2027 annual meeting is advanced or delayed more than 30 days from the anniversary date of the 2026 annual meeting, stockholder proposals intended to be included in the proxy statement for the 2027 annual meeting must be received by the Company within a reasonable time before the Company begins to print and mail the proxy statement for the 2027 annual meeting. Upon any determination that the date of the 2027 annual meeting will be advanced or delayed by more than 30 days from the anniversary date of the 2026 annual meeting, the Company will disclose the change in the earliest practicable Quarterly Report on Form 10-Q.</w:t>
      </w:r>
    </w:p>
    <w:p>
      <w:pPr>
        <w:spacing w:after="0" w:line="10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addition, the Company’s Bylaws require advance written notice of nominations or other matters that stockholders wish to present for action at an annual meeting other than those to be included in our proxy statement under Rule 14a-8. The Company must receive written notice of such nominations or other proposals to be presented at the 2027 annual meeting, at the address stated in the preceding paragraph, no earlier than the close of business on Monday, January 11, 2027 and no later than the close of business on Wednesday, February 10, 2027. If written notice of such nominations or other matters is not received within the time set forth in the Company’s Bylaws, the proxies solicited by the Board for the 2026 annual meeting of stockholders will confer authority on the proxyholders to vote the shares in accordance with the recommendations of the Board if the proposal is presented at the 2027 annual meeting of stockholders without any discussion of the proposal in the proxy statement for such meeting. If the date of the 2027 annual meeting is advanced or delayed more than 30 days from the anniversary date of the 2026 annual meeting, then if the stockholder proposal has not been submitted to the Company within a reasonable time before the Company mails the proxy statement for the 2027 annual meeting, the proxies will confer the authority set out in the preceding sentence.</w:t>
      </w:r>
    </w:p>
    <w:p>
      <w:pPr>
        <w:spacing w:after="0" w:line="10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Stockholders may suggest candidates for the Board. Stockholders who wish to request that the Governance Committee consider a candidate for election at the 2027 annual meeting should submit information about the candidate to the Governance Committee a reasonable time before the Company begins to print and mail the proxy statement for the 2027 annual meeting. The requesting stockholder should provide sufficient biographical information about the proposed candidate to satisfy the requirements of the SEC for inclusion in the Proxy Statement and to permit the Governance Committee to evaluate the proposed candidate in light of the criteria described in “Corporate Governance – Nominating Procedures and Criteria and Board Diversity.” The request should also provide the full name, address, and telephone number of the requesting stockholder and sufficient information to verify that the requesting stockholder is eligible to vote at the 2026 annual meeting. Additional information and certifications by the requesting stockholder and the proposed candidate may be required before the Governance Committee can make its evaluation.</w:t>
      </w:r>
    </w:p>
    <w:p>
      <w:pPr>
        <w:spacing w:after="0" w:line="9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deadline for providing notice to the Company under Rule 14a-19, the SEC’s universal proxy rule, of a stockholder’s intent to solicit proxies in support of nominees submitted under the Company’s advance notice bylaws for our 2027 Annual Meeting of Stockholders is March 12, 2027. Stockholders intending to provide such a notice must comply with all requirements of Rule 14a-19 in addition to all requirements under our bylaws, including the timing of notice requirements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62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43"/>
          <w:szCs w:val="43"/>
          <w:color w:val="005CA9"/>
        </w:rPr>
        <w:t>ANNUAL REPORT AND FORM 10-K</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Company’s annual report to stockholders for the year ended December 31, 2025 accompanies or has preceded this Proxy Statement. The annual report contains consolidated financial statements of the Company and its subsidiaries and the report thereon of Baker Tilly US, LLP, the Company’s independent registered public accounting firm, for the fiscal years ended December 31, 2025, 2024, and 2023.</w:t>
      </w:r>
    </w:p>
    <w:p>
      <w:pPr>
        <w:spacing w:after="0" w:line="91"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STOCKHOLDERS MAY OBTAIN, WITHOUT CHARGE, A COPY OF THE COMPANY’S ANNUAL REPORT ON FORM 10-K, INCLUDING FINANCIAL STATEMENTS REQUIRED TO BE FILED WITH THE SEC PURSUANT TO THE EXCHANGE ACT, FOR THE YEAR ENDED DECEMBER 31, 2025 BY WRITING TO THE COMPANY, ATTENTION: INVESTOR RELATIONS, 4949 HEDGCOXE ROAD, SUITE 200, PLANO, TEXAS 75024, OR EMAIL THE REQUEST TO </w:t>
      </w:r>
      <w:r>
        <w:rPr>
          <w:rFonts w:ascii="Arial" w:cs="Arial" w:eastAsia="Arial" w:hAnsi="Arial"/>
          <w:sz w:val="20"/>
          <w:szCs w:val="20"/>
          <w:u w:val="single" w:color="auto"/>
          <w:color w:val="auto"/>
        </w:rPr>
        <w:t>DIODES-FIN@DIODES.COM</w:t>
      </w:r>
      <w:r>
        <w:rPr>
          <w:rFonts w:ascii="Arial" w:cs="Arial" w:eastAsia="Arial" w:hAnsi="Arial"/>
          <w:sz w:val="20"/>
          <w:szCs w:val="20"/>
          <w:color w:val="auto"/>
        </w:rPr>
        <w:t>.</w:t>
      </w:r>
    </w:p>
    <w:p>
      <w:pPr>
        <w:jc w:val="both"/>
        <w:spacing w:after="0" w:line="239" w:lineRule="auto"/>
        <w:rPr>
          <w:sz w:val="20"/>
          <w:szCs w:val="20"/>
          <w:color w:val="auto"/>
        </w:rPr>
      </w:pPr>
      <w:r>
        <w:rPr>
          <w:rFonts w:ascii="Arial" w:cs="Arial" w:eastAsia="Arial" w:hAnsi="Arial"/>
          <w:sz w:val="20"/>
          <w:szCs w:val="20"/>
          <w:color w:val="auto"/>
        </w:rPr>
        <w:t>THE INFORMATION IS ALSO AVAILABLE ON THE COMPANY’S WEBSITE AT WWW.DIODES.COM AND THE SEC’S WEBSITE AT WWW.SEC.GOV.</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Dated at Plano, Texas, this 1st day of April, 2026.</w:t>
      </w:r>
    </w:p>
    <w:p>
      <w:pPr>
        <w:spacing w:after="0" w:line="162"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By Order of the Board of Directors,</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5080</wp:posOffset>
            </wp:positionV>
            <wp:extent cx="2057400" cy="514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Richard D. White,</w:t>
      </w:r>
    </w:p>
    <w:p>
      <w:pPr>
        <w:spacing w:after="0" w:line="4"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63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6" w:name="page67"/>
    <w:bookmarkEnd w:id="66"/>
    <w:p>
      <w:pPr>
        <w:jc w:val="right"/>
        <w:ind w:right="3519"/>
        <w:spacing w:after="0"/>
        <w:rPr>
          <w:sz w:val="20"/>
          <w:szCs w:val="20"/>
          <w:color w:val="auto"/>
        </w:rPr>
      </w:pPr>
      <w:r>
        <w:rPr>
          <w:rFonts w:ascii="Arial" w:cs="Arial" w:eastAsia="Arial" w:hAnsi="Arial"/>
          <w:sz w:val="20"/>
          <w:szCs w:val="20"/>
          <w:b w:val="1"/>
          <w:bCs w:val="1"/>
          <w:color w:val="005CA9"/>
        </w:rPr>
        <w:t>MEETING LOCATION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www.proxydocs.com/DIOD</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64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0" w:right="1440"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65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66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79806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67 </w:t>
      </w:r>
      <w:r>
        <w:rPr>
          <w:rFonts w:ascii="Arial" w:cs="Arial" w:eastAsia="Arial" w:hAnsi="Arial"/>
          <w:sz w:val="14"/>
          <w:szCs w:val="14"/>
          <w:b w:val="1"/>
          <w:bCs w:val="1"/>
          <w:color w:val="00457E"/>
        </w:rPr>
        <w:t>Diodes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amp;"/>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60"/>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lowerRoman"/>
      <w:start w:val="2"/>
    </w:lvl>
  </w:abstractNum>
  <w:abstractNum w:abstractNumId="35">
    <w:nsid w:val="6DE91B18"/>
    <w:multiLevelType w:val="hybridMultilevel"/>
    <w:lvl w:ilvl="0">
      <w:lvlJc w:val="left"/>
      <w:lvlText w:val="(%1)"/>
      <w:numFmt w:val="lowerRoman"/>
      <w:start w:val="5"/>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2"/>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lowerLetter"/>
      <w:start w:val="2"/>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2"/>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2026-04-01T16:04:52Z</dcterms:created>
  <dcterms:modified xsi:type="dcterms:W3CDTF">2026-04-01T16:04:52Z</dcterms:modified>
</cp:coreProperties>
</file>